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FBF891" w14:textId="1E976E27" w:rsidR="00E639F4" w:rsidRPr="003072C6" w:rsidRDefault="00D6450C" w:rsidP="00696996">
      <w:pPr>
        <w:pStyle w:val="DHHSbodynospace"/>
        <w:tabs>
          <w:tab w:val="left" w:pos="6096"/>
        </w:tabs>
      </w:pPr>
      <w:r>
        <w:rPr>
          <w:noProof/>
          <w:lang w:val="en-NZ" w:eastAsia="en-NZ"/>
        </w:rPr>
        <w:drawing>
          <wp:anchor distT="0" distB="0" distL="114300" distR="114300" simplePos="0" relativeHeight="251684864" behindDoc="1" locked="0" layoutInCell="1" allowOverlap="1" wp14:anchorId="70DD8CF0" wp14:editId="5915A07A">
            <wp:simplePos x="0" y="0"/>
            <wp:positionH relativeFrom="page">
              <wp:align>left</wp:align>
            </wp:positionH>
            <wp:positionV relativeFrom="page">
              <wp:align>top</wp:align>
            </wp:positionV>
            <wp:extent cx="7560000" cy="10692000"/>
            <wp:effectExtent l="0" t="0" r="3175" b="0"/>
            <wp:wrapNone/>
            <wp:docPr id="78" name="Picture 78" descr="Department of Health and Human Services" titl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9015_Victorian cancer plan_Framework Word cover.jpg"/>
                    <pic:cNvPicPr/>
                  </pic:nvPicPr>
                  <pic:blipFill>
                    <a:blip r:embed="rId8">
                      <a:extLst>
                        <a:ext uri="{28A0092B-C50C-407E-A947-70E740481C1C}">
                          <a14:useLocalDpi xmlns:a14="http://schemas.microsoft.com/office/drawing/2010/main" val="0"/>
                        </a:ext>
                      </a:extLst>
                    </a:blip>
                    <a:stretch>
                      <a:fillRect/>
                    </a:stretch>
                  </pic:blipFill>
                  <pic:spPr>
                    <a:xfrm>
                      <a:off x="0" y="0"/>
                      <a:ext cx="7560000" cy="10692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tbl>
      <w:tblPr>
        <w:tblW w:w="7542" w:type="dxa"/>
        <w:tblInd w:w="113" w:type="dxa"/>
        <w:tblCellMar>
          <w:left w:w="0" w:type="dxa"/>
          <w:right w:w="0" w:type="dxa"/>
        </w:tblCellMar>
        <w:tblLook w:val="04A0" w:firstRow="1" w:lastRow="0" w:firstColumn="1" w:lastColumn="0" w:noHBand="0" w:noVBand="1"/>
      </w:tblPr>
      <w:tblGrid>
        <w:gridCol w:w="7542"/>
      </w:tblGrid>
      <w:tr w:rsidR="001817CD" w:rsidRPr="003072C6" w14:paraId="1FC2B1E2" w14:textId="77777777" w:rsidTr="007D6BCA">
        <w:trPr>
          <w:trHeight w:val="3988"/>
        </w:trPr>
        <w:tc>
          <w:tcPr>
            <w:tcW w:w="7542" w:type="dxa"/>
            <w:shd w:val="clear" w:color="auto" w:fill="auto"/>
          </w:tcPr>
          <w:p w14:paraId="06C71E64" w14:textId="0DE4D3A1" w:rsidR="00A706B4" w:rsidRDefault="00E66235" w:rsidP="00892EDF">
            <w:pPr>
              <w:pStyle w:val="DHHSreportmaintitlewhite"/>
            </w:pPr>
            <w:bookmarkStart w:id="0" w:name="_Hlk770124"/>
            <w:bookmarkEnd w:id="0"/>
            <w:r>
              <w:t>Victorian cancer plan mon</w:t>
            </w:r>
            <w:r w:rsidR="00E1168E">
              <w:t xml:space="preserve">itoring and evaluation </w:t>
            </w:r>
            <w:r w:rsidR="00660C83">
              <w:t>framework</w:t>
            </w:r>
            <w:r w:rsidR="00952FC7">
              <w:t>: b</w:t>
            </w:r>
            <w:r w:rsidR="00660C83">
              <w:t>aseline report</w:t>
            </w:r>
          </w:p>
          <w:p w14:paraId="081337B2" w14:textId="77777777" w:rsidR="0056220B" w:rsidRDefault="00952FC7" w:rsidP="00E91933">
            <w:pPr>
              <w:pStyle w:val="DHHSreportsubtitlewhite"/>
            </w:pPr>
            <w:r>
              <w:t xml:space="preserve">The first baseline report against selected measures in the </w:t>
            </w:r>
            <w:r w:rsidRPr="00555305">
              <w:rPr>
                <w:i/>
              </w:rPr>
              <w:t>Victorian cancer plan monitoring and evaluation framework</w:t>
            </w:r>
            <w:r w:rsidDel="00952FC7">
              <w:t xml:space="preserve"> </w:t>
            </w:r>
          </w:p>
          <w:p w14:paraId="3D953297" w14:textId="268CB66C" w:rsidR="002549DE" w:rsidRPr="003072C6" w:rsidRDefault="002549DE" w:rsidP="00E91933">
            <w:pPr>
              <w:pStyle w:val="DHHSreportsubtitlewhite"/>
            </w:pPr>
          </w:p>
        </w:tc>
      </w:tr>
      <w:tr w:rsidR="001817CD" w:rsidRPr="003072C6" w14:paraId="24761364" w14:textId="77777777" w:rsidTr="007D6BCA">
        <w:trPr>
          <w:trHeight w:val="4664"/>
        </w:trPr>
        <w:tc>
          <w:tcPr>
            <w:tcW w:w="7542" w:type="dxa"/>
            <w:shd w:val="clear" w:color="auto" w:fill="auto"/>
          </w:tcPr>
          <w:p w14:paraId="0B2EFB94" w14:textId="03D56984" w:rsidR="00BC01C1" w:rsidRPr="003072C6" w:rsidRDefault="00BC01C1" w:rsidP="00A706B4">
            <w:pPr>
              <w:pStyle w:val="Coverinstructions"/>
            </w:pPr>
          </w:p>
        </w:tc>
      </w:tr>
    </w:tbl>
    <w:p w14:paraId="60D2A6C3" w14:textId="23A36752" w:rsidR="0069374A" w:rsidRPr="003072C6" w:rsidRDefault="0069374A" w:rsidP="00C2657D">
      <w:pPr>
        <w:pStyle w:val="DHHSbodynospace"/>
        <w:ind w:left="-454"/>
      </w:pPr>
    </w:p>
    <w:p w14:paraId="0C5472F7" w14:textId="77777777" w:rsidR="00C51B1C" w:rsidRDefault="00C51B1C" w:rsidP="00CA6D4E">
      <w:pPr>
        <w:pStyle w:val="DHHSbodynospace"/>
        <w:sectPr w:rsidR="00C51B1C" w:rsidSect="00656B77">
          <w:headerReference w:type="even" r:id="rId9"/>
          <w:headerReference w:type="default" r:id="rId10"/>
          <w:footerReference w:type="even" r:id="rId11"/>
          <w:footerReference w:type="default" r:id="rId12"/>
          <w:headerReference w:type="first" r:id="rId13"/>
          <w:footerReference w:type="first" r:id="rId14"/>
          <w:type w:val="oddPage"/>
          <w:pgSz w:w="11906" w:h="16838"/>
          <w:pgMar w:top="3969" w:right="1304" w:bottom="1134" w:left="1304" w:header="454" w:footer="567" w:gutter="0"/>
          <w:cols w:space="720"/>
          <w:docGrid w:linePitch="360"/>
        </w:sectPr>
      </w:pPr>
    </w:p>
    <w:tbl>
      <w:tblPr>
        <w:tblW w:w="0" w:type="auto"/>
        <w:tblCellMar>
          <w:top w:w="113" w:type="dxa"/>
          <w:left w:w="0" w:type="dxa"/>
          <w:bottom w:w="57" w:type="dxa"/>
          <w:right w:w="0" w:type="dxa"/>
        </w:tblCellMar>
        <w:tblLook w:val="00A0" w:firstRow="1" w:lastRow="0" w:firstColumn="1" w:lastColumn="0" w:noHBand="0" w:noVBand="0"/>
      </w:tblPr>
      <w:tblGrid>
        <w:gridCol w:w="9298"/>
      </w:tblGrid>
      <w:tr w:rsidR="00564E8F" w:rsidRPr="003072C6" w14:paraId="450FF71F" w14:textId="77777777" w:rsidTr="006F46A3">
        <w:trPr>
          <w:trHeight w:val="3015"/>
        </w:trPr>
        <w:tc>
          <w:tcPr>
            <w:tcW w:w="9298" w:type="dxa"/>
          </w:tcPr>
          <w:p w14:paraId="6C9B73A9" w14:textId="77777777" w:rsidR="006F46A3" w:rsidRPr="006F46A3" w:rsidRDefault="006F46A3" w:rsidP="006F46A3">
            <w:pPr>
              <w:pStyle w:val="DHHSbody"/>
              <w:rPr>
                <w:color w:val="C00000"/>
                <w:sz w:val="32"/>
                <w:szCs w:val="32"/>
              </w:rPr>
            </w:pPr>
            <w:r w:rsidRPr="006F46A3">
              <w:rPr>
                <w:color w:val="C00000"/>
                <w:sz w:val="32"/>
                <w:szCs w:val="32"/>
              </w:rPr>
              <w:lastRenderedPageBreak/>
              <w:t>Disclaimer</w:t>
            </w:r>
          </w:p>
          <w:p w14:paraId="46D3C3EB" w14:textId="22B0FAAE" w:rsidR="00564E8F" w:rsidRPr="00605B5B" w:rsidRDefault="006F46A3" w:rsidP="006F46A3">
            <w:pPr>
              <w:pStyle w:val="DHHSbody"/>
              <w:rPr>
                <w:i/>
                <w:color w:val="008950"/>
                <w:sz w:val="26"/>
                <w:szCs w:val="26"/>
              </w:rPr>
            </w:pPr>
            <w:r w:rsidRPr="00006F11">
              <w:t>The information contained in this report has been provided in good faith and reasonable steps have been taken to ensure it is reliable and accurate at the time of publication</w:t>
            </w:r>
            <w:r w:rsidRPr="00006F11">
              <w:rPr>
                <w:b/>
              </w:rPr>
              <w:t xml:space="preserve">. </w:t>
            </w:r>
            <w:r w:rsidRPr="00006F11">
              <w:rPr>
                <w:rStyle w:val="Emphasis"/>
                <w:rFonts w:eastAsia="MS Gothic" w:cs="Arial"/>
                <w:b w:val="0"/>
              </w:rPr>
              <w:t>However, t</w:t>
            </w:r>
            <w:r w:rsidRPr="00240DD1">
              <w:t>he</w:t>
            </w:r>
            <w:r w:rsidRPr="00006F11">
              <w:rPr>
                <w:b/>
              </w:rPr>
              <w:t xml:space="preserve"> </w:t>
            </w:r>
            <w:r w:rsidRPr="00006F11">
              <w:rPr>
                <w:rStyle w:val="Emphasis"/>
                <w:rFonts w:eastAsia="MS Gothic" w:cs="Arial"/>
                <w:b w:val="0"/>
              </w:rPr>
              <w:t>Department of Health and Human Services</w:t>
            </w:r>
            <w:r w:rsidRPr="00006F11">
              <w:t xml:space="preserve"> has obtained the data from various data custodians and does not represent or warrant that the content of this report is accurate, authentic or complete or that the information contained in this report is suitable for your needs. The information is provided on the basis that the reader will be solely responsible for assessing the information and its veracity and usefulness. To the extent permitted by law, the State of Victoria excludes liability for any loss caused by use or reliance on this report, even if such information is wrong, incomplete, out of date or misleading.</w:t>
            </w:r>
          </w:p>
        </w:tc>
      </w:tr>
      <w:tr w:rsidR="00564E8F" w:rsidRPr="003072C6" w14:paraId="7DF60026" w14:textId="77777777" w:rsidTr="006F46A3">
        <w:trPr>
          <w:trHeight w:val="9608"/>
        </w:trPr>
        <w:tc>
          <w:tcPr>
            <w:tcW w:w="9298" w:type="dxa"/>
            <w:vAlign w:val="bottom"/>
          </w:tcPr>
          <w:p w14:paraId="1088378E" w14:textId="554606BC" w:rsidR="00605B5B" w:rsidRPr="00605B5B" w:rsidRDefault="00605B5B" w:rsidP="00605B5B">
            <w:pPr>
              <w:spacing w:after="200" w:line="300" w:lineRule="atLeast"/>
              <w:rPr>
                <w:rFonts w:ascii="Arial" w:eastAsia="Times" w:hAnsi="Arial"/>
                <w:sz w:val="24"/>
                <w:szCs w:val="19"/>
              </w:rPr>
            </w:pPr>
            <w:bookmarkStart w:id="1" w:name="_Hlk20983832"/>
            <w:r w:rsidRPr="00605B5B">
              <w:rPr>
                <w:rFonts w:ascii="Arial" w:eastAsia="Times" w:hAnsi="Arial"/>
                <w:sz w:val="24"/>
                <w:szCs w:val="19"/>
              </w:rPr>
              <w:t xml:space="preserve">To receive this publication in an accessible format phone </w:t>
            </w:r>
            <w:r w:rsidR="00A70C46">
              <w:rPr>
                <w:rFonts w:ascii="Arial" w:eastAsia="Times" w:hAnsi="Arial"/>
                <w:sz w:val="24"/>
                <w:szCs w:val="19"/>
              </w:rPr>
              <w:t>1300 650 172</w:t>
            </w:r>
            <w:r w:rsidRPr="00605B5B">
              <w:rPr>
                <w:rFonts w:ascii="Arial" w:eastAsia="Times" w:hAnsi="Arial"/>
                <w:sz w:val="24"/>
                <w:szCs w:val="19"/>
              </w:rPr>
              <w:t xml:space="preserve"> using the National Relay Service 13 36 77 if required, or </w:t>
            </w:r>
            <w:hyperlink r:id="rId15" w:history="1">
              <w:r w:rsidRPr="00250729">
                <w:rPr>
                  <w:rStyle w:val="Hyperlink"/>
                  <w:rFonts w:ascii="Arial" w:eastAsia="Times" w:hAnsi="Arial"/>
                  <w:sz w:val="24"/>
                  <w:szCs w:val="19"/>
                </w:rPr>
                <w:t>email</w:t>
              </w:r>
              <w:r w:rsidR="00A70C46" w:rsidRPr="00250729">
                <w:rPr>
                  <w:rStyle w:val="Hyperlink"/>
                  <w:rFonts w:ascii="Arial" w:eastAsia="Times" w:hAnsi="Arial"/>
                  <w:sz w:val="24"/>
                  <w:szCs w:val="19"/>
                </w:rPr>
                <w:t xml:space="preserve"> Cancer Planning</w:t>
              </w:r>
            </w:hyperlink>
            <w:r w:rsidRPr="00605B5B">
              <w:rPr>
                <w:rFonts w:ascii="Arial" w:eastAsia="Times" w:hAnsi="Arial"/>
                <w:sz w:val="24"/>
                <w:szCs w:val="19"/>
              </w:rPr>
              <w:t xml:space="preserve"> </w:t>
            </w:r>
            <w:r w:rsidRPr="00250729">
              <w:rPr>
                <w:rFonts w:ascii="Arial" w:eastAsia="Times" w:hAnsi="Arial"/>
                <w:sz w:val="24"/>
                <w:szCs w:val="19"/>
              </w:rPr>
              <w:t>&lt;</w:t>
            </w:r>
            <w:r w:rsidR="00A70C46" w:rsidRPr="00250729">
              <w:rPr>
                <w:rFonts w:ascii="Arial" w:eastAsia="Times" w:hAnsi="Arial"/>
                <w:sz w:val="24"/>
                <w:szCs w:val="19"/>
              </w:rPr>
              <w:t>cancerplanning@dhhs.vic.gov.au</w:t>
            </w:r>
            <w:r w:rsidRPr="00250729">
              <w:rPr>
                <w:rFonts w:ascii="Arial" w:eastAsia="Times" w:hAnsi="Arial"/>
                <w:sz w:val="24"/>
                <w:szCs w:val="19"/>
              </w:rPr>
              <w:t>&gt;</w:t>
            </w:r>
            <w:r w:rsidR="00CB0C47" w:rsidRPr="00250729">
              <w:rPr>
                <w:rFonts w:ascii="Arial" w:eastAsia="Times" w:hAnsi="Arial"/>
                <w:sz w:val="24"/>
                <w:szCs w:val="19"/>
              </w:rPr>
              <w:t>.</w:t>
            </w:r>
          </w:p>
          <w:bookmarkEnd w:id="1"/>
          <w:p w14:paraId="54C80D83" w14:textId="77777777" w:rsidR="00605B5B" w:rsidRPr="00605B5B" w:rsidRDefault="00605B5B" w:rsidP="00605B5B">
            <w:pPr>
              <w:spacing w:after="120" w:line="270" w:lineRule="atLeast"/>
              <w:rPr>
                <w:rFonts w:ascii="Arial" w:eastAsia="Times" w:hAnsi="Arial"/>
              </w:rPr>
            </w:pPr>
            <w:r w:rsidRPr="00605B5B">
              <w:rPr>
                <w:rFonts w:ascii="Arial" w:eastAsia="Times" w:hAnsi="Arial"/>
              </w:rPr>
              <w:t>Authorised and published by the Victorian Governmen</w:t>
            </w:r>
            <w:r>
              <w:rPr>
                <w:rFonts w:ascii="Arial" w:eastAsia="Times" w:hAnsi="Arial"/>
              </w:rPr>
              <w:t>t, 1 Treasury Place, Melbourne.</w:t>
            </w:r>
          </w:p>
          <w:p w14:paraId="19BB4D02" w14:textId="08A6F5F7" w:rsidR="00605B5B" w:rsidRPr="00605B5B" w:rsidRDefault="00605B5B" w:rsidP="00605B5B">
            <w:pPr>
              <w:spacing w:after="120" w:line="270" w:lineRule="atLeast"/>
              <w:rPr>
                <w:rFonts w:ascii="Arial" w:eastAsia="Times" w:hAnsi="Arial"/>
              </w:rPr>
            </w:pPr>
            <w:r w:rsidRPr="00605B5B">
              <w:rPr>
                <w:rFonts w:ascii="Arial" w:eastAsia="Times" w:hAnsi="Arial"/>
              </w:rPr>
              <w:t xml:space="preserve">© State of Victoria, Department of Health </w:t>
            </w:r>
            <w:r w:rsidR="002679D5">
              <w:rPr>
                <w:rFonts w:ascii="Arial" w:eastAsia="Times" w:hAnsi="Arial"/>
              </w:rPr>
              <w:t>and</w:t>
            </w:r>
            <w:r w:rsidRPr="00605B5B">
              <w:rPr>
                <w:rFonts w:ascii="Arial" w:eastAsia="Times" w:hAnsi="Arial"/>
              </w:rPr>
              <w:t xml:space="preserve"> Human </w:t>
            </w:r>
            <w:r w:rsidRPr="00CB0C47">
              <w:rPr>
                <w:rFonts w:ascii="Arial" w:eastAsia="Times" w:hAnsi="Arial"/>
              </w:rPr>
              <w:t>Services</w:t>
            </w:r>
            <w:r w:rsidR="00CB0C47">
              <w:rPr>
                <w:rFonts w:ascii="Arial" w:eastAsia="Times" w:hAnsi="Arial"/>
              </w:rPr>
              <w:t xml:space="preserve">, </w:t>
            </w:r>
            <w:r w:rsidR="0053372B">
              <w:rPr>
                <w:rFonts w:ascii="Arial" w:eastAsia="Times" w:hAnsi="Arial"/>
              </w:rPr>
              <w:t>February</w:t>
            </w:r>
            <w:r w:rsidR="003A740D">
              <w:rPr>
                <w:rFonts w:ascii="Arial" w:eastAsia="Times" w:hAnsi="Arial"/>
              </w:rPr>
              <w:t xml:space="preserve"> </w:t>
            </w:r>
            <w:r w:rsidR="00A2752B" w:rsidRPr="00A2752B">
              <w:rPr>
                <w:rFonts w:ascii="Arial" w:eastAsia="Times" w:hAnsi="Arial"/>
              </w:rPr>
              <w:t>20</w:t>
            </w:r>
            <w:r w:rsidR="003A740D">
              <w:rPr>
                <w:rFonts w:ascii="Arial" w:eastAsia="Times" w:hAnsi="Arial"/>
              </w:rPr>
              <w:t>20</w:t>
            </w:r>
          </w:p>
          <w:p w14:paraId="41860737" w14:textId="02917307" w:rsidR="00605B5B" w:rsidRDefault="00605B5B" w:rsidP="00605B5B">
            <w:pPr>
              <w:spacing w:after="120" w:line="270" w:lineRule="atLeast"/>
              <w:rPr>
                <w:rFonts w:ascii="Arial" w:eastAsia="Times" w:hAnsi="Arial"/>
              </w:rPr>
            </w:pPr>
            <w:r w:rsidRPr="001444D5">
              <w:rPr>
                <w:rFonts w:ascii="Arial" w:eastAsia="Times" w:hAnsi="Arial"/>
              </w:rPr>
              <w:t>Where the term ‘Aboriginal’ is used it refers to both Aboriginal and Torres Strait Islander people. Indigenous is retained when it is part of the title of a report, program or quotation.</w:t>
            </w:r>
          </w:p>
          <w:p w14:paraId="20F69183" w14:textId="1F6D9CD3" w:rsidR="004F7A13" w:rsidRPr="00C32D83" w:rsidRDefault="004F7A13" w:rsidP="00C32D83">
            <w:pPr>
              <w:rPr>
                <w:rFonts w:ascii="Arial" w:hAnsi="Arial" w:cs="Arial"/>
              </w:rPr>
            </w:pPr>
            <w:r>
              <w:rPr>
                <w:noProof/>
              </w:rPr>
              <w:drawing>
                <wp:inline distT="0" distB="0" distL="0" distR="0" wp14:anchorId="7367354F" wp14:editId="383442BD">
                  <wp:extent cx="168965" cy="260801"/>
                  <wp:effectExtent l="0" t="0" r="2540" b="6350"/>
                  <wp:docPr id="237" name="Picture 237" descr="Nordpfeil.p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Nordpfeil.png"/>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180038" cy="277893"/>
                          </a:xfrm>
                          <a:prstGeom prst="rect">
                            <a:avLst/>
                          </a:prstGeom>
                          <a:noFill/>
                          <a:ln>
                            <a:noFill/>
                          </a:ln>
                        </pic:spPr>
                      </pic:pic>
                    </a:graphicData>
                  </a:graphic>
                </wp:inline>
              </w:drawing>
            </w:r>
            <w:r>
              <w:rPr>
                <w:rFonts w:ascii="Arial" w:eastAsia="Times" w:hAnsi="Arial"/>
              </w:rPr>
              <w:t xml:space="preserve"> </w:t>
            </w:r>
            <w:r w:rsidRPr="00C32D83">
              <w:rPr>
                <w:rFonts w:ascii="Arial" w:eastAsia="Times" w:hAnsi="Arial"/>
              </w:rPr>
              <w:t>North s</w:t>
            </w:r>
            <w:r w:rsidR="00C32D83" w:rsidRPr="00C32D83">
              <w:rPr>
                <w:rFonts w:ascii="Arial" w:eastAsia="Times" w:hAnsi="Arial"/>
              </w:rPr>
              <w:t xml:space="preserve">ymbol from clipart </w:t>
            </w:r>
            <w:r w:rsidR="00C32D83" w:rsidRPr="00C32D83">
              <w:rPr>
                <w:rFonts w:ascii="Arial" w:eastAsia="Times" w:hAnsi="Arial" w:cs="Arial"/>
              </w:rPr>
              <w:t>library &lt;</w:t>
            </w:r>
            <w:r w:rsidR="00C32D83" w:rsidRPr="00C32D83">
              <w:rPr>
                <w:rFonts w:ascii="Arial" w:hAnsi="Arial" w:cs="Arial"/>
              </w:rPr>
              <w:t>http://clipart-library.com/north.html</w:t>
            </w:r>
            <w:r w:rsidR="00C32D83">
              <w:rPr>
                <w:rFonts w:ascii="Arial" w:hAnsi="Arial" w:cs="Arial"/>
              </w:rPr>
              <w:t>&gt;</w:t>
            </w:r>
            <w:r w:rsidR="00C32D83" w:rsidRPr="00C32D83">
              <w:rPr>
                <w:rFonts w:ascii="Arial" w:hAnsi="Arial" w:cs="Arial"/>
              </w:rPr>
              <w:t>.</w:t>
            </w:r>
          </w:p>
          <w:p w14:paraId="73D2AB82" w14:textId="77777777" w:rsidR="00C32D83" w:rsidRPr="00C32D83" w:rsidRDefault="00C32D83" w:rsidP="00C32D83"/>
          <w:p w14:paraId="4DCF9961" w14:textId="5F73C209" w:rsidR="00605B5B" w:rsidRPr="00605B5B" w:rsidRDefault="00C71784" w:rsidP="00605B5B">
            <w:pPr>
              <w:spacing w:after="120" w:line="270" w:lineRule="atLeast"/>
              <w:rPr>
                <w:rFonts w:ascii="Arial" w:eastAsia="Times" w:hAnsi="Arial"/>
              </w:rPr>
            </w:pPr>
            <w:r w:rsidRPr="00D43E20">
              <w:rPr>
                <w:rFonts w:ascii="Arial" w:eastAsia="Times" w:hAnsi="Arial"/>
              </w:rPr>
              <w:t>ISBN</w:t>
            </w:r>
            <w:r w:rsidRPr="00D43E20">
              <w:rPr>
                <w:rFonts w:ascii="Arial" w:eastAsia="Times" w:hAnsi="Arial"/>
                <w:color w:val="008950"/>
              </w:rPr>
              <w:t xml:space="preserve"> </w:t>
            </w:r>
            <w:r w:rsidRPr="00D43E20">
              <w:rPr>
                <w:rFonts w:ascii="Arial" w:hAnsi="Arial" w:cs="Arial"/>
                <w:color w:val="000000"/>
              </w:rPr>
              <w:t>978-1-76069-032-8</w:t>
            </w:r>
            <w:r w:rsidRPr="00D43E20">
              <w:rPr>
                <w:rFonts w:ascii="Arial" w:hAnsi="Arial" w:cs="Arial"/>
                <w:b/>
                <w:bCs/>
                <w:color w:val="000000"/>
              </w:rPr>
              <w:t xml:space="preserve"> (pdf/online/MS word)</w:t>
            </w:r>
          </w:p>
          <w:p w14:paraId="303BF442" w14:textId="7A7D43A5" w:rsidR="00605B5B" w:rsidRPr="00605B5B" w:rsidRDefault="00605B5B" w:rsidP="00605B5B">
            <w:pPr>
              <w:spacing w:after="120" w:line="270" w:lineRule="atLeast"/>
              <w:rPr>
                <w:rFonts w:ascii="Arial" w:eastAsia="Times" w:hAnsi="Arial"/>
                <w:szCs w:val="19"/>
              </w:rPr>
            </w:pPr>
            <w:bookmarkStart w:id="2" w:name="_Hlk20983950"/>
            <w:r w:rsidRPr="00605B5B">
              <w:rPr>
                <w:rFonts w:ascii="Arial" w:eastAsia="Times" w:hAnsi="Arial"/>
                <w:szCs w:val="19"/>
              </w:rPr>
              <w:t xml:space="preserve">Available </w:t>
            </w:r>
            <w:r w:rsidR="00D20D63">
              <w:rPr>
                <w:rFonts w:ascii="Arial" w:eastAsia="Times" w:hAnsi="Arial"/>
                <w:szCs w:val="19"/>
              </w:rPr>
              <w:t>online from</w:t>
            </w:r>
            <w:r w:rsidR="00952FC7">
              <w:rPr>
                <w:rFonts w:ascii="Arial" w:eastAsia="Times" w:hAnsi="Arial"/>
                <w:szCs w:val="19"/>
              </w:rPr>
              <w:t xml:space="preserve"> </w:t>
            </w:r>
            <w:hyperlink r:id="rId19" w:history="1">
              <w:r w:rsidR="00AB3635" w:rsidRPr="00FD5B54">
                <w:rPr>
                  <w:rStyle w:val="Hyperlink"/>
                  <w:rFonts w:ascii="Arial" w:eastAsia="Times" w:hAnsi="Arial"/>
                  <w:szCs w:val="19"/>
                </w:rPr>
                <w:t>Cancer care</w:t>
              </w:r>
            </w:hyperlink>
            <w:r w:rsidR="00AB3635">
              <w:rPr>
                <w:rFonts w:ascii="Arial" w:eastAsia="Times" w:hAnsi="Arial"/>
                <w:szCs w:val="19"/>
              </w:rPr>
              <w:t xml:space="preserve"> &lt;</w:t>
            </w:r>
            <w:r w:rsidR="00AB3635" w:rsidRPr="00FD5B54">
              <w:rPr>
                <w:rFonts w:ascii="Arial" w:eastAsia="Times" w:hAnsi="Arial"/>
                <w:szCs w:val="19"/>
              </w:rPr>
              <w:t>https://www2.health.vic.gov.au/about/health-strategies/cancer-care</w:t>
            </w:r>
            <w:r w:rsidR="00AB3635">
              <w:rPr>
                <w:rFonts w:ascii="Arial" w:eastAsia="Times" w:hAnsi="Arial"/>
                <w:szCs w:val="19"/>
              </w:rPr>
              <w:t>&gt;</w:t>
            </w:r>
            <w:r w:rsidR="00AB3635" w:rsidRPr="00605B5B">
              <w:rPr>
                <w:rFonts w:ascii="Arial" w:eastAsia="Times" w:hAnsi="Arial"/>
                <w:szCs w:val="19"/>
              </w:rPr>
              <w:t xml:space="preserve"> </w:t>
            </w:r>
          </w:p>
          <w:bookmarkEnd w:id="2"/>
          <w:p w14:paraId="07164F89" w14:textId="0D06DECE" w:rsidR="00564E8F" w:rsidRPr="003072C6" w:rsidRDefault="00250729" w:rsidP="00605B5B">
            <w:pPr>
              <w:pStyle w:val="DHHSbody"/>
            </w:pPr>
            <w:r>
              <w:t>(</w:t>
            </w:r>
            <w:r w:rsidRPr="00250729">
              <w:t>1904241</w:t>
            </w:r>
            <w:r>
              <w:t xml:space="preserve"> figures)</w:t>
            </w:r>
          </w:p>
        </w:tc>
      </w:tr>
      <w:tr w:rsidR="009906C7" w:rsidRPr="003072C6" w14:paraId="3C8EFB48" w14:textId="77777777" w:rsidTr="006F46A3">
        <w:tc>
          <w:tcPr>
            <w:tcW w:w="9298" w:type="dxa"/>
            <w:vAlign w:val="bottom"/>
          </w:tcPr>
          <w:p w14:paraId="6170B9A6" w14:textId="38C80603" w:rsidR="009906C7" w:rsidRPr="00006F11" w:rsidRDefault="009906C7" w:rsidP="006F46A3">
            <w:pPr>
              <w:pStyle w:val="DHHSbody"/>
            </w:pPr>
          </w:p>
        </w:tc>
      </w:tr>
    </w:tbl>
    <w:p w14:paraId="56C6A436" w14:textId="27A98000" w:rsidR="00AC0C3B" w:rsidRPr="00DB4F90" w:rsidRDefault="00AC0C3B" w:rsidP="00AB50C1">
      <w:pPr>
        <w:pStyle w:val="DHHSTOCheadingreport"/>
      </w:pPr>
      <w:r w:rsidRPr="00DB4F90">
        <w:lastRenderedPageBreak/>
        <w:t>Contents</w:t>
      </w:r>
    </w:p>
    <w:p w14:paraId="22515EBF" w14:textId="7123B405" w:rsidR="001B2FE5" w:rsidRDefault="00E15DA9">
      <w:pPr>
        <w:pStyle w:val="TOC1"/>
        <w:rPr>
          <w:rFonts w:asciiTheme="minorHAnsi" w:eastAsiaTheme="minorEastAsia" w:hAnsiTheme="minorHAnsi" w:cstheme="minorBidi"/>
          <w:b w:val="0"/>
          <w:color w:val="auto"/>
          <w:sz w:val="22"/>
          <w:szCs w:val="22"/>
        </w:rPr>
      </w:pPr>
      <w:r w:rsidRPr="003072C6">
        <w:rPr>
          <w:noProof w:val="0"/>
        </w:rPr>
        <w:fldChar w:fldCharType="begin"/>
      </w:r>
      <w:r w:rsidRPr="003072C6">
        <w:rPr>
          <w:noProof w:val="0"/>
        </w:rPr>
        <w:instrText xml:space="preserve"> TOC \h \z \t "Heading 1,1,Heading 2,2" </w:instrText>
      </w:r>
      <w:r w:rsidRPr="003072C6">
        <w:rPr>
          <w:noProof w:val="0"/>
        </w:rPr>
        <w:fldChar w:fldCharType="separate"/>
      </w:r>
      <w:hyperlink w:anchor="_Toc33457054" w:history="1">
        <w:r w:rsidR="001B2FE5" w:rsidRPr="0098081B">
          <w:rPr>
            <w:rStyle w:val="Hyperlink"/>
          </w:rPr>
          <w:t>Executive summary</w:t>
        </w:r>
        <w:r w:rsidR="001B2FE5">
          <w:rPr>
            <w:webHidden/>
          </w:rPr>
          <w:tab/>
        </w:r>
        <w:r w:rsidR="001B2FE5">
          <w:rPr>
            <w:webHidden/>
          </w:rPr>
          <w:fldChar w:fldCharType="begin"/>
        </w:r>
        <w:r w:rsidR="001B2FE5">
          <w:rPr>
            <w:webHidden/>
          </w:rPr>
          <w:instrText xml:space="preserve"> PAGEREF _Toc33457054 \h </w:instrText>
        </w:r>
        <w:r w:rsidR="001B2FE5">
          <w:rPr>
            <w:webHidden/>
          </w:rPr>
        </w:r>
        <w:r w:rsidR="001B2FE5">
          <w:rPr>
            <w:webHidden/>
          </w:rPr>
          <w:fldChar w:fldCharType="separate"/>
        </w:r>
        <w:r w:rsidR="001B2FE5">
          <w:rPr>
            <w:webHidden/>
          </w:rPr>
          <w:t>4</w:t>
        </w:r>
        <w:r w:rsidR="001B2FE5">
          <w:rPr>
            <w:webHidden/>
          </w:rPr>
          <w:fldChar w:fldCharType="end"/>
        </w:r>
      </w:hyperlink>
    </w:p>
    <w:p w14:paraId="26AC8501" w14:textId="58AC5B0F" w:rsidR="001B2FE5" w:rsidRDefault="009D1534">
      <w:pPr>
        <w:pStyle w:val="TOC1"/>
        <w:rPr>
          <w:rFonts w:asciiTheme="minorHAnsi" w:eastAsiaTheme="minorEastAsia" w:hAnsiTheme="minorHAnsi" w:cstheme="minorBidi"/>
          <w:b w:val="0"/>
          <w:color w:val="auto"/>
          <w:sz w:val="22"/>
          <w:szCs w:val="22"/>
        </w:rPr>
      </w:pPr>
      <w:hyperlink w:anchor="_Toc33457055" w:history="1">
        <w:r w:rsidR="001B2FE5" w:rsidRPr="0098081B">
          <w:rPr>
            <w:rStyle w:val="Hyperlink"/>
          </w:rPr>
          <w:t>Introduction</w:t>
        </w:r>
        <w:r w:rsidR="001B2FE5">
          <w:rPr>
            <w:webHidden/>
          </w:rPr>
          <w:tab/>
        </w:r>
        <w:r w:rsidR="001B2FE5">
          <w:rPr>
            <w:webHidden/>
          </w:rPr>
          <w:fldChar w:fldCharType="begin"/>
        </w:r>
        <w:r w:rsidR="001B2FE5">
          <w:rPr>
            <w:webHidden/>
          </w:rPr>
          <w:instrText xml:space="preserve"> PAGEREF _Toc33457055 \h </w:instrText>
        </w:r>
        <w:r w:rsidR="001B2FE5">
          <w:rPr>
            <w:webHidden/>
          </w:rPr>
        </w:r>
        <w:r w:rsidR="001B2FE5">
          <w:rPr>
            <w:webHidden/>
          </w:rPr>
          <w:fldChar w:fldCharType="separate"/>
        </w:r>
        <w:r w:rsidR="001B2FE5">
          <w:rPr>
            <w:webHidden/>
          </w:rPr>
          <w:t>5</w:t>
        </w:r>
        <w:r w:rsidR="001B2FE5">
          <w:rPr>
            <w:webHidden/>
          </w:rPr>
          <w:fldChar w:fldCharType="end"/>
        </w:r>
      </w:hyperlink>
    </w:p>
    <w:p w14:paraId="43773302" w14:textId="36227C13" w:rsidR="001B2FE5" w:rsidRDefault="009D1534">
      <w:pPr>
        <w:pStyle w:val="TOC2"/>
        <w:rPr>
          <w:rFonts w:asciiTheme="minorHAnsi" w:eastAsiaTheme="minorEastAsia" w:hAnsiTheme="minorHAnsi" w:cstheme="minorBidi"/>
          <w:sz w:val="22"/>
          <w:szCs w:val="22"/>
        </w:rPr>
      </w:pPr>
      <w:hyperlink w:anchor="_Toc33457056" w:history="1">
        <w:r w:rsidR="001B2FE5" w:rsidRPr="0098081B">
          <w:rPr>
            <w:rStyle w:val="Hyperlink"/>
          </w:rPr>
          <w:t>The Victorian monitoring and evaluation framework: measuring our success</w:t>
        </w:r>
        <w:r w:rsidR="001B2FE5">
          <w:rPr>
            <w:webHidden/>
          </w:rPr>
          <w:tab/>
        </w:r>
        <w:r w:rsidR="001B2FE5">
          <w:rPr>
            <w:webHidden/>
          </w:rPr>
          <w:fldChar w:fldCharType="begin"/>
        </w:r>
        <w:r w:rsidR="001B2FE5">
          <w:rPr>
            <w:webHidden/>
          </w:rPr>
          <w:instrText xml:space="preserve"> PAGEREF _Toc33457056 \h </w:instrText>
        </w:r>
        <w:r w:rsidR="001B2FE5">
          <w:rPr>
            <w:webHidden/>
          </w:rPr>
        </w:r>
        <w:r w:rsidR="001B2FE5">
          <w:rPr>
            <w:webHidden/>
          </w:rPr>
          <w:fldChar w:fldCharType="separate"/>
        </w:r>
        <w:r w:rsidR="001B2FE5">
          <w:rPr>
            <w:webHidden/>
          </w:rPr>
          <w:t>5</w:t>
        </w:r>
        <w:r w:rsidR="001B2FE5">
          <w:rPr>
            <w:webHidden/>
          </w:rPr>
          <w:fldChar w:fldCharType="end"/>
        </w:r>
      </w:hyperlink>
    </w:p>
    <w:p w14:paraId="4EEC9DAE" w14:textId="3E7C65DF" w:rsidR="001B2FE5" w:rsidRDefault="009D1534">
      <w:pPr>
        <w:pStyle w:val="TOC2"/>
        <w:rPr>
          <w:rFonts w:asciiTheme="minorHAnsi" w:eastAsiaTheme="minorEastAsia" w:hAnsiTheme="minorHAnsi" w:cstheme="minorBidi"/>
          <w:sz w:val="22"/>
          <w:szCs w:val="22"/>
        </w:rPr>
      </w:pPr>
      <w:hyperlink w:anchor="_Toc33457057" w:history="1">
        <w:r w:rsidR="001B2FE5" w:rsidRPr="0098081B">
          <w:rPr>
            <w:rStyle w:val="Hyperlink"/>
          </w:rPr>
          <w:t>Purpose of the baseline report</w:t>
        </w:r>
        <w:r w:rsidR="001B2FE5">
          <w:rPr>
            <w:webHidden/>
          </w:rPr>
          <w:tab/>
        </w:r>
        <w:r w:rsidR="001B2FE5">
          <w:rPr>
            <w:webHidden/>
          </w:rPr>
          <w:fldChar w:fldCharType="begin"/>
        </w:r>
        <w:r w:rsidR="001B2FE5">
          <w:rPr>
            <w:webHidden/>
          </w:rPr>
          <w:instrText xml:space="preserve"> PAGEREF _Toc33457057 \h </w:instrText>
        </w:r>
        <w:r w:rsidR="001B2FE5">
          <w:rPr>
            <w:webHidden/>
          </w:rPr>
        </w:r>
        <w:r w:rsidR="001B2FE5">
          <w:rPr>
            <w:webHidden/>
          </w:rPr>
          <w:fldChar w:fldCharType="separate"/>
        </w:r>
        <w:r w:rsidR="001B2FE5">
          <w:rPr>
            <w:webHidden/>
          </w:rPr>
          <w:t>6</w:t>
        </w:r>
        <w:r w:rsidR="001B2FE5">
          <w:rPr>
            <w:webHidden/>
          </w:rPr>
          <w:fldChar w:fldCharType="end"/>
        </w:r>
      </w:hyperlink>
    </w:p>
    <w:p w14:paraId="666A00C3" w14:textId="1FFD289E" w:rsidR="001B2FE5" w:rsidRDefault="009D1534">
      <w:pPr>
        <w:pStyle w:val="TOC1"/>
        <w:rPr>
          <w:rFonts w:asciiTheme="minorHAnsi" w:eastAsiaTheme="minorEastAsia" w:hAnsiTheme="minorHAnsi" w:cstheme="minorBidi"/>
          <w:b w:val="0"/>
          <w:color w:val="auto"/>
          <w:sz w:val="22"/>
          <w:szCs w:val="22"/>
        </w:rPr>
      </w:pPr>
      <w:hyperlink w:anchor="_Toc33457058" w:history="1">
        <w:r w:rsidR="001B2FE5" w:rsidRPr="0098081B">
          <w:rPr>
            <w:rStyle w:val="Hyperlink"/>
          </w:rPr>
          <w:t>How to read this report</w:t>
        </w:r>
        <w:r w:rsidR="001B2FE5">
          <w:rPr>
            <w:webHidden/>
          </w:rPr>
          <w:tab/>
        </w:r>
        <w:r w:rsidR="001B2FE5">
          <w:rPr>
            <w:webHidden/>
          </w:rPr>
          <w:fldChar w:fldCharType="begin"/>
        </w:r>
        <w:r w:rsidR="001B2FE5">
          <w:rPr>
            <w:webHidden/>
          </w:rPr>
          <w:instrText xml:space="preserve"> PAGEREF _Toc33457058 \h </w:instrText>
        </w:r>
        <w:r w:rsidR="001B2FE5">
          <w:rPr>
            <w:webHidden/>
          </w:rPr>
        </w:r>
        <w:r w:rsidR="001B2FE5">
          <w:rPr>
            <w:webHidden/>
          </w:rPr>
          <w:fldChar w:fldCharType="separate"/>
        </w:r>
        <w:r w:rsidR="001B2FE5">
          <w:rPr>
            <w:webHidden/>
          </w:rPr>
          <w:t>7</w:t>
        </w:r>
        <w:r w:rsidR="001B2FE5">
          <w:rPr>
            <w:webHidden/>
          </w:rPr>
          <w:fldChar w:fldCharType="end"/>
        </w:r>
      </w:hyperlink>
    </w:p>
    <w:p w14:paraId="0BAC2FE8" w14:textId="0059A9FF" w:rsidR="001B2FE5" w:rsidRDefault="009D1534">
      <w:pPr>
        <w:pStyle w:val="TOC2"/>
        <w:rPr>
          <w:rFonts w:asciiTheme="minorHAnsi" w:eastAsiaTheme="minorEastAsia" w:hAnsiTheme="minorHAnsi" w:cstheme="minorBidi"/>
          <w:sz w:val="22"/>
          <w:szCs w:val="22"/>
        </w:rPr>
      </w:pPr>
      <w:hyperlink w:anchor="_Toc33457059" w:history="1">
        <w:r w:rsidR="001B2FE5" w:rsidRPr="0098081B">
          <w:rPr>
            <w:rStyle w:val="Hyperlink"/>
          </w:rPr>
          <w:t>Structure of the report</w:t>
        </w:r>
        <w:r w:rsidR="001B2FE5">
          <w:rPr>
            <w:webHidden/>
          </w:rPr>
          <w:tab/>
        </w:r>
        <w:r w:rsidR="001B2FE5">
          <w:rPr>
            <w:webHidden/>
          </w:rPr>
          <w:fldChar w:fldCharType="begin"/>
        </w:r>
        <w:r w:rsidR="001B2FE5">
          <w:rPr>
            <w:webHidden/>
          </w:rPr>
          <w:instrText xml:space="preserve"> PAGEREF _Toc33457059 \h </w:instrText>
        </w:r>
        <w:r w:rsidR="001B2FE5">
          <w:rPr>
            <w:webHidden/>
          </w:rPr>
        </w:r>
        <w:r w:rsidR="001B2FE5">
          <w:rPr>
            <w:webHidden/>
          </w:rPr>
          <w:fldChar w:fldCharType="separate"/>
        </w:r>
        <w:r w:rsidR="001B2FE5">
          <w:rPr>
            <w:webHidden/>
          </w:rPr>
          <w:t>7</w:t>
        </w:r>
        <w:r w:rsidR="001B2FE5">
          <w:rPr>
            <w:webHidden/>
          </w:rPr>
          <w:fldChar w:fldCharType="end"/>
        </w:r>
      </w:hyperlink>
    </w:p>
    <w:p w14:paraId="67B67C72" w14:textId="23E63BE0" w:rsidR="001B2FE5" w:rsidRDefault="009D1534">
      <w:pPr>
        <w:pStyle w:val="TOC2"/>
        <w:rPr>
          <w:rFonts w:asciiTheme="minorHAnsi" w:eastAsiaTheme="minorEastAsia" w:hAnsiTheme="minorHAnsi" w:cstheme="minorBidi"/>
          <w:sz w:val="22"/>
          <w:szCs w:val="22"/>
        </w:rPr>
      </w:pPr>
      <w:hyperlink w:anchor="_Toc33457060" w:history="1">
        <w:r w:rsidR="001B2FE5" w:rsidRPr="0098081B">
          <w:rPr>
            <w:rStyle w:val="Hyperlink"/>
          </w:rPr>
          <w:t>About the measures</w:t>
        </w:r>
        <w:r w:rsidR="001B2FE5">
          <w:rPr>
            <w:webHidden/>
          </w:rPr>
          <w:tab/>
        </w:r>
        <w:r w:rsidR="001B2FE5">
          <w:rPr>
            <w:webHidden/>
          </w:rPr>
          <w:fldChar w:fldCharType="begin"/>
        </w:r>
        <w:r w:rsidR="001B2FE5">
          <w:rPr>
            <w:webHidden/>
          </w:rPr>
          <w:instrText xml:space="preserve"> PAGEREF _Toc33457060 \h </w:instrText>
        </w:r>
        <w:r w:rsidR="001B2FE5">
          <w:rPr>
            <w:webHidden/>
          </w:rPr>
        </w:r>
        <w:r w:rsidR="001B2FE5">
          <w:rPr>
            <w:webHidden/>
          </w:rPr>
          <w:fldChar w:fldCharType="separate"/>
        </w:r>
        <w:r w:rsidR="001B2FE5">
          <w:rPr>
            <w:webHidden/>
          </w:rPr>
          <w:t>8</w:t>
        </w:r>
        <w:r w:rsidR="001B2FE5">
          <w:rPr>
            <w:webHidden/>
          </w:rPr>
          <w:fldChar w:fldCharType="end"/>
        </w:r>
      </w:hyperlink>
    </w:p>
    <w:p w14:paraId="5ED0FED9" w14:textId="6F4E3425" w:rsidR="001B2FE5" w:rsidRDefault="009D1534">
      <w:pPr>
        <w:pStyle w:val="TOC1"/>
        <w:rPr>
          <w:rFonts w:asciiTheme="minorHAnsi" w:eastAsiaTheme="minorEastAsia" w:hAnsiTheme="minorHAnsi" w:cstheme="minorBidi"/>
          <w:b w:val="0"/>
          <w:color w:val="auto"/>
          <w:sz w:val="22"/>
          <w:szCs w:val="22"/>
        </w:rPr>
      </w:pPr>
      <w:hyperlink w:anchor="_Toc33457061" w:history="1">
        <w:r w:rsidR="001B2FE5" w:rsidRPr="0098081B">
          <w:rPr>
            <w:rStyle w:val="Hyperlink"/>
          </w:rPr>
          <w:t>Dashboard</w:t>
        </w:r>
        <w:r w:rsidR="001B2FE5">
          <w:rPr>
            <w:webHidden/>
          </w:rPr>
          <w:tab/>
        </w:r>
        <w:r w:rsidR="001B2FE5">
          <w:rPr>
            <w:webHidden/>
          </w:rPr>
          <w:fldChar w:fldCharType="begin"/>
        </w:r>
        <w:r w:rsidR="001B2FE5">
          <w:rPr>
            <w:webHidden/>
          </w:rPr>
          <w:instrText xml:space="preserve"> PAGEREF _Toc33457061 \h </w:instrText>
        </w:r>
        <w:r w:rsidR="001B2FE5">
          <w:rPr>
            <w:webHidden/>
          </w:rPr>
        </w:r>
        <w:r w:rsidR="001B2FE5">
          <w:rPr>
            <w:webHidden/>
          </w:rPr>
          <w:fldChar w:fldCharType="separate"/>
        </w:r>
        <w:r w:rsidR="001B2FE5">
          <w:rPr>
            <w:webHidden/>
          </w:rPr>
          <w:t>10</w:t>
        </w:r>
        <w:r w:rsidR="001B2FE5">
          <w:rPr>
            <w:webHidden/>
          </w:rPr>
          <w:fldChar w:fldCharType="end"/>
        </w:r>
      </w:hyperlink>
    </w:p>
    <w:p w14:paraId="12CDB815" w14:textId="634D8D0F" w:rsidR="001B2FE5" w:rsidRDefault="009D1534">
      <w:pPr>
        <w:pStyle w:val="TOC1"/>
        <w:rPr>
          <w:rFonts w:asciiTheme="minorHAnsi" w:eastAsiaTheme="minorEastAsia" w:hAnsiTheme="minorHAnsi" w:cstheme="minorBidi"/>
          <w:b w:val="0"/>
          <w:color w:val="auto"/>
          <w:sz w:val="22"/>
          <w:szCs w:val="22"/>
        </w:rPr>
      </w:pPr>
      <w:hyperlink w:anchor="_Toc33457062" w:history="1">
        <w:r w:rsidR="001B2FE5" w:rsidRPr="0098081B">
          <w:rPr>
            <w:rStyle w:val="Hyperlink"/>
          </w:rPr>
          <w:t>Baseline report: summary of results</w:t>
        </w:r>
        <w:r w:rsidR="001B2FE5">
          <w:rPr>
            <w:webHidden/>
          </w:rPr>
          <w:tab/>
        </w:r>
        <w:r w:rsidR="001B2FE5">
          <w:rPr>
            <w:webHidden/>
          </w:rPr>
          <w:fldChar w:fldCharType="begin"/>
        </w:r>
        <w:r w:rsidR="001B2FE5">
          <w:rPr>
            <w:webHidden/>
          </w:rPr>
          <w:instrText xml:space="preserve"> PAGEREF _Toc33457062 \h </w:instrText>
        </w:r>
        <w:r w:rsidR="001B2FE5">
          <w:rPr>
            <w:webHidden/>
          </w:rPr>
        </w:r>
        <w:r w:rsidR="001B2FE5">
          <w:rPr>
            <w:webHidden/>
          </w:rPr>
          <w:fldChar w:fldCharType="separate"/>
        </w:r>
        <w:r w:rsidR="001B2FE5">
          <w:rPr>
            <w:webHidden/>
          </w:rPr>
          <w:t>11</w:t>
        </w:r>
        <w:r w:rsidR="001B2FE5">
          <w:rPr>
            <w:webHidden/>
          </w:rPr>
          <w:fldChar w:fldCharType="end"/>
        </w:r>
      </w:hyperlink>
    </w:p>
    <w:p w14:paraId="791BAAA8" w14:textId="79888DDF" w:rsidR="001B2FE5" w:rsidRDefault="009D1534">
      <w:pPr>
        <w:pStyle w:val="TOC2"/>
        <w:rPr>
          <w:rFonts w:asciiTheme="minorHAnsi" w:eastAsiaTheme="minorEastAsia" w:hAnsiTheme="minorHAnsi" w:cstheme="minorBidi"/>
          <w:sz w:val="22"/>
          <w:szCs w:val="22"/>
        </w:rPr>
      </w:pPr>
      <w:hyperlink w:anchor="_Toc33457063" w:history="1">
        <w:r w:rsidR="001B2FE5" w:rsidRPr="0098081B">
          <w:rPr>
            <w:rStyle w:val="Hyperlink"/>
          </w:rPr>
          <w:t>Victorian cancer plan monitoring and evaluation framework: measures</w:t>
        </w:r>
        <w:r w:rsidR="001B2FE5">
          <w:rPr>
            <w:webHidden/>
          </w:rPr>
          <w:tab/>
        </w:r>
        <w:r w:rsidR="001B2FE5">
          <w:rPr>
            <w:webHidden/>
          </w:rPr>
          <w:fldChar w:fldCharType="begin"/>
        </w:r>
        <w:r w:rsidR="001B2FE5">
          <w:rPr>
            <w:webHidden/>
          </w:rPr>
          <w:instrText xml:space="preserve"> PAGEREF _Toc33457063 \h </w:instrText>
        </w:r>
        <w:r w:rsidR="001B2FE5">
          <w:rPr>
            <w:webHidden/>
          </w:rPr>
        </w:r>
        <w:r w:rsidR="001B2FE5">
          <w:rPr>
            <w:webHidden/>
          </w:rPr>
          <w:fldChar w:fldCharType="separate"/>
        </w:r>
        <w:r w:rsidR="001B2FE5">
          <w:rPr>
            <w:webHidden/>
          </w:rPr>
          <w:t>12</w:t>
        </w:r>
        <w:r w:rsidR="001B2FE5">
          <w:rPr>
            <w:webHidden/>
          </w:rPr>
          <w:fldChar w:fldCharType="end"/>
        </w:r>
      </w:hyperlink>
    </w:p>
    <w:p w14:paraId="356EF59A" w14:textId="704A1FA0" w:rsidR="001B2FE5" w:rsidRDefault="009D1534">
      <w:pPr>
        <w:pStyle w:val="TOC1"/>
        <w:rPr>
          <w:rFonts w:asciiTheme="minorHAnsi" w:eastAsiaTheme="minorEastAsia" w:hAnsiTheme="minorHAnsi" w:cstheme="minorBidi"/>
          <w:b w:val="0"/>
          <w:color w:val="auto"/>
          <w:sz w:val="22"/>
          <w:szCs w:val="22"/>
        </w:rPr>
      </w:pPr>
      <w:hyperlink w:anchor="_Toc33457064" w:history="1">
        <w:r w:rsidR="001B2FE5" w:rsidRPr="0098081B">
          <w:rPr>
            <w:rStyle w:val="Hyperlink"/>
          </w:rPr>
          <w:t>More about the results of the measures</w:t>
        </w:r>
        <w:r w:rsidR="001B2FE5">
          <w:rPr>
            <w:webHidden/>
          </w:rPr>
          <w:tab/>
        </w:r>
        <w:r w:rsidR="001B2FE5">
          <w:rPr>
            <w:webHidden/>
          </w:rPr>
          <w:fldChar w:fldCharType="begin"/>
        </w:r>
        <w:r w:rsidR="001B2FE5">
          <w:rPr>
            <w:webHidden/>
          </w:rPr>
          <w:instrText xml:space="preserve"> PAGEREF _Toc33457064 \h </w:instrText>
        </w:r>
        <w:r w:rsidR="001B2FE5">
          <w:rPr>
            <w:webHidden/>
          </w:rPr>
        </w:r>
        <w:r w:rsidR="001B2FE5">
          <w:rPr>
            <w:webHidden/>
          </w:rPr>
          <w:fldChar w:fldCharType="separate"/>
        </w:r>
        <w:r w:rsidR="001B2FE5">
          <w:rPr>
            <w:webHidden/>
          </w:rPr>
          <w:t>26</w:t>
        </w:r>
        <w:r w:rsidR="001B2FE5">
          <w:rPr>
            <w:webHidden/>
          </w:rPr>
          <w:fldChar w:fldCharType="end"/>
        </w:r>
      </w:hyperlink>
    </w:p>
    <w:p w14:paraId="7CD0F779" w14:textId="3948DA82" w:rsidR="001B2FE5" w:rsidRDefault="009D1534">
      <w:pPr>
        <w:pStyle w:val="TOC2"/>
        <w:rPr>
          <w:rFonts w:asciiTheme="minorHAnsi" w:eastAsiaTheme="minorEastAsia" w:hAnsiTheme="minorHAnsi" w:cstheme="minorBidi"/>
          <w:sz w:val="22"/>
          <w:szCs w:val="22"/>
        </w:rPr>
      </w:pPr>
      <w:hyperlink w:anchor="_Toc33457065" w:history="1">
        <w:r w:rsidR="001B2FE5" w:rsidRPr="0098081B">
          <w:rPr>
            <w:rStyle w:val="Hyperlink"/>
          </w:rPr>
          <w:t>Understanding the data</w:t>
        </w:r>
        <w:r w:rsidR="001B2FE5">
          <w:rPr>
            <w:webHidden/>
          </w:rPr>
          <w:tab/>
        </w:r>
        <w:r w:rsidR="001B2FE5">
          <w:rPr>
            <w:webHidden/>
          </w:rPr>
          <w:fldChar w:fldCharType="begin"/>
        </w:r>
        <w:r w:rsidR="001B2FE5">
          <w:rPr>
            <w:webHidden/>
          </w:rPr>
          <w:instrText xml:space="preserve"> PAGEREF _Toc33457065 \h </w:instrText>
        </w:r>
        <w:r w:rsidR="001B2FE5">
          <w:rPr>
            <w:webHidden/>
          </w:rPr>
        </w:r>
        <w:r w:rsidR="001B2FE5">
          <w:rPr>
            <w:webHidden/>
          </w:rPr>
          <w:fldChar w:fldCharType="separate"/>
        </w:r>
        <w:r w:rsidR="001B2FE5">
          <w:rPr>
            <w:webHidden/>
          </w:rPr>
          <w:t>26</w:t>
        </w:r>
        <w:r w:rsidR="001B2FE5">
          <w:rPr>
            <w:webHidden/>
          </w:rPr>
          <w:fldChar w:fldCharType="end"/>
        </w:r>
      </w:hyperlink>
    </w:p>
    <w:p w14:paraId="77B2D7B0" w14:textId="3F8E35FB" w:rsidR="001B2FE5" w:rsidRDefault="009D1534">
      <w:pPr>
        <w:pStyle w:val="TOC1"/>
        <w:rPr>
          <w:rFonts w:asciiTheme="minorHAnsi" w:eastAsiaTheme="minorEastAsia" w:hAnsiTheme="minorHAnsi" w:cstheme="minorBidi"/>
          <w:b w:val="0"/>
          <w:color w:val="auto"/>
          <w:sz w:val="22"/>
          <w:szCs w:val="22"/>
        </w:rPr>
      </w:pPr>
      <w:hyperlink w:anchor="_Toc33457066" w:history="1">
        <w:r w:rsidR="001B2FE5" w:rsidRPr="0098081B">
          <w:rPr>
            <w:rStyle w:val="Hyperlink"/>
          </w:rPr>
          <w:t>Outcome: Improve cancer outcomes</w:t>
        </w:r>
        <w:r w:rsidR="001B2FE5">
          <w:rPr>
            <w:webHidden/>
          </w:rPr>
          <w:tab/>
        </w:r>
        <w:r w:rsidR="001B2FE5">
          <w:rPr>
            <w:webHidden/>
          </w:rPr>
          <w:fldChar w:fldCharType="begin"/>
        </w:r>
        <w:r w:rsidR="001B2FE5">
          <w:rPr>
            <w:webHidden/>
          </w:rPr>
          <w:instrText xml:space="preserve"> PAGEREF _Toc33457066 \h </w:instrText>
        </w:r>
        <w:r w:rsidR="001B2FE5">
          <w:rPr>
            <w:webHidden/>
          </w:rPr>
        </w:r>
        <w:r w:rsidR="001B2FE5">
          <w:rPr>
            <w:webHidden/>
          </w:rPr>
          <w:fldChar w:fldCharType="separate"/>
        </w:r>
        <w:r w:rsidR="001B2FE5">
          <w:rPr>
            <w:webHidden/>
          </w:rPr>
          <w:t>28</w:t>
        </w:r>
        <w:r w:rsidR="001B2FE5">
          <w:rPr>
            <w:webHidden/>
          </w:rPr>
          <w:fldChar w:fldCharType="end"/>
        </w:r>
      </w:hyperlink>
    </w:p>
    <w:p w14:paraId="23096929" w14:textId="0B223A67" w:rsidR="001B2FE5" w:rsidRDefault="009D1534">
      <w:pPr>
        <w:pStyle w:val="TOC2"/>
        <w:rPr>
          <w:rFonts w:asciiTheme="minorHAnsi" w:eastAsiaTheme="minorEastAsia" w:hAnsiTheme="minorHAnsi" w:cstheme="minorBidi"/>
          <w:sz w:val="22"/>
          <w:szCs w:val="22"/>
        </w:rPr>
      </w:pPr>
      <w:hyperlink w:anchor="_Toc33457067" w:history="1">
        <w:r w:rsidR="001B2FE5" w:rsidRPr="0098081B">
          <w:rPr>
            <w:rStyle w:val="Hyperlink"/>
          </w:rPr>
          <w:t>Key result: Decrease incidence of preventable cancers</w:t>
        </w:r>
        <w:r w:rsidR="001B2FE5">
          <w:rPr>
            <w:webHidden/>
          </w:rPr>
          <w:tab/>
        </w:r>
        <w:r w:rsidR="001B2FE5">
          <w:rPr>
            <w:webHidden/>
          </w:rPr>
          <w:fldChar w:fldCharType="begin"/>
        </w:r>
        <w:r w:rsidR="001B2FE5">
          <w:rPr>
            <w:webHidden/>
          </w:rPr>
          <w:instrText xml:space="preserve"> PAGEREF _Toc33457067 \h </w:instrText>
        </w:r>
        <w:r w:rsidR="001B2FE5">
          <w:rPr>
            <w:webHidden/>
          </w:rPr>
        </w:r>
        <w:r w:rsidR="001B2FE5">
          <w:rPr>
            <w:webHidden/>
          </w:rPr>
          <w:fldChar w:fldCharType="separate"/>
        </w:r>
        <w:r w:rsidR="001B2FE5">
          <w:rPr>
            <w:webHidden/>
          </w:rPr>
          <w:t>28</w:t>
        </w:r>
        <w:r w:rsidR="001B2FE5">
          <w:rPr>
            <w:webHidden/>
          </w:rPr>
          <w:fldChar w:fldCharType="end"/>
        </w:r>
      </w:hyperlink>
    </w:p>
    <w:p w14:paraId="3B1404DD" w14:textId="37DD09DA" w:rsidR="001B2FE5" w:rsidRDefault="009D1534">
      <w:pPr>
        <w:pStyle w:val="TOC1"/>
        <w:rPr>
          <w:rFonts w:asciiTheme="minorHAnsi" w:eastAsiaTheme="minorEastAsia" w:hAnsiTheme="minorHAnsi" w:cstheme="minorBidi"/>
          <w:b w:val="0"/>
          <w:color w:val="auto"/>
          <w:sz w:val="22"/>
          <w:szCs w:val="22"/>
        </w:rPr>
      </w:pPr>
      <w:hyperlink w:anchor="_Toc33457068" w:history="1">
        <w:r w:rsidR="001B2FE5" w:rsidRPr="0098081B">
          <w:rPr>
            <w:rStyle w:val="Hyperlink"/>
          </w:rPr>
          <w:t>Outcome: Equitable outcomes for all Victorians</w:t>
        </w:r>
        <w:r w:rsidR="001B2FE5">
          <w:rPr>
            <w:webHidden/>
          </w:rPr>
          <w:tab/>
        </w:r>
        <w:r w:rsidR="001B2FE5">
          <w:rPr>
            <w:webHidden/>
          </w:rPr>
          <w:fldChar w:fldCharType="begin"/>
        </w:r>
        <w:r w:rsidR="001B2FE5">
          <w:rPr>
            <w:webHidden/>
          </w:rPr>
          <w:instrText xml:space="preserve"> PAGEREF _Toc33457068 \h </w:instrText>
        </w:r>
        <w:r w:rsidR="001B2FE5">
          <w:rPr>
            <w:webHidden/>
          </w:rPr>
        </w:r>
        <w:r w:rsidR="001B2FE5">
          <w:rPr>
            <w:webHidden/>
          </w:rPr>
          <w:fldChar w:fldCharType="separate"/>
        </w:r>
        <w:r w:rsidR="001B2FE5">
          <w:rPr>
            <w:webHidden/>
          </w:rPr>
          <w:t>69</w:t>
        </w:r>
        <w:r w:rsidR="001B2FE5">
          <w:rPr>
            <w:webHidden/>
          </w:rPr>
          <w:fldChar w:fldCharType="end"/>
        </w:r>
      </w:hyperlink>
    </w:p>
    <w:p w14:paraId="0A0B6A41" w14:textId="0D4D3096" w:rsidR="001B2FE5" w:rsidRDefault="009D1534">
      <w:pPr>
        <w:pStyle w:val="TOC2"/>
        <w:rPr>
          <w:rFonts w:asciiTheme="minorHAnsi" w:eastAsiaTheme="minorEastAsia" w:hAnsiTheme="minorHAnsi" w:cstheme="minorBidi"/>
          <w:sz w:val="22"/>
          <w:szCs w:val="22"/>
        </w:rPr>
      </w:pPr>
      <w:hyperlink w:anchor="_Toc33457069" w:history="1">
        <w:r w:rsidR="001B2FE5" w:rsidRPr="0098081B">
          <w:rPr>
            <w:rStyle w:val="Hyperlink"/>
          </w:rPr>
          <w:t>Key result: Equitably reduce cancer incidence</w:t>
        </w:r>
        <w:r w:rsidR="001B2FE5">
          <w:rPr>
            <w:webHidden/>
          </w:rPr>
          <w:tab/>
        </w:r>
        <w:r w:rsidR="001B2FE5">
          <w:rPr>
            <w:webHidden/>
          </w:rPr>
          <w:fldChar w:fldCharType="begin"/>
        </w:r>
        <w:r w:rsidR="001B2FE5">
          <w:rPr>
            <w:webHidden/>
          </w:rPr>
          <w:instrText xml:space="preserve"> PAGEREF _Toc33457069 \h </w:instrText>
        </w:r>
        <w:r w:rsidR="001B2FE5">
          <w:rPr>
            <w:webHidden/>
          </w:rPr>
        </w:r>
        <w:r w:rsidR="001B2FE5">
          <w:rPr>
            <w:webHidden/>
          </w:rPr>
          <w:fldChar w:fldCharType="separate"/>
        </w:r>
        <w:r w:rsidR="001B2FE5">
          <w:rPr>
            <w:webHidden/>
          </w:rPr>
          <w:t>69</w:t>
        </w:r>
        <w:r w:rsidR="001B2FE5">
          <w:rPr>
            <w:webHidden/>
          </w:rPr>
          <w:fldChar w:fldCharType="end"/>
        </w:r>
      </w:hyperlink>
    </w:p>
    <w:p w14:paraId="72F7FC87" w14:textId="19B995C9" w:rsidR="001B2FE5" w:rsidRDefault="009D1534">
      <w:pPr>
        <w:pStyle w:val="TOC2"/>
        <w:rPr>
          <w:rFonts w:asciiTheme="minorHAnsi" w:eastAsiaTheme="minorEastAsia" w:hAnsiTheme="minorHAnsi" w:cstheme="minorBidi"/>
          <w:sz w:val="22"/>
          <w:szCs w:val="22"/>
        </w:rPr>
      </w:pPr>
      <w:hyperlink w:anchor="_Toc33457070" w:history="1">
        <w:r w:rsidR="001B2FE5" w:rsidRPr="0098081B">
          <w:rPr>
            <w:rStyle w:val="Hyperlink"/>
          </w:rPr>
          <w:t>Key result: Equitably reduce cancer deaths</w:t>
        </w:r>
        <w:r w:rsidR="001B2FE5">
          <w:rPr>
            <w:webHidden/>
          </w:rPr>
          <w:tab/>
        </w:r>
        <w:r w:rsidR="001B2FE5">
          <w:rPr>
            <w:webHidden/>
          </w:rPr>
          <w:fldChar w:fldCharType="begin"/>
        </w:r>
        <w:r w:rsidR="001B2FE5">
          <w:rPr>
            <w:webHidden/>
          </w:rPr>
          <w:instrText xml:space="preserve"> PAGEREF _Toc33457070 \h </w:instrText>
        </w:r>
        <w:r w:rsidR="001B2FE5">
          <w:rPr>
            <w:webHidden/>
          </w:rPr>
        </w:r>
        <w:r w:rsidR="001B2FE5">
          <w:rPr>
            <w:webHidden/>
          </w:rPr>
          <w:fldChar w:fldCharType="separate"/>
        </w:r>
        <w:r w:rsidR="001B2FE5">
          <w:rPr>
            <w:webHidden/>
          </w:rPr>
          <w:t>75</w:t>
        </w:r>
        <w:r w:rsidR="001B2FE5">
          <w:rPr>
            <w:webHidden/>
          </w:rPr>
          <w:fldChar w:fldCharType="end"/>
        </w:r>
      </w:hyperlink>
    </w:p>
    <w:p w14:paraId="2E9FBABC" w14:textId="74CE85AC" w:rsidR="001B2FE5" w:rsidRDefault="009D1534">
      <w:pPr>
        <w:pStyle w:val="TOC2"/>
        <w:rPr>
          <w:rFonts w:asciiTheme="minorHAnsi" w:eastAsiaTheme="minorEastAsia" w:hAnsiTheme="minorHAnsi" w:cstheme="minorBidi"/>
          <w:sz w:val="22"/>
          <w:szCs w:val="22"/>
        </w:rPr>
      </w:pPr>
      <w:hyperlink w:anchor="_Toc33457071" w:history="1">
        <w:r w:rsidR="001B2FE5" w:rsidRPr="0098081B">
          <w:rPr>
            <w:rStyle w:val="Hyperlink"/>
          </w:rPr>
          <w:t>Key result: Decrease smoking and harmful alcohol consumption</w:t>
        </w:r>
        <w:r w:rsidR="001B2FE5">
          <w:rPr>
            <w:webHidden/>
          </w:rPr>
          <w:tab/>
        </w:r>
        <w:r w:rsidR="001B2FE5">
          <w:rPr>
            <w:webHidden/>
          </w:rPr>
          <w:fldChar w:fldCharType="begin"/>
        </w:r>
        <w:r w:rsidR="001B2FE5">
          <w:rPr>
            <w:webHidden/>
          </w:rPr>
          <w:instrText xml:space="preserve"> PAGEREF _Toc33457071 \h </w:instrText>
        </w:r>
        <w:r w:rsidR="001B2FE5">
          <w:rPr>
            <w:webHidden/>
          </w:rPr>
        </w:r>
        <w:r w:rsidR="001B2FE5">
          <w:rPr>
            <w:webHidden/>
          </w:rPr>
          <w:fldChar w:fldCharType="separate"/>
        </w:r>
        <w:r w:rsidR="001B2FE5">
          <w:rPr>
            <w:webHidden/>
          </w:rPr>
          <w:t>82</w:t>
        </w:r>
        <w:r w:rsidR="001B2FE5">
          <w:rPr>
            <w:webHidden/>
          </w:rPr>
          <w:fldChar w:fldCharType="end"/>
        </w:r>
      </w:hyperlink>
    </w:p>
    <w:p w14:paraId="40CB8328" w14:textId="49717B13" w:rsidR="001B2FE5" w:rsidRDefault="009D1534">
      <w:pPr>
        <w:pStyle w:val="TOC2"/>
        <w:rPr>
          <w:rFonts w:asciiTheme="minorHAnsi" w:eastAsiaTheme="minorEastAsia" w:hAnsiTheme="minorHAnsi" w:cstheme="minorBidi"/>
          <w:sz w:val="22"/>
          <w:szCs w:val="22"/>
        </w:rPr>
      </w:pPr>
      <w:hyperlink w:anchor="_Toc33457072" w:history="1">
        <w:r w:rsidR="001B2FE5" w:rsidRPr="0098081B">
          <w:rPr>
            <w:rStyle w:val="Hyperlink"/>
          </w:rPr>
          <w:t>Key result: Fruit and vegetable consumption of adults, adolescents and children</w:t>
        </w:r>
        <w:r w:rsidR="001B2FE5">
          <w:rPr>
            <w:webHidden/>
          </w:rPr>
          <w:tab/>
        </w:r>
        <w:r w:rsidR="001B2FE5">
          <w:rPr>
            <w:webHidden/>
          </w:rPr>
          <w:fldChar w:fldCharType="begin"/>
        </w:r>
        <w:r w:rsidR="001B2FE5">
          <w:rPr>
            <w:webHidden/>
          </w:rPr>
          <w:instrText xml:space="preserve"> PAGEREF _Toc33457072 \h </w:instrText>
        </w:r>
        <w:r w:rsidR="001B2FE5">
          <w:rPr>
            <w:webHidden/>
          </w:rPr>
        </w:r>
        <w:r w:rsidR="001B2FE5">
          <w:rPr>
            <w:webHidden/>
          </w:rPr>
          <w:fldChar w:fldCharType="separate"/>
        </w:r>
        <w:r w:rsidR="001B2FE5">
          <w:rPr>
            <w:webHidden/>
          </w:rPr>
          <w:t>89</w:t>
        </w:r>
        <w:r w:rsidR="001B2FE5">
          <w:rPr>
            <w:webHidden/>
          </w:rPr>
          <w:fldChar w:fldCharType="end"/>
        </w:r>
      </w:hyperlink>
    </w:p>
    <w:p w14:paraId="5A736C99" w14:textId="7F66B9BD" w:rsidR="001B2FE5" w:rsidRDefault="009D1534">
      <w:pPr>
        <w:pStyle w:val="TOC2"/>
        <w:rPr>
          <w:rFonts w:asciiTheme="minorHAnsi" w:eastAsiaTheme="minorEastAsia" w:hAnsiTheme="minorHAnsi" w:cstheme="minorBidi"/>
          <w:sz w:val="22"/>
          <w:szCs w:val="22"/>
        </w:rPr>
      </w:pPr>
      <w:hyperlink w:anchor="_Toc33457073" w:history="1">
        <w:r w:rsidR="001B2FE5" w:rsidRPr="0098081B">
          <w:rPr>
            <w:rStyle w:val="Hyperlink"/>
          </w:rPr>
          <w:t>Key result: Decrease HPV and viral hepatitis impact</w:t>
        </w:r>
        <w:r w:rsidR="001B2FE5">
          <w:rPr>
            <w:webHidden/>
          </w:rPr>
          <w:tab/>
        </w:r>
        <w:r w:rsidR="001B2FE5">
          <w:rPr>
            <w:webHidden/>
          </w:rPr>
          <w:fldChar w:fldCharType="begin"/>
        </w:r>
        <w:r w:rsidR="001B2FE5">
          <w:rPr>
            <w:webHidden/>
          </w:rPr>
          <w:instrText xml:space="preserve"> PAGEREF _Toc33457073 \h </w:instrText>
        </w:r>
        <w:r w:rsidR="001B2FE5">
          <w:rPr>
            <w:webHidden/>
          </w:rPr>
        </w:r>
        <w:r w:rsidR="001B2FE5">
          <w:rPr>
            <w:webHidden/>
          </w:rPr>
          <w:fldChar w:fldCharType="separate"/>
        </w:r>
        <w:r w:rsidR="001B2FE5">
          <w:rPr>
            <w:webHidden/>
          </w:rPr>
          <w:t>116</w:t>
        </w:r>
        <w:r w:rsidR="001B2FE5">
          <w:rPr>
            <w:webHidden/>
          </w:rPr>
          <w:fldChar w:fldCharType="end"/>
        </w:r>
      </w:hyperlink>
    </w:p>
    <w:p w14:paraId="191A05F9" w14:textId="316CE92B" w:rsidR="001B2FE5" w:rsidRDefault="009D1534">
      <w:pPr>
        <w:pStyle w:val="TOC1"/>
        <w:rPr>
          <w:rFonts w:asciiTheme="minorHAnsi" w:eastAsiaTheme="minorEastAsia" w:hAnsiTheme="minorHAnsi" w:cstheme="minorBidi"/>
          <w:b w:val="0"/>
          <w:color w:val="auto"/>
          <w:sz w:val="22"/>
          <w:szCs w:val="22"/>
        </w:rPr>
      </w:pPr>
      <w:hyperlink w:anchor="_Toc33457074" w:history="1">
        <w:r w:rsidR="001B2FE5" w:rsidRPr="0098081B">
          <w:rPr>
            <w:rStyle w:val="Hyperlink"/>
          </w:rPr>
          <w:t>Outcome: Detect cancers early</w:t>
        </w:r>
        <w:r w:rsidR="001B2FE5">
          <w:rPr>
            <w:webHidden/>
          </w:rPr>
          <w:tab/>
        </w:r>
        <w:r w:rsidR="001B2FE5">
          <w:rPr>
            <w:webHidden/>
          </w:rPr>
          <w:fldChar w:fldCharType="begin"/>
        </w:r>
        <w:r w:rsidR="001B2FE5">
          <w:rPr>
            <w:webHidden/>
          </w:rPr>
          <w:instrText xml:space="preserve"> PAGEREF _Toc33457074 \h </w:instrText>
        </w:r>
        <w:r w:rsidR="001B2FE5">
          <w:rPr>
            <w:webHidden/>
          </w:rPr>
        </w:r>
        <w:r w:rsidR="001B2FE5">
          <w:rPr>
            <w:webHidden/>
          </w:rPr>
          <w:fldChar w:fldCharType="separate"/>
        </w:r>
        <w:r w:rsidR="001B2FE5">
          <w:rPr>
            <w:webHidden/>
          </w:rPr>
          <w:t>126</w:t>
        </w:r>
        <w:r w:rsidR="001B2FE5">
          <w:rPr>
            <w:webHidden/>
          </w:rPr>
          <w:fldChar w:fldCharType="end"/>
        </w:r>
      </w:hyperlink>
    </w:p>
    <w:p w14:paraId="1663D383" w14:textId="2158CF42" w:rsidR="001B2FE5" w:rsidRDefault="009D1534">
      <w:pPr>
        <w:pStyle w:val="TOC2"/>
        <w:rPr>
          <w:rFonts w:asciiTheme="minorHAnsi" w:eastAsiaTheme="minorEastAsia" w:hAnsiTheme="minorHAnsi" w:cstheme="minorBidi"/>
          <w:sz w:val="22"/>
          <w:szCs w:val="22"/>
        </w:rPr>
      </w:pPr>
      <w:hyperlink w:anchor="_Toc33457075" w:history="1">
        <w:r w:rsidR="001B2FE5" w:rsidRPr="0098081B">
          <w:rPr>
            <w:rStyle w:val="Hyperlink"/>
          </w:rPr>
          <w:t>Key result: Increase early-stage diagnosis</w:t>
        </w:r>
        <w:r w:rsidR="001B2FE5">
          <w:rPr>
            <w:webHidden/>
          </w:rPr>
          <w:tab/>
        </w:r>
        <w:r w:rsidR="001B2FE5">
          <w:rPr>
            <w:webHidden/>
          </w:rPr>
          <w:fldChar w:fldCharType="begin"/>
        </w:r>
        <w:r w:rsidR="001B2FE5">
          <w:rPr>
            <w:webHidden/>
          </w:rPr>
          <w:instrText xml:space="preserve"> PAGEREF _Toc33457075 \h </w:instrText>
        </w:r>
        <w:r w:rsidR="001B2FE5">
          <w:rPr>
            <w:webHidden/>
          </w:rPr>
        </w:r>
        <w:r w:rsidR="001B2FE5">
          <w:rPr>
            <w:webHidden/>
          </w:rPr>
          <w:fldChar w:fldCharType="separate"/>
        </w:r>
        <w:r w:rsidR="001B2FE5">
          <w:rPr>
            <w:webHidden/>
          </w:rPr>
          <w:t>126</w:t>
        </w:r>
        <w:r w:rsidR="001B2FE5">
          <w:rPr>
            <w:webHidden/>
          </w:rPr>
          <w:fldChar w:fldCharType="end"/>
        </w:r>
      </w:hyperlink>
    </w:p>
    <w:p w14:paraId="0EB608F5" w14:textId="45A974C7" w:rsidR="001B2FE5" w:rsidRDefault="009D1534">
      <w:pPr>
        <w:pStyle w:val="TOC1"/>
        <w:rPr>
          <w:rFonts w:asciiTheme="minorHAnsi" w:eastAsiaTheme="minorEastAsia" w:hAnsiTheme="minorHAnsi" w:cstheme="minorBidi"/>
          <w:b w:val="0"/>
          <w:color w:val="auto"/>
          <w:sz w:val="22"/>
          <w:szCs w:val="22"/>
        </w:rPr>
      </w:pPr>
      <w:hyperlink w:anchor="_Toc33457076" w:history="1">
        <w:r w:rsidR="001B2FE5" w:rsidRPr="0098081B">
          <w:rPr>
            <w:rStyle w:val="Hyperlink"/>
          </w:rPr>
          <w:t>Outcome: Optimal diagnostics and treatment</w:t>
        </w:r>
        <w:r w:rsidR="001B2FE5">
          <w:rPr>
            <w:webHidden/>
          </w:rPr>
          <w:tab/>
        </w:r>
        <w:r w:rsidR="001B2FE5">
          <w:rPr>
            <w:webHidden/>
          </w:rPr>
          <w:fldChar w:fldCharType="begin"/>
        </w:r>
        <w:r w:rsidR="001B2FE5">
          <w:rPr>
            <w:webHidden/>
          </w:rPr>
          <w:instrText xml:space="preserve"> PAGEREF _Toc33457076 \h </w:instrText>
        </w:r>
        <w:r w:rsidR="001B2FE5">
          <w:rPr>
            <w:webHidden/>
          </w:rPr>
        </w:r>
        <w:r w:rsidR="001B2FE5">
          <w:rPr>
            <w:webHidden/>
          </w:rPr>
          <w:fldChar w:fldCharType="separate"/>
        </w:r>
        <w:r w:rsidR="001B2FE5">
          <w:rPr>
            <w:webHidden/>
          </w:rPr>
          <w:t>137</w:t>
        </w:r>
        <w:r w:rsidR="001B2FE5">
          <w:rPr>
            <w:webHidden/>
          </w:rPr>
          <w:fldChar w:fldCharType="end"/>
        </w:r>
      </w:hyperlink>
    </w:p>
    <w:p w14:paraId="7882539A" w14:textId="2BE2BC15" w:rsidR="001B2FE5" w:rsidRDefault="009D1534">
      <w:pPr>
        <w:pStyle w:val="TOC2"/>
        <w:rPr>
          <w:rFonts w:asciiTheme="minorHAnsi" w:eastAsiaTheme="minorEastAsia" w:hAnsiTheme="minorHAnsi" w:cstheme="minorBidi"/>
          <w:sz w:val="22"/>
          <w:szCs w:val="22"/>
        </w:rPr>
      </w:pPr>
      <w:hyperlink w:anchor="_Toc33457077" w:history="1">
        <w:r w:rsidR="001B2FE5" w:rsidRPr="0098081B">
          <w:rPr>
            <w:rStyle w:val="Hyperlink"/>
          </w:rPr>
          <w:t>Key result: Increase adherence to Optimal Care Pathways</w:t>
        </w:r>
        <w:r w:rsidR="001B2FE5">
          <w:rPr>
            <w:webHidden/>
          </w:rPr>
          <w:tab/>
        </w:r>
        <w:r w:rsidR="001B2FE5">
          <w:rPr>
            <w:webHidden/>
          </w:rPr>
          <w:fldChar w:fldCharType="begin"/>
        </w:r>
        <w:r w:rsidR="001B2FE5">
          <w:rPr>
            <w:webHidden/>
          </w:rPr>
          <w:instrText xml:space="preserve"> PAGEREF _Toc33457077 \h </w:instrText>
        </w:r>
        <w:r w:rsidR="001B2FE5">
          <w:rPr>
            <w:webHidden/>
          </w:rPr>
        </w:r>
        <w:r w:rsidR="001B2FE5">
          <w:rPr>
            <w:webHidden/>
          </w:rPr>
          <w:fldChar w:fldCharType="separate"/>
        </w:r>
        <w:r w:rsidR="001B2FE5">
          <w:rPr>
            <w:webHidden/>
          </w:rPr>
          <w:t>137</w:t>
        </w:r>
        <w:r w:rsidR="001B2FE5">
          <w:rPr>
            <w:webHidden/>
          </w:rPr>
          <w:fldChar w:fldCharType="end"/>
        </w:r>
      </w:hyperlink>
    </w:p>
    <w:p w14:paraId="3ACE286B" w14:textId="4501509B" w:rsidR="001B2FE5" w:rsidRDefault="009D1534">
      <w:pPr>
        <w:pStyle w:val="TOC2"/>
        <w:rPr>
          <w:rFonts w:asciiTheme="minorHAnsi" w:eastAsiaTheme="minorEastAsia" w:hAnsiTheme="minorHAnsi" w:cstheme="minorBidi"/>
          <w:sz w:val="22"/>
          <w:szCs w:val="22"/>
        </w:rPr>
      </w:pPr>
      <w:hyperlink w:anchor="_Toc33457078" w:history="1">
        <w:r w:rsidR="001B2FE5" w:rsidRPr="0098081B">
          <w:rPr>
            <w:rStyle w:val="Hyperlink"/>
          </w:rPr>
          <w:t>Key result: Increase one- and five-year survival</w:t>
        </w:r>
        <w:r w:rsidR="001B2FE5">
          <w:rPr>
            <w:webHidden/>
          </w:rPr>
          <w:tab/>
        </w:r>
        <w:r w:rsidR="001B2FE5">
          <w:rPr>
            <w:webHidden/>
          </w:rPr>
          <w:fldChar w:fldCharType="begin"/>
        </w:r>
        <w:r w:rsidR="001B2FE5">
          <w:rPr>
            <w:webHidden/>
          </w:rPr>
          <w:instrText xml:space="preserve"> PAGEREF _Toc33457078 \h </w:instrText>
        </w:r>
        <w:r w:rsidR="001B2FE5">
          <w:rPr>
            <w:webHidden/>
          </w:rPr>
        </w:r>
        <w:r w:rsidR="001B2FE5">
          <w:rPr>
            <w:webHidden/>
          </w:rPr>
          <w:fldChar w:fldCharType="separate"/>
        </w:r>
        <w:r w:rsidR="001B2FE5">
          <w:rPr>
            <w:webHidden/>
          </w:rPr>
          <w:t>173</w:t>
        </w:r>
        <w:r w:rsidR="001B2FE5">
          <w:rPr>
            <w:webHidden/>
          </w:rPr>
          <w:fldChar w:fldCharType="end"/>
        </w:r>
      </w:hyperlink>
    </w:p>
    <w:p w14:paraId="11F152E3" w14:textId="4550D36D" w:rsidR="001B2FE5" w:rsidRDefault="009D1534">
      <w:pPr>
        <w:pStyle w:val="TOC2"/>
        <w:rPr>
          <w:rFonts w:asciiTheme="minorHAnsi" w:eastAsiaTheme="minorEastAsia" w:hAnsiTheme="minorHAnsi" w:cstheme="minorBidi"/>
          <w:sz w:val="22"/>
          <w:szCs w:val="22"/>
        </w:rPr>
      </w:pPr>
      <w:hyperlink w:anchor="_Toc33457079" w:history="1">
        <w:r w:rsidR="001B2FE5" w:rsidRPr="0098081B">
          <w:rPr>
            <w:rStyle w:val="Hyperlink"/>
          </w:rPr>
          <w:t>Key result: Improving quality of life</w:t>
        </w:r>
        <w:r w:rsidR="001B2FE5">
          <w:rPr>
            <w:webHidden/>
          </w:rPr>
          <w:tab/>
        </w:r>
        <w:r w:rsidR="001B2FE5">
          <w:rPr>
            <w:webHidden/>
          </w:rPr>
          <w:fldChar w:fldCharType="begin"/>
        </w:r>
        <w:r w:rsidR="001B2FE5">
          <w:rPr>
            <w:webHidden/>
          </w:rPr>
          <w:instrText xml:space="preserve"> PAGEREF _Toc33457079 \h </w:instrText>
        </w:r>
        <w:r w:rsidR="001B2FE5">
          <w:rPr>
            <w:webHidden/>
          </w:rPr>
        </w:r>
        <w:r w:rsidR="001B2FE5">
          <w:rPr>
            <w:webHidden/>
          </w:rPr>
          <w:fldChar w:fldCharType="separate"/>
        </w:r>
        <w:r w:rsidR="001B2FE5">
          <w:rPr>
            <w:webHidden/>
          </w:rPr>
          <w:t>209</w:t>
        </w:r>
        <w:r w:rsidR="001B2FE5">
          <w:rPr>
            <w:webHidden/>
          </w:rPr>
          <w:fldChar w:fldCharType="end"/>
        </w:r>
      </w:hyperlink>
    </w:p>
    <w:p w14:paraId="720582E9" w14:textId="18C311EC" w:rsidR="001B2FE5" w:rsidRDefault="009D1534">
      <w:pPr>
        <w:pStyle w:val="TOC1"/>
        <w:rPr>
          <w:rFonts w:asciiTheme="minorHAnsi" w:eastAsiaTheme="minorEastAsia" w:hAnsiTheme="minorHAnsi" w:cstheme="minorBidi"/>
          <w:b w:val="0"/>
          <w:color w:val="auto"/>
          <w:sz w:val="22"/>
          <w:szCs w:val="22"/>
        </w:rPr>
      </w:pPr>
      <w:hyperlink w:anchor="_Toc33457080" w:history="1">
        <w:r w:rsidR="001B2FE5" w:rsidRPr="0098081B">
          <w:rPr>
            <w:rStyle w:val="Hyperlink"/>
          </w:rPr>
          <w:t>Outcome: Best possible experience of care systems</w:t>
        </w:r>
        <w:r w:rsidR="001B2FE5">
          <w:rPr>
            <w:webHidden/>
          </w:rPr>
          <w:tab/>
        </w:r>
        <w:r w:rsidR="001B2FE5">
          <w:rPr>
            <w:webHidden/>
          </w:rPr>
          <w:fldChar w:fldCharType="begin"/>
        </w:r>
        <w:r w:rsidR="001B2FE5">
          <w:rPr>
            <w:webHidden/>
          </w:rPr>
          <w:instrText xml:space="preserve"> PAGEREF _Toc33457080 \h </w:instrText>
        </w:r>
        <w:r w:rsidR="001B2FE5">
          <w:rPr>
            <w:webHidden/>
          </w:rPr>
        </w:r>
        <w:r w:rsidR="001B2FE5">
          <w:rPr>
            <w:webHidden/>
          </w:rPr>
          <w:fldChar w:fldCharType="separate"/>
        </w:r>
        <w:r w:rsidR="001B2FE5">
          <w:rPr>
            <w:webHidden/>
          </w:rPr>
          <w:t>210</w:t>
        </w:r>
        <w:r w:rsidR="001B2FE5">
          <w:rPr>
            <w:webHidden/>
          </w:rPr>
          <w:fldChar w:fldCharType="end"/>
        </w:r>
      </w:hyperlink>
    </w:p>
    <w:p w14:paraId="587C2A8A" w14:textId="3313619C" w:rsidR="001B2FE5" w:rsidRDefault="009D1534">
      <w:pPr>
        <w:pStyle w:val="TOC2"/>
        <w:rPr>
          <w:rFonts w:asciiTheme="minorHAnsi" w:eastAsiaTheme="minorEastAsia" w:hAnsiTheme="minorHAnsi" w:cstheme="minorBidi"/>
          <w:sz w:val="22"/>
          <w:szCs w:val="22"/>
        </w:rPr>
      </w:pPr>
      <w:hyperlink w:anchor="_Toc33457081" w:history="1">
        <w:r w:rsidR="001B2FE5" w:rsidRPr="0098081B">
          <w:rPr>
            <w:rStyle w:val="Hyperlink"/>
          </w:rPr>
          <w:t>Key result: Improve patient experience of health care</w:t>
        </w:r>
        <w:r w:rsidR="001B2FE5">
          <w:rPr>
            <w:webHidden/>
          </w:rPr>
          <w:tab/>
        </w:r>
        <w:r w:rsidR="001B2FE5">
          <w:rPr>
            <w:webHidden/>
          </w:rPr>
          <w:fldChar w:fldCharType="begin"/>
        </w:r>
        <w:r w:rsidR="001B2FE5">
          <w:rPr>
            <w:webHidden/>
          </w:rPr>
          <w:instrText xml:space="preserve"> PAGEREF _Toc33457081 \h </w:instrText>
        </w:r>
        <w:r w:rsidR="001B2FE5">
          <w:rPr>
            <w:webHidden/>
          </w:rPr>
        </w:r>
        <w:r w:rsidR="001B2FE5">
          <w:rPr>
            <w:webHidden/>
          </w:rPr>
          <w:fldChar w:fldCharType="separate"/>
        </w:r>
        <w:r w:rsidR="001B2FE5">
          <w:rPr>
            <w:webHidden/>
          </w:rPr>
          <w:t>210</w:t>
        </w:r>
        <w:r w:rsidR="001B2FE5">
          <w:rPr>
            <w:webHidden/>
          </w:rPr>
          <w:fldChar w:fldCharType="end"/>
        </w:r>
      </w:hyperlink>
    </w:p>
    <w:p w14:paraId="2E78E0C0" w14:textId="2C9F9DA0" w:rsidR="001B2FE5" w:rsidRDefault="009D1534">
      <w:pPr>
        <w:pStyle w:val="TOC2"/>
        <w:rPr>
          <w:rFonts w:asciiTheme="minorHAnsi" w:eastAsiaTheme="minorEastAsia" w:hAnsiTheme="minorHAnsi" w:cstheme="minorBidi"/>
          <w:sz w:val="22"/>
          <w:szCs w:val="22"/>
        </w:rPr>
      </w:pPr>
      <w:hyperlink w:anchor="_Toc33457082" w:history="1">
        <w:r w:rsidR="001B2FE5" w:rsidRPr="0098081B">
          <w:rPr>
            <w:rStyle w:val="Hyperlink"/>
          </w:rPr>
          <w:t>Key result: Improve patient experience of screening</w:t>
        </w:r>
        <w:r w:rsidR="001B2FE5">
          <w:rPr>
            <w:webHidden/>
          </w:rPr>
          <w:tab/>
        </w:r>
        <w:r w:rsidR="001B2FE5">
          <w:rPr>
            <w:webHidden/>
          </w:rPr>
          <w:fldChar w:fldCharType="begin"/>
        </w:r>
        <w:r w:rsidR="001B2FE5">
          <w:rPr>
            <w:webHidden/>
          </w:rPr>
          <w:instrText xml:space="preserve"> PAGEREF _Toc33457082 \h </w:instrText>
        </w:r>
        <w:r w:rsidR="001B2FE5">
          <w:rPr>
            <w:webHidden/>
          </w:rPr>
        </w:r>
        <w:r w:rsidR="001B2FE5">
          <w:rPr>
            <w:webHidden/>
          </w:rPr>
          <w:fldChar w:fldCharType="separate"/>
        </w:r>
        <w:r w:rsidR="001B2FE5">
          <w:rPr>
            <w:webHidden/>
          </w:rPr>
          <w:t>212</w:t>
        </w:r>
        <w:r w:rsidR="001B2FE5">
          <w:rPr>
            <w:webHidden/>
          </w:rPr>
          <w:fldChar w:fldCharType="end"/>
        </w:r>
      </w:hyperlink>
    </w:p>
    <w:p w14:paraId="6E52FFD0" w14:textId="234875BF" w:rsidR="001B2FE5" w:rsidRDefault="009D1534">
      <w:pPr>
        <w:pStyle w:val="TOC1"/>
        <w:rPr>
          <w:rFonts w:asciiTheme="minorHAnsi" w:eastAsiaTheme="minorEastAsia" w:hAnsiTheme="minorHAnsi" w:cstheme="minorBidi"/>
          <w:b w:val="0"/>
          <w:color w:val="auto"/>
          <w:sz w:val="22"/>
          <w:szCs w:val="22"/>
        </w:rPr>
      </w:pPr>
      <w:hyperlink w:anchor="_Toc33457083" w:history="1">
        <w:r w:rsidR="001B2FE5" w:rsidRPr="0098081B">
          <w:rPr>
            <w:rStyle w:val="Hyperlink"/>
          </w:rPr>
          <w:t>Outcome: Integrated research systems</w:t>
        </w:r>
        <w:r w:rsidR="001B2FE5">
          <w:rPr>
            <w:webHidden/>
          </w:rPr>
          <w:tab/>
        </w:r>
        <w:r w:rsidR="001B2FE5">
          <w:rPr>
            <w:webHidden/>
          </w:rPr>
          <w:fldChar w:fldCharType="begin"/>
        </w:r>
        <w:r w:rsidR="001B2FE5">
          <w:rPr>
            <w:webHidden/>
          </w:rPr>
          <w:instrText xml:space="preserve"> PAGEREF _Toc33457083 \h </w:instrText>
        </w:r>
        <w:r w:rsidR="001B2FE5">
          <w:rPr>
            <w:webHidden/>
          </w:rPr>
        </w:r>
        <w:r w:rsidR="001B2FE5">
          <w:rPr>
            <w:webHidden/>
          </w:rPr>
          <w:fldChar w:fldCharType="separate"/>
        </w:r>
        <w:r w:rsidR="001B2FE5">
          <w:rPr>
            <w:webHidden/>
          </w:rPr>
          <w:t>218</w:t>
        </w:r>
        <w:r w:rsidR="001B2FE5">
          <w:rPr>
            <w:webHidden/>
          </w:rPr>
          <w:fldChar w:fldCharType="end"/>
        </w:r>
      </w:hyperlink>
    </w:p>
    <w:p w14:paraId="012CB525" w14:textId="7DBE08BC" w:rsidR="001B2FE5" w:rsidRDefault="009D1534">
      <w:pPr>
        <w:pStyle w:val="TOC2"/>
        <w:rPr>
          <w:rFonts w:asciiTheme="minorHAnsi" w:eastAsiaTheme="minorEastAsia" w:hAnsiTheme="minorHAnsi" w:cstheme="minorBidi"/>
          <w:sz w:val="22"/>
          <w:szCs w:val="22"/>
        </w:rPr>
      </w:pPr>
      <w:hyperlink w:anchor="_Toc33457084" w:history="1">
        <w:r w:rsidR="001B2FE5" w:rsidRPr="0098081B">
          <w:rPr>
            <w:rStyle w:val="Hyperlink"/>
          </w:rPr>
          <w:t>Key result: Innovations and improved evidence of best practice</w:t>
        </w:r>
        <w:r w:rsidR="001B2FE5">
          <w:rPr>
            <w:webHidden/>
          </w:rPr>
          <w:tab/>
        </w:r>
        <w:r w:rsidR="001B2FE5">
          <w:rPr>
            <w:webHidden/>
          </w:rPr>
          <w:fldChar w:fldCharType="begin"/>
        </w:r>
        <w:r w:rsidR="001B2FE5">
          <w:rPr>
            <w:webHidden/>
          </w:rPr>
          <w:instrText xml:space="preserve"> PAGEREF _Toc33457084 \h </w:instrText>
        </w:r>
        <w:r w:rsidR="001B2FE5">
          <w:rPr>
            <w:webHidden/>
          </w:rPr>
        </w:r>
        <w:r w:rsidR="001B2FE5">
          <w:rPr>
            <w:webHidden/>
          </w:rPr>
          <w:fldChar w:fldCharType="separate"/>
        </w:r>
        <w:r w:rsidR="001B2FE5">
          <w:rPr>
            <w:webHidden/>
          </w:rPr>
          <w:t>218</w:t>
        </w:r>
        <w:r w:rsidR="001B2FE5">
          <w:rPr>
            <w:webHidden/>
          </w:rPr>
          <w:fldChar w:fldCharType="end"/>
        </w:r>
      </w:hyperlink>
    </w:p>
    <w:p w14:paraId="2B2DF32E" w14:textId="08572876" w:rsidR="001B2FE5" w:rsidRDefault="009D1534">
      <w:pPr>
        <w:pStyle w:val="TOC1"/>
        <w:rPr>
          <w:rFonts w:asciiTheme="minorHAnsi" w:eastAsiaTheme="minorEastAsia" w:hAnsiTheme="minorHAnsi" w:cstheme="minorBidi"/>
          <w:b w:val="0"/>
          <w:color w:val="auto"/>
          <w:sz w:val="22"/>
          <w:szCs w:val="22"/>
        </w:rPr>
      </w:pPr>
      <w:hyperlink w:anchor="_Toc33457085" w:history="1">
        <w:r w:rsidR="001B2FE5" w:rsidRPr="0098081B">
          <w:rPr>
            <w:rStyle w:val="Hyperlink"/>
          </w:rPr>
          <w:t>Appendix 1: Measures identified for future reporting</w:t>
        </w:r>
        <w:r w:rsidR="001B2FE5">
          <w:rPr>
            <w:webHidden/>
          </w:rPr>
          <w:tab/>
        </w:r>
        <w:r w:rsidR="001B2FE5">
          <w:rPr>
            <w:webHidden/>
          </w:rPr>
          <w:fldChar w:fldCharType="begin"/>
        </w:r>
        <w:r w:rsidR="001B2FE5">
          <w:rPr>
            <w:webHidden/>
          </w:rPr>
          <w:instrText xml:space="preserve"> PAGEREF _Toc33457085 \h </w:instrText>
        </w:r>
        <w:r w:rsidR="001B2FE5">
          <w:rPr>
            <w:webHidden/>
          </w:rPr>
        </w:r>
        <w:r w:rsidR="001B2FE5">
          <w:rPr>
            <w:webHidden/>
          </w:rPr>
          <w:fldChar w:fldCharType="separate"/>
        </w:r>
        <w:r w:rsidR="001B2FE5">
          <w:rPr>
            <w:webHidden/>
          </w:rPr>
          <w:t>226</w:t>
        </w:r>
        <w:r w:rsidR="001B2FE5">
          <w:rPr>
            <w:webHidden/>
          </w:rPr>
          <w:fldChar w:fldCharType="end"/>
        </w:r>
      </w:hyperlink>
    </w:p>
    <w:p w14:paraId="1CD70208" w14:textId="5DCE010E" w:rsidR="001B2FE5" w:rsidRDefault="009D1534">
      <w:pPr>
        <w:pStyle w:val="TOC1"/>
        <w:rPr>
          <w:rFonts w:asciiTheme="minorHAnsi" w:eastAsiaTheme="minorEastAsia" w:hAnsiTheme="minorHAnsi" w:cstheme="minorBidi"/>
          <w:b w:val="0"/>
          <w:color w:val="auto"/>
          <w:sz w:val="22"/>
          <w:szCs w:val="22"/>
        </w:rPr>
      </w:pPr>
      <w:hyperlink w:anchor="_Toc33457086" w:history="1">
        <w:r w:rsidR="001B2FE5" w:rsidRPr="0098081B">
          <w:rPr>
            <w:rStyle w:val="Hyperlink"/>
          </w:rPr>
          <w:t>Abbreviations</w:t>
        </w:r>
        <w:r w:rsidR="001B2FE5">
          <w:rPr>
            <w:webHidden/>
          </w:rPr>
          <w:tab/>
        </w:r>
        <w:r w:rsidR="001B2FE5">
          <w:rPr>
            <w:webHidden/>
          </w:rPr>
          <w:fldChar w:fldCharType="begin"/>
        </w:r>
        <w:r w:rsidR="001B2FE5">
          <w:rPr>
            <w:webHidden/>
          </w:rPr>
          <w:instrText xml:space="preserve"> PAGEREF _Toc33457086 \h </w:instrText>
        </w:r>
        <w:r w:rsidR="001B2FE5">
          <w:rPr>
            <w:webHidden/>
          </w:rPr>
        </w:r>
        <w:r w:rsidR="001B2FE5">
          <w:rPr>
            <w:webHidden/>
          </w:rPr>
          <w:fldChar w:fldCharType="separate"/>
        </w:r>
        <w:r w:rsidR="001B2FE5">
          <w:rPr>
            <w:webHidden/>
          </w:rPr>
          <w:t>230</w:t>
        </w:r>
        <w:r w:rsidR="001B2FE5">
          <w:rPr>
            <w:webHidden/>
          </w:rPr>
          <w:fldChar w:fldCharType="end"/>
        </w:r>
      </w:hyperlink>
    </w:p>
    <w:p w14:paraId="1F0B2887" w14:textId="08BBA90F" w:rsidR="00AC0C3B" w:rsidRPr="003072C6" w:rsidRDefault="00E15DA9" w:rsidP="00801B6B">
      <w:pPr>
        <w:pStyle w:val="TOC2"/>
      </w:pPr>
      <w:r w:rsidRPr="003072C6">
        <w:rPr>
          <w:noProof w:val="0"/>
        </w:rPr>
        <w:fldChar w:fldCharType="end"/>
      </w:r>
      <w:r w:rsidR="003E2E12" w:rsidRPr="003072C6">
        <w:br w:type="page"/>
      </w:r>
    </w:p>
    <w:p w14:paraId="0A1E7686" w14:textId="46075216" w:rsidR="00AC0C3B" w:rsidRPr="00DB4F90" w:rsidRDefault="00D36BC9" w:rsidP="007D6BCA">
      <w:pPr>
        <w:pStyle w:val="Heading1"/>
      </w:pPr>
      <w:bookmarkStart w:id="3" w:name="_Toc19007960"/>
      <w:bookmarkStart w:id="4" w:name="_Toc33457054"/>
      <w:r w:rsidRPr="00DB4F90">
        <w:lastRenderedPageBreak/>
        <w:t>Executive summary</w:t>
      </w:r>
      <w:bookmarkEnd w:id="3"/>
      <w:bookmarkEnd w:id="4"/>
    </w:p>
    <w:p w14:paraId="4A9455FC" w14:textId="253A22A2" w:rsidR="00C96ACF" w:rsidRDefault="00C96ACF" w:rsidP="00C96ACF">
      <w:pPr>
        <w:pStyle w:val="DHHSbody"/>
      </w:pPr>
      <w:r>
        <w:t xml:space="preserve">A baseline report has been prepared using a set of measures articulated in the </w:t>
      </w:r>
      <w:r w:rsidRPr="00D36BC9">
        <w:rPr>
          <w:i/>
        </w:rPr>
        <w:t>Victorian cancer plan monitoring and evaluation framework</w:t>
      </w:r>
      <w:r>
        <w:t xml:space="preserve"> (2018). </w:t>
      </w:r>
      <w:r w:rsidRPr="00D36BC9">
        <w:t>Th</w:t>
      </w:r>
      <w:r>
        <w:t>is</w:t>
      </w:r>
      <w:r w:rsidRPr="00D36BC9">
        <w:t xml:space="preserve"> </w:t>
      </w:r>
      <w:r>
        <w:t>baseline</w:t>
      </w:r>
      <w:r w:rsidRPr="00D36BC9">
        <w:t xml:space="preserve"> report synthesises key findings</w:t>
      </w:r>
      <w:r>
        <w:t xml:space="preserve"> to inform development of the 2020–2024 cancer plan and successive plans, to improve cancer outcomes</w:t>
      </w:r>
      <w:r w:rsidRPr="00D36BC9">
        <w:t xml:space="preserve">. The </w:t>
      </w:r>
      <w:r>
        <w:t>report</w:t>
      </w:r>
      <w:r w:rsidRPr="00D36BC9">
        <w:t xml:space="preserve"> has</w:t>
      </w:r>
      <w:r>
        <w:t xml:space="preserve"> also assessed specific </w:t>
      </w:r>
      <w:r w:rsidRPr="00D36BC9">
        <w:t xml:space="preserve">outcomes </w:t>
      </w:r>
      <w:r>
        <w:t>of the framework across a cancer continuum of prevention, early detection, treatment, wellbeing and support for people affected by cancer, and research.</w:t>
      </w:r>
    </w:p>
    <w:p w14:paraId="37B38E92" w14:textId="77777777" w:rsidR="00C96ACF" w:rsidRDefault="00C96ACF" w:rsidP="00C96ACF">
      <w:pPr>
        <w:pStyle w:val="DHHSbody"/>
      </w:pPr>
      <w:r>
        <w:t>The department acknowledges the assistance of data custodians who were approached for their data to be included in this baseline report.</w:t>
      </w:r>
    </w:p>
    <w:p w14:paraId="42EEEB1D" w14:textId="712F40F3" w:rsidR="008C2E5F" w:rsidRDefault="008C2E5F" w:rsidP="00A14570">
      <w:pPr>
        <w:pStyle w:val="DHHSbody"/>
      </w:pPr>
    </w:p>
    <w:p w14:paraId="3CDBA6BC" w14:textId="519848E5" w:rsidR="008C2E5F" w:rsidRDefault="008C2E5F" w:rsidP="00A14570">
      <w:pPr>
        <w:pStyle w:val="DHHSbody"/>
      </w:pPr>
    </w:p>
    <w:p w14:paraId="5A3167C9" w14:textId="346767C1" w:rsidR="008C2E5F" w:rsidRDefault="008C2E5F" w:rsidP="00A14570">
      <w:pPr>
        <w:pStyle w:val="DHHSbody"/>
      </w:pPr>
    </w:p>
    <w:p w14:paraId="0252C49D" w14:textId="77777777" w:rsidR="00F23F2C" w:rsidRDefault="00F23F2C" w:rsidP="00F23F2C">
      <w:pPr>
        <w:rPr>
          <w:rFonts w:ascii="Arial" w:eastAsia="Times" w:hAnsi="Arial"/>
          <w:lang w:eastAsia="en-US"/>
        </w:rPr>
      </w:pPr>
    </w:p>
    <w:p w14:paraId="0F8AA6DF" w14:textId="3391FAE4" w:rsidR="00F23F2C" w:rsidRPr="00F23F2C" w:rsidRDefault="00F23F2C" w:rsidP="00F23F2C">
      <w:pPr>
        <w:rPr>
          <w:rFonts w:ascii="Arial" w:hAnsi="Arial" w:cs="Arial"/>
        </w:rPr>
        <w:sectPr w:rsidR="00F23F2C" w:rsidRPr="00F23F2C" w:rsidSect="00656B77">
          <w:pgSz w:w="11906" w:h="16838"/>
          <w:pgMar w:top="1701" w:right="1304" w:bottom="1134" w:left="1304" w:header="454" w:footer="567" w:gutter="0"/>
          <w:cols w:space="720"/>
          <w:docGrid w:linePitch="360"/>
        </w:sectPr>
      </w:pPr>
    </w:p>
    <w:p w14:paraId="2482F165" w14:textId="27ECEF3A" w:rsidR="00E30414" w:rsidRPr="00DB4F90" w:rsidRDefault="00945A28" w:rsidP="00A63984">
      <w:pPr>
        <w:pStyle w:val="Heading1"/>
        <w:spacing w:before="0"/>
      </w:pPr>
      <w:bookmarkStart w:id="5" w:name="_Toc19007961"/>
      <w:bookmarkStart w:id="6" w:name="_Toc33457055"/>
      <w:r w:rsidRPr="00DB4F90">
        <w:lastRenderedPageBreak/>
        <w:t>Introduction</w:t>
      </w:r>
      <w:bookmarkEnd w:id="5"/>
      <w:bookmarkEnd w:id="6"/>
    </w:p>
    <w:p w14:paraId="4E736604" w14:textId="7C790B10" w:rsidR="00A732AD" w:rsidRPr="00B17509" w:rsidRDefault="00FF2B85" w:rsidP="00B17509">
      <w:pPr>
        <w:pStyle w:val="DHHSbody"/>
      </w:pPr>
      <w:r w:rsidRPr="00B17509">
        <w:t>Cancer imposes a considerable burden on the Victorian community.</w:t>
      </w:r>
      <w:r w:rsidR="00952FC7" w:rsidRPr="00B17509">
        <w:t xml:space="preserve"> </w:t>
      </w:r>
      <w:r w:rsidRPr="00B17509">
        <w:t>In 2017</w:t>
      </w:r>
      <w:r w:rsidR="00D50D56" w:rsidRPr="00B17509">
        <w:t>, another 3</w:t>
      </w:r>
      <w:r w:rsidR="00640C73" w:rsidRPr="00B17509">
        <w:t>4</w:t>
      </w:r>
      <w:r w:rsidR="00D50D56" w:rsidRPr="00B17509">
        <w:t>,</w:t>
      </w:r>
      <w:r w:rsidR="00640C73" w:rsidRPr="00B17509">
        <w:t>557</w:t>
      </w:r>
      <w:r w:rsidR="00D50D56" w:rsidRPr="00B17509">
        <w:t xml:space="preserve"> Victorians w</w:t>
      </w:r>
      <w:r w:rsidR="00640C73" w:rsidRPr="00B17509">
        <w:t xml:space="preserve">ere </w:t>
      </w:r>
      <w:r w:rsidR="00D50D56" w:rsidRPr="00B17509">
        <w:t>diagnosed with cancer</w:t>
      </w:r>
      <w:r w:rsidR="00D20D63" w:rsidRPr="00B17509">
        <w:t>,</w:t>
      </w:r>
      <w:r w:rsidR="00D50D56" w:rsidRPr="00B17509">
        <w:t xml:space="preserve"> and </w:t>
      </w:r>
      <w:r w:rsidR="00876DF5" w:rsidRPr="00B17509">
        <w:t>10,955 died</w:t>
      </w:r>
      <w:r w:rsidR="00AA3A85" w:rsidRPr="00B17509">
        <w:t xml:space="preserve"> from the disease.</w:t>
      </w:r>
      <w:r w:rsidR="00D53F20" w:rsidRPr="002D2A9A">
        <w:rPr>
          <w:rStyle w:val="FootnoteReference"/>
        </w:rPr>
        <w:footnoteReference w:id="1"/>
      </w:r>
      <w:r w:rsidR="00D50D56" w:rsidRPr="002D2A9A">
        <w:rPr>
          <w:rStyle w:val="FootnoteReference"/>
        </w:rPr>
        <w:t xml:space="preserve"> </w:t>
      </w:r>
      <w:r w:rsidR="00D50D56" w:rsidRPr="00B17509">
        <w:t xml:space="preserve">While significant progress has been made, the number of people being diagnosed continues to increase, with yearly diagnoses expected to reach </w:t>
      </w:r>
      <w:r w:rsidR="00D20D63" w:rsidRPr="00B17509">
        <w:t xml:space="preserve">more than </w:t>
      </w:r>
      <w:r w:rsidR="00876DF5" w:rsidRPr="00B17509">
        <w:t>45,000 by 2028</w:t>
      </w:r>
      <w:r w:rsidR="00A14570" w:rsidRPr="00B17509">
        <w:t>–</w:t>
      </w:r>
      <w:r w:rsidR="00876DF5" w:rsidRPr="00B17509">
        <w:t>2032</w:t>
      </w:r>
      <w:r w:rsidR="00D50D56" w:rsidRPr="00B17509">
        <w:t>.</w:t>
      </w:r>
      <w:r w:rsidR="00CA34E1" w:rsidRPr="0078246F">
        <w:rPr>
          <w:rStyle w:val="FootnoteReference"/>
        </w:rPr>
        <w:footnoteReference w:id="2"/>
      </w:r>
      <w:r w:rsidR="00D50D56" w:rsidRPr="0078246F">
        <w:rPr>
          <w:rStyle w:val="FootnoteReference"/>
        </w:rPr>
        <w:t xml:space="preserve"> </w:t>
      </w:r>
      <w:r w:rsidR="00772929" w:rsidRPr="00B17509">
        <w:t xml:space="preserve">As </w:t>
      </w:r>
      <w:r w:rsidR="00A732AD" w:rsidRPr="00B17509">
        <w:t>the Victorian</w:t>
      </w:r>
      <w:r w:rsidR="00772929" w:rsidRPr="00B17509">
        <w:t xml:space="preserve"> population ages the incidence of cancer will continue to grow – in fact</w:t>
      </w:r>
      <w:r w:rsidR="00A14570" w:rsidRPr="00B17509">
        <w:t>,</w:t>
      </w:r>
      <w:r w:rsidR="00772929" w:rsidRPr="00B17509">
        <w:t xml:space="preserve"> one in three men and one in four women will have been diagnosed with cancer by the age of 75.</w:t>
      </w:r>
      <w:r w:rsidR="002C2B8E" w:rsidRPr="0078246F">
        <w:rPr>
          <w:rStyle w:val="FootnoteReference"/>
        </w:rPr>
        <w:footnoteReference w:id="3"/>
      </w:r>
    </w:p>
    <w:p w14:paraId="3C1D7561" w14:textId="38B9B04A" w:rsidR="002922EA" w:rsidRPr="00B17509" w:rsidRDefault="00772929" w:rsidP="00B17509">
      <w:pPr>
        <w:pStyle w:val="DHHSbody"/>
      </w:pPr>
      <w:r w:rsidRPr="00B17509">
        <w:t xml:space="preserve">Victoria’s cancer survival rates </w:t>
      </w:r>
      <w:r w:rsidR="008D4217" w:rsidRPr="00B17509">
        <w:t>have been described as</w:t>
      </w:r>
      <w:r w:rsidRPr="00B17509">
        <w:t xml:space="preserve"> among the best in the world, and more people than ever are now living with or beyond cancer.</w:t>
      </w:r>
      <w:r w:rsidR="00C2401F" w:rsidRPr="006053E7">
        <w:rPr>
          <w:rStyle w:val="FootnoteReference"/>
        </w:rPr>
        <w:footnoteReference w:id="4"/>
      </w:r>
      <w:r w:rsidRPr="00B17509">
        <w:t xml:space="preserve"> However, these outcomes are not the same for all. Poorer outcomes have persisted for some cancer types and for people living in some regional areas.</w:t>
      </w:r>
      <w:r w:rsidR="00E13AAF" w:rsidRPr="00F03215">
        <w:rPr>
          <w:rStyle w:val="FootnoteReference"/>
        </w:rPr>
        <w:footnoteReference w:id="5"/>
      </w:r>
      <w:r w:rsidRPr="00F03215">
        <w:rPr>
          <w:rStyle w:val="FootnoteReference"/>
        </w:rPr>
        <w:t xml:space="preserve"> </w:t>
      </w:r>
      <w:r w:rsidRPr="00B17509">
        <w:t xml:space="preserve">Aboriginal Victorians have significantly higher cancer mortality rates than non-Aboriginal Victorians. Reducing the burden of cancer requires a comprehensive approach with a focus on reducing these </w:t>
      </w:r>
      <w:r w:rsidR="00505127">
        <w:t>disparities.</w:t>
      </w:r>
    </w:p>
    <w:p w14:paraId="512CE07B" w14:textId="41BA05DE" w:rsidR="00590DA0" w:rsidRPr="00B17509" w:rsidRDefault="00406D6B" w:rsidP="00B17509">
      <w:pPr>
        <w:pStyle w:val="DHHSbody"/>
      </w:pPr>
      <w:r w:rsidRPr="00B17509">
        <w:t xml:space="preserve">Through the </w:t>
      </w:r>
      <w:r w:rsidRPr="00D53DC4">
        <w:rPr>
          <w:i/>
        </w:rPr>
        <w:t>Improving Cancer Outcomes Act 2014</w:t>
      </w:r>
      <w:r w:rsidRPr="00B17509">
        <w:t>, the Victorian Government is committed to preparing a cancer plan for Victoria every four years</w:t>
      </w:r>
      <w:r w:rsidR="00FB0708" w:rsidRPr="00B17509">
        <w:t xml:space="preserve"> </w:t>
      </w:r>
      <w:r w:rsidR="00D2579A" w:rsidRPr="00B17509">
        <w:t xml:space="preserve">that outlines </w:t>
      </w:r>
      <w:r w:rsidR="00FB0708" w:rsidRPr="00B17509">
        <w:t>the status</w:t>
      </w:r>
      <w:r w:rsidR="00492ACB" w:rsidRPr="00B17509">
        <w:t xml:space="preserve"> </w:t>
      </w:r>
      <w:r w:rsidR="00907667" w:rsidRPr="00B17509">
        <w:t>and</w:t>
      </w:r>
      <w:r w:rsidR="00492ACB" w:rsidRPr="00B17509">
        <w:t xml:space="preserve"> burden of cancer in Victoria</w:t>
      </w:r>
      <w:r w:rsidRPr="00B17509">
        <w:t>.</w:t>
      </w:r>
      <w:r w:rsidR="00952FC7" w:rsidRPr="00B17509">
        <w:t xml:space="preserve"> </w:t>
      </w:r>
      <w:r w:rsidR="00590DA0" w:rsidRPr="00B17509">
        <w:t>The Victorian cancer plan 2016</w:t>
      </w:r>
      <w:r w:rsidR="00A14570" w:rsidRPr="00B17509">
        <w:t>–</w:t>
      </w:r>
      <w:r w:rsidR="00590DA0" w:rsidRPr="00B17509">
        <w:t>2020</w:t>
      </w:r>
      <w:r w:rsidR="00D2579A" w:rsidRPr="00B17509">
        <w:t>,</w:t>
      </w:r>
      <w:r w:rsidR="00590DA0" w:rsidRPr="00B17509">
        <w:t xml:space="preserve"> released </w:t>
      </w:r>
      <w:r w:rsidR="00D2579A" w:rsidRPr="00B17509">
        <w:t>in</w:t>
      </w:r>
      <w:r w:rsidR="00590DA0" w:rsidRPr="00B17509">
        <w:t xml:space="preserve"> July 2016, is the first cancer plan developed under the Act. To support implementation and monitoring, the plan commits to establishing outcome measures that identify short-, medium- and long-term targets </w:t>
      </w:r>
      <w:r w:rsidR="00D67BDE" w:rsidRPr="00B17509">
        <w:t xml:space="preserve">(goals) </w:t>
      </w:r>
      <w:r w:rsidR="00590DA0" w:rsidRPr="00B17509">
        <w:t xml:space="preserve">and </w:t>
      </w:r>
      <w:r w:rsidR="00D2579A" w:rsidRPr="00B17509">
        <w:t xml:space="preserve">to </w:t>
      </w:r>
      <w:r w:rsidR="00590DA0" w:rsidRPr="00B17509">
        <w:t>monitor the impacts of efforts to improve cancer outcomes</w:t>
      </w:r>
      <w:r w:rsidR="00D12C33" w:rsidRPr="00B17509">
        <w:t>.</w:t>
      </w:r>
      <w:r w:rsidR="00952FC7" w:rsidRPr="00B17509">
        <w:t xml:space="preserve"> </w:t>
      </w:r>
      <w:r w:rsidR="00D12C33" w:rsidRPr="00B17509">
        <w:t xml:space="preserve">This outcomes focus is consistent with </w:t>
      </w:r>
      <w:r w:rsidR="00FB0708" w:rsidRPr="00B17509">
        <w:t xml:space="preserve">the approach being promoted across the Victorian </w:t>
      </w:r>
      <w:r w:rsidR="00D2579A" w:rsidRPr="00B17509">
        <w:t>G</w:t>
      </w:r>
      <w:r w:rsidR="00FB0708" w:rsidRPr="00B17509">
        <w:t>overnment</w:t>
      </w:r>
      <w:r w:rsidR="00D12C33" w:rsidRPr="00B17509">
        <w:t xml:space="preserve"> </w:t>
      </w:r>
      <w:r w:rsidR="00FB0708" w:rsidRPr="00B17509">
        <w:t>and aligns with the Department</w:t>
      </w:r>
      <w:r w:rsidR="0012533E" w:rsidRPr="00B17509">
        <w:t xml:space="preserve"> of Health and Human Services’ (the department)</w:t>
      </w:r>
      <w:r w:rsidR="00FB0708" w:rsidRPr="00B17509">
        <w:t xml:space="preserve"> outcomes framework architecture.</w:t>
      </w:r>
    </w:p>
    <w:p w14:paraId="41ACAB25" w14:textId="37DB4A15" w:rsidR="00984E0E" w:rsidRPr="00DB4F90" w:rsidRDefault="00F42F10" w:rsidP="006053E7">
      <w:pPr>
        <w:pStyle w:val="Heading2"/>
      </w:pPr>
      <w:bookmarkStart w:id="7" w:name="_Toc19007962"/>
      <w:bookmarkStart w:id="8" w:name="_Toc33457056"/>
      <w:r w:rsidRPr="00DB4F90">
        <w:t>T</w:t>
      </w:r>
      <w:r w:rsidR="00DC791A" w:rsidRPr="00DB4F90">
        <w:t xml:space="preserve">he </w:t>
      </w:r>
      <w:r w:rsidR="0056492D" w:rsidRPr="00DB4F90">
        <w:t>Victorian monitoring and eva</w:t>
      </w:r>
      <w:r w:rsidR="00B24EBE" w:rsidRPr="00DB4F90">
        <w:t>luation framework</w:t>
      </w:r>
      <w:r w:rsidRPr="00DB4F90">
        <w:t>: measuring our success</w:t>
      </w:r>
      <w:bookmarkEnd w:id="7"/>
      <w:bookmarkEnd w:id="8"/>
    </w:p>
    <w:p w14:paraId="4C6A4642" w14:textId="13DE2766" w:rsidR="00705F5D" w:rsidRDefault="00875C98" w:rsidP="00945A28">
      <w:pPr>
        <w:pStyle w:val="DHHSbody"/>
      </w:pPr>
      <w:r>
        <w:t>The department aspires to improv</w:t>
      </w:r>
      <w:r w:rsidR="00200E86">
        <w:t>e</w:t>
      </w:r>
      <w:r>
        <w:t xml:space="preserve"> cancer outcomes for all and support all Victorians affected by this illness.</w:t>
      </w:r>
      <w:r w:rsidR="006613F8">
        <w:t xml:space="preserve"> </w:t>
      </w:r>
      <w:r>
        <w:t>To help deliver this vision, the department consulted internally and externally with individual</w:t>
      </w:r>
      <w:r w:rsidR="00D35F32">
        <w:t>s</w:t>
      </w:r>
      <w:r>
        <w:t xml:space="preserve"> and organisations across the Victorian cancer sector to develop</w:t>
      </w:r>
      <w:r w:rsidR="00885B82">
        <w:t xml:space="preserve"> an outcomes framework.</w:t>
      </w:r>
      <w:r w:rsidR="00952FC7">
        <w:t xml:space="preserve"> </w:t>
      </w:r>
      <w:r w:rsidR="00885B82">
        <w:t>This framework</w:t>
      </w:r>
      <w:r w:rsidR="00D2579A">
        <w:t>,</w:t>
      </w:r>
      <w:r w:rsidR="00885B82">
        <w:t xml:space="preserve"> known as the </w:t>
      </w:r>
      <w:r w:rsidRPr="00D35F32">
        <w:rPr>
          <w:i/>
        </w:rPr>
        <w:t>Victorian cancer plan monitoring and evaluation framework</w:t>
      </w:r>
      <w:r w:rsidR="00D2579A">
        <w:rPr>
          <w:iCs/>
        </w:rPr>
        <w:t>,</w:t>
      </w:r>
      <w:r w:rsidR="00885B82">
        <w:t xml:space="preserve"> was published in June 2018</w:t>
      </w:r>
      <w:r w:rsidR="00D12C33">
        <w:t xml:space="preserve"> </w:t>
      </w:r>
      <w:r w:rsidR="0018009A">
        <w:t>and contains 97 measures. The framework is</w:t>
      </w:r>
      <w:r w:rsidR="00D12C33">
        <w:t xml:space="preserve"> supported by a data dictionary</w:t>
      </w:r>
      <w:r>
        <w:t>.</w:t>
      </w:r>
      <w:r w:rsidR="00885B82">
        <w:t xml:space="preserve"> It </w:t>
      </w:r>
      <w:r>
        <w:t>is population-outcomes based and provides a transparent and objective approach to monitoring and reporting on the collective impact of the sector to improve cancer outcomes.</w:t>
      </w:r>
      <w:r w:rsidR="00784D15">
        <w:t xml:space="preserve"> </w:t>
      </w:r>
      <w:r w:rsidR="00364D1F" w:rsidRPr="00644BF9">
        <w:t xml:space="preserve">Reporting will include changes over time and will </w:t>
      </w:r>
      <w:r w:rsidR="00D2579A">
        <w:t>help identify</w:t>
      </w:r>
      <w:r w:rsidR="00364D1F" w:rsidRPr="00644BF9">
        <w:t xml:space="preserve"> investment and implementation priorities. </w:t>
      </w:r>
    </w:p>
    <w:p w14:paraId="24162D51" w14:textId="7276EAA6" w:rsidR="00784D15" w:rsidRDefault="00705F5D" w:rsidP="00945A28">
      <w:pPr>
        <w:pStyle w:val="DHHSbody"/>
      </w:pPr>
      <w:r>
        <w:t>Figure 1 shows the outcomes framework cascad</w:t>
      </w:r>
      <w:r w:rsidR="005416F6">
        <w:t>ing</w:t>
      </w:r>
      <w:r>
        <w:t xml:space="preserve"> </w:t>
      </w:r>
      <w:r w:rsidR="00784D15">
        <w:t xml:space="preserve">upwards from </w:t>
      </w:r>
      <w:r w:rsidR="00106046">
        <w:t>outcome measures, indicators and key results</w:t>
      </w:r>
      <w:r w:rsidR="00D2579A">
        <w:t>,</w:t>
      </w:r>
      <w:r w:rsidR="00106046">
        <w:t xml:space="preserve"> which link logistically through </w:t>
      </w:r>
      <w:r w:rsidR="005416F6">
        <w:t xml:space="preserve">to </w:t>
      </w:r>
      <w:r w:rsidR="00106046">
        <w:t xml:space="preserve">each priority set out in the </w:t>
      </w:r>
      <w:r w:rsidR="00106046" w:rsidRPr="00106046">
        <w:rPr>
          <w:i/>
        </w:rPr>
        <w:t>Victorian cancer plan 2016</w:t>
      </w:r>
      <w:r w:rsidR="00690CD3">
        <w:rPr>
          <w:i/>
        </w:rPr>
        <w:t>–</w:t>
      </w:r>
      <w:r w:rsidR="00106046" w:rsidRPr="00106046">
        <w:rPr>
          <w:i/>
        </w:rPr>
        <w:t>2020</w:t>
      </w:r>
      <w:r w:rsidR="00106046">
        <w:t>.</w:t>
      </w:r>
      <w:r w:rsidR="00952FC7">
        <w:t xml:space="preserve"> </w:t>
      </w:r>
      <w:r w:rsidR="00F42F10">
        <w:t xml:space="preserve">Each of the cancer plan priority areas describe the components critical to the success of the goals </w:t>
      </w:r>
      <w:r w:rsidR="00D2579A">
        <w:t xml:space="preserve">that </w:t>
      </w:r>
      <w:r w:rsidR="00F42F10">
        <w:t>have been set to 2040</w:t>
      </w:r>
      <w:r w:rsidR="00040E97">
        <w:t>.</w:t>
      </w:r>
      <w:r w:rsidR="0011721D">
        <w:rPr>
          <w:rStyle w:val="FootnoteReference"/>
        </w:rPr>
        <w:footnoteReference w:id="6"/>
      </w:r>
      <w:r w:rsidR="00952FC7">
        <w:t xml:space="preserve"> </w:t>
      </w:r>
    </w:p>
    <w:p w14:paraId="01D54004" w14:textId="77777777" w:rsidR="00B412F8" w:rsidRDefault="00B412F8" w:rsidP="00B412F8">
      <w:pPr>
        <w:pStyle w:val="DHHSbody"/>
      </w:pPr>
      <w:r>
        <w:lastRenderedPageBreak/>
        <w:t xml:space="preserve">The framework </w:t>
      </w:r>
      <w:r w:rsidR="00812ABD">
        <w:t>enables</w:t>
      </w:r>
      <w:r>
        <w:t xml:space="preserve"> </w:t>
      </w:r>
      <w:r w:rsidR="005416F6">
        <w:t xml:space="preserve">the department </w:t>
      </w:r>
      <w:r>
        <w:t>to:</w:t>
      </w:r>
    </w:p>
    <w:p w14:paraId="6D0586C8" w14:textId="55EC3C66" w:rsidR="005416F6" w:rsidRDefault="004E5730" w:rsidP="00AA325E">
      <w:pPr>
        <w:pStyle w:val="DHHSbullet1"/>
      </w:pPr>
      <w:r>
        <w:t>a</w:t>
      </w:r>
      <w:r w:rsidR="005416F6">
        <w:t xml:space="preserve">rticulate </w:t>
      </w:r>
      <w:r w:rsidR="00812ABD">
        <w:t>cancer plan priorities</w:t>
      </w:r>
    </w:p>
    <w:p w14:paraId="0810A2BE" w14:textId="62D5F1F7" w:rsidR="00812ABD" w:rsidRDefault="004E5730" w:rsidP="00AA325E">
      <w:pPr>
        <w:pStyle w:val="DHHSbullet1"/>
      </w:pPr>
      <w:r>
        <w:t>f</w:t>
      </w:r>
      <w:r w:rsidR="00812ABD">
        <w:t>ocus actions and activities on areas where enduring change is needed most</w:t>
      </w:r>
    </w:p>
    <w:p w14:paraId="014015CA" w14:textId="44B07390" w:rsidR="00812ABD" w:rsidRDefault="004E5730" w:rsidP="00AA325E">
      <w:pPr>
        <w:pStyle w:val="DHHSbullet1"/>
      </w:pPr>
      <w:r>
        <w:t>a</w:t>
      </w:r>
      <w:r w:rsidR="00812ABD">
        <w:t>ssess the impact of cancer services on the lives of Victorians</w:t>
      </w:r>
    </w:p>
    <w:p w14:paraId="129093CB" w14:textId="404E2531" w:rsidR="00812ABD" w:rsidRDefault="004E5730" w:rsidP="005416F6">
      <w:pPr>
        <w:pStyle w:val="DHHSbullet1lastline"/>
      </w:pPr>
      <w:r>
        <w:t>d</w:t>
      </w:r>
      <w:r w:rsidR="00812ABD">
        <w:t>rive future monitoring and reporting.</w:t>
      </w:r>
    </w:p>
    <w:p w14:paraId="3024E397" w14:textId="062C8CFF" w:rsidR="00DC791A" w:rsidRPr="006053E7" w:rsidRDefault="00DC791A" w:rsidP="006053E7">
      <w:pPr>
        <w:pStyle w:val="Heading2"/>
      </w:pPr>
      <w:bookmarkStart w:id="9" w:name="_Toc19007963"/>
      <w:bookmarkStart w:id="10" w:name="_Toc33457057"/>
      <w:r w:rsidRPr="006053E7">
        <w:t xml:space="preserve">Purpose </w:t>
      </w:r>
      <w:r w:rsidR="00B53FE5" w:rsidRPr="006053E7">
        <w:t>of the baseline report</w:t>
      </w:r>
      <w:bookmarkEnd w:id="9"/>
      <w:bookmarkEnd w:id="10"/>
    </w:p>
    <w:p w14:paraId="123BE51C" w14:textId="3FB6FFE5" w:rsidR="00274CDA" w:rsidRDefault="00031EF3" w:rsidP="00031EF3">
      <w:pPr>
        <w:pStyle w:val="DHHSbody"/>
      </w:pPr>
      <w:r>
        <w:t xml:space="preserve">This baseline report is the first report </w:t>
      </w:r>
      <w:r w:rsidR="004B2F15">
        <w:t>that synthesises</w:t>
      </w:r>
      <w:r>
        <w:t xml:space="preserve"> </w:t>
      </w:r>
      <w:r w:rsidR="00433209">
        <w:t>the current status of outcome measures</w:t>
      </w:r>
      <w:r w:rsidR="00705F5D">
        <w:t xml:space="preserve"> from various Victorian data sources, </w:t>
      </w:r>
      <w:r>
        <w:t xml:space="preserve">against the department’s outcomes framework </w:t>
      </w:r>
      <w:r w:rsidR="002032E9">
        <w:t>(Figure 1)</w:t>
      </w:r>
      <w:r>
        <w:t xml:space="preserve">. </w:t>
      </w:r>
      <w:r w:rsidR="008E279F">
        <w:t xml:space="preserve">Its purpose is to inform the </w:t>
      </w:r>
      <w:r w:rsidR="00B042DA">
        <w:t>development of the 2020</w:t>
      </w:r>
      <w:r w:rsidR="00690CD3">
        <w:t>–</w:t>
      </w:r>
      <w:r w:rsidR="00B042DA">
        <w:t>2024</w:t>
      </w:r>
      <w:r w:rsidR="00D2579A" w:rsidRPr="00D2579A">
        <w:t xml:space="preserve"> </w:t>
      </w:r>
      <w:r w:rsidR="00D2579A">
        <w:t>cancer plan</w:t>
      </w:r>
      <w:r w:rsidR="00B042DA">
        <w:t xml:space="preserve">. </w:t>
      </w:r>
      <w:r>
        <w:t xml:space="preserve">As this is the first </w:t>
      </w:r>
      <w:r w:rsidR="00690CD3">
        <w:t>r</w:t>
      </w:r>
      <w:r>
        <w:t>eport</w:t>
      </w:r>
      <w:r w:rsidR="000B03D6">
        <w:t>,</w:t>
      </w:r>
      <w:r>
        <w:t xml:space="preserve"> results are not yet available for every measure.</w:t>
      </w:r>
      <w:r w:rsidR="00952FC7">
        <w:t xml:space="preserve"> </w:t>
      </w:r>
      <w:r w:rsidR="00D2579A">
        <w:t xml:space="preserve">Results </w:t>
      </w:r>
      <w:r>
        <w:t xml:space="preserve">will be reported in the future as </w:t>
      </w:r>
      <w:r w:rsidR="00D67BDE">
        <w:t>data</w:t>
      </w:r>
      <w:r>
        <w:t xml:space="preserve"> become</w:t>
      </w:r>
      <w:r w:rsidR="00D67BDE">
        <w:t>s</w:t>
      </w:r>
      <w:r>
        <w:t xml:space="preserve"> available.</w:t>
      </w:r>
    </w:p>
    <w:p w14:paraId="21FE2D67" w14:textId="3928D3C1" w:rsidR="000879F5" w:rsidRDefault="00274CDA" w:rsidP="000879F5">
      <w:pPr>
        <w:pStyle w:val="DHHSbody"/>
        <w:rPr>
          <w:b/>
        </w:rPr>
      </w:pPr>
      <w:r>
        <w:t xml:space="preserve">The </w:t>
      </w:r>
      <w:r w:rsidR="000B44C5">
        <w:t xml:space="preserve">baseline </w:t>
      </w:r>
      <w:r>
        <w:t>report does not</w:t>
      </w:r>
      <w:r w:rsidR="005F1C86">
        <w:t xml:space="preserve"> provide a </w:t>
      </w:r>
      <w:r>
        <w:t>review of measure selection and methodology</w:t>
      </w:r>
      <w:r w:rsidR="00433209">
        <w:t>,</w:t>
      </w:r>
      <w:r>
        <w:t xml:space="preserve"> or improvement of technical documentation of measures</w:t>
      </w:r>
      <w:r w:rsidR="005F1C86">
        <w:t>.</w:t>
      </w:r>
      <w:r w:rsidR="00952FC7">
        <w:t xml:space="preserve"> </w:t>
      </w:r>
      <w:r w:rsidR="00BE5E7A">
        <w:t>Data presented in this report reflects observations at set points in time.</w:t>
      </w:r>
      <w:r w:rsidR="00952FC7">
        <w:t xml:space="preserve"> </w:t>
      </w:r>
      <w:r w:rsidR="00BE5E7A">
        <w:t>More compr</w:t>
      </w:r>
      <w:r w:rsidR="00343858">
        <w:t>eh</w:t>
      </w:r>
      <w:r w:rsidR="00BE5E7A">
        <w:t>ensive datasets are available for viewing a</w:t>
      </w:r>
      <w:r w:rsidR="00343858">
        <w:t>t the referenced data sources.</w:t>
      </w:r>
      <w:r w:rsidR="000879F5" w:rsidRPr="000879F5">
        <w:rPr>
          <w:b/>
        </w:rPr>
        <w:t xml:space="preserve"> </w:t>
      </w:r>
    </w:p>
    <w:p w14:paraId="27A91FC6" w14:textId="1003A66A" w:rsidR="000879F5" w:rsidRDefault="000879F5" w:rsidP="00B17509">
      <w:pPr>
        <w:pStyle w:val="DHHSfigurecaption"/>
      </w:pPr>
      <w:bookmarkStart w:id="11" w:name="_Toc19007964"/>
      <w:bookmarkStart w:id="12" w:name="_Toc19008248"/>
      <w:bookmarkStart w:id="13" w:name="_Toc19008395"/>
      <w:bookmarkStart w:id="14" w:name="_Toc19008542"/>
      <w:bookmarkStart w:id="15" w:name="_Toc27414245"/>
      <w:r w:rsidRPr="00F7777B">
        <w:t>Figure 1: Outcomes framework logic model</w:t>
      </w:r>
      <w:bookmarkEnd w:id="11"/>
      <w:bookmarkEnd w:id="12"/>
      <w:bookmarkEnd w:id="13"/>
      <w:bookmarkEnd w:id="14"/>
      <w:bookmarkEnd w:id="15"/>
    </w:p>
    <w:p w14:paraId="7713DFEF" w14:textId="5E8D8DF0" w:rsidR="000879F5" w:rsidRPr="000879F5" w:rsidRDefault="0078246F" w:rsidP="000879F5">
      <w:pPr>
        <w:pStyle w:val="DHHSbody"/>
      </w:pPr>
      <w:r>
        <w:rPr>
          <w:rFonts w:eastAsia="Times New Roman"/>
          <w:noProof/>
        </w:rPr>
        <w:drawing>
          <wp:inline distT="0" distB="0" distL="0" distR="0" wp14:anchorId="3FF19487" wp14:editId="71F80391">
            <wp:extent cx="5904230" cy="4681220"/>
            <wp:effectExtent l="0" t="0" r="1270" b="5080"/>
            <wp:docPr id="16" name="Picture 16" descr="cid:65892f97-a7ce-4a16-907d-534d116be8c1@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65892f97-a7ce-4a16-907d-534d116be8c1@ausprd01.prod.outlook.com"/>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5904230" cy="4681220"/>
                    </a:xfrm>
                    <a:prstGeom prst="rect">
                      <a:avLst/>
                    </a:prstGeom>
                    <a:noFill/>
                    <a:ln>
                      <a:noFill/>
                    </a:ln>
                  </pic:spPr>
                </pic:pic>
              </a:graphicData>
            </a:graphic>
          </wp:inline>
        </w:drawing>
      </w:r>
    </w:p>
    <w:p w14:paraId="57EE3E00" w14:textId="715FE8FF" w:rsidR="00175D1C" w:rsidRPr="00DB4F90" w:rsidRDefault="00B042DA" w:rsidP="007D6BCA">
      <w:pPr>
        <w:pStyle w:val="Heading1"/>
      </w:pPr>
      <w:r>
        <w:rPr>
          <w:lang w:eastAsia="en-AU"/>
        </w:rPr>
        <w:br w:type="page"/>
      </w:r>
      <w:bookmarkStart w:id="16" w:name="_Toc19007965"/>
      <w:bookmarkStart w:id="17" w:name="_Toc33457058"/>
      <w:r w:rsidR="00175D1C" w:rsidRPr="00B17509">
        <w:lastRenderedPageBreak/>
        <w:t xml:space="preserve">How to read this </w:t>
      </w:r>
      <w:r w:rsidR="00EE72E9" w:rsidRPr="00B17509">
        <w:t>r</w:t>
      </w:r>
      <w:r w:rsidR="00175D1C" w:rsidRPr="00B17509">
        <w:t>eport</w:t>
      </w:r>
      <w:bookmarkEnd w:id="16"/>
      <w:bookmarkEnd w:id="17"/>
    </w:p>
    <w:p w14:paraId="0735E908" w14:textId="3AFAB2DA" w:rsidR="005F4AF0" w:rsidRPr="00DB4F90" w:rsidRDefault="00DA7FC5" w:rsidP="006053E7">
      <w:pPr>
        <w:pStyle w:val="Heading2"/>
      </w:pPr>
      <w:bookmarkStart w:id="18" w:name="_Toc19007966"/>
      <w:bookmarkStart w:id="19" w:name="_Toc33457059"/>
      <w:r w:rsidRPr="00DB4F90">
        <w:t>Structure of the report</w:t>
      </w:r>
      <w:bookmarkEnd w:id="18"/>
      <w:bookmarkEnd w:id="19"/>
    </w:p>
    <w:p w14:paraId="4BEA28AE" w14:textId="34588A13" w:rsidR="00DA7FC5" w:rsidRDefault="00DA7FC5" w:rsidP="00B17509">
      <w:pPr>
        <w:pStyle w:val="DHHSbody"/>
      </w:pPr>
      <w:r w:rsidRPr="00DA7FC5">
        <w:t>This</w:t>
      </w:r>
      <w:r>
        <w:t xml:space="preserve"> baseline</w:t>
      </w:r>
      <w:r w:rsidRPr="00DA7FC5">
        <w:t xml:space="preserve"> repo</w:t>
      </w:r>
      <w:r>
        <w:t xml:space="preserve">rt provides information at </w:t>
      </w:r>
      <w:r w:rsidR="00175D1C">
        <w:t>three</w:t>
      </w:r>
      <w:r w:rsidRPr="00DA7FC5">
        <w:t xml:space="preserve"> different levels of detail.</w:t>
      </w:r>
    </w:p>
    <w:p w14:paraId="712773EC" w14:textId="35206D21" w:rsidR="00175D1C" w:rsidRPr="00175D1C" w:rsidRDefault="00704A54" w:rsidP="00196812">
      <w:pPr>
        <w:pStyle w:val="DHHSbullet1"/>
        <w:spacing w:before="100" w:beforeAutospacing="1" w:after="120"/>
        <w:rPr>
          <w:lang w:eastAsia="en-AU"/>
        </w:rPr>
      </w:pPr>
      <w:r w:rsidRPr="006F3B8F">
        <w:rPr>
          <w:lang w:eastAsia="en-AU"/>
        </w:rPr>
        <w:t>The</w:t>
      </w:r>
      <w:r>
        <w:rPr>
          <w:b/>
          <w:bCs/>
          <w:lang w:eastAsia="en-AU"/>
        </w:rPr>
        <w:t xml:space="preserve"> d</w:t>
      </w:r>
      <w:r w:rsidR="00175D1C">
        <w:rPr>
          <w:b/>
          <w:bCs/>
          <w:lang w:eastAsia="en-AU"/>
        </w:rPr>
        <w:t xml:space="preserve">ashboard </w:t>
      </w:r>
      <w:r w:rsidR="009A2013">
        <w:rPr>
          <w:lang w:eastAsia="en-AU"/>
        </w:rPr>
        <w:t>provides a ‘snapshot’</w:t>
      </w:r>
      <w:r w:rsidR="00B24BAE">
        <w:rPr>
          <w:lang w:eastAsia="en-AU"/>
        </w:rPr>
        <w:t xml:space="preserve"> </w:t>
      </w:r>
      <w:r w:rsidR="005A2F83">
        <w:rPr>
          <w:lang w:eastAsia="en-AU"/>
        </w:rPr>
        <w:t xml:space="preserve">of </w:t>
      </w:r>
      <w:r w:rsidR="00175D1C">
        <w:rPr>
          <w:lang w:eastAsia="en-AU"/>
        </w:rPr>
        <w:t xml:space="preserve">how each </w:t>
      </w:r>
      <w:r w:rsidR="004E5730">
        <w:rPr>
          <w:lang w:eastAsia="en-AU"/>
        </w:rPr>
        <w:t>k</w:t>
      </w:r>
      <w:r w:rsidR="00175D1C">
        <w:rPr>
          <w:lang w:eastAsia="en-AU"/>
        </w:rPr>
        <w:t xml:space="preserve">ey </w:t>
      </w:r>
      <w:r w:rsidR="004E5730">
        <w:rPr>
          <w:lang w:eastAsia="en-AU"/>
        </w:rPr>
        <w:t>r</w:t>
      </w:r>
      <w:r w:rsidR="00175D1C">
        <w:rPr>
          <w:lang w:eastAsia="en-AU"/>
        </w:rPr>
        <w:t xml:space="preserve">esult </w:t>
      </w:r>
      <w:r w:rsidR="004E5730">
        <w:rPr>
          <w:lang w:eastAsia="en-AU"/>
        </w:rPr>
        <w:t>a</w:t>
      </w:r>
      <w:r w:rsidR="00175D1C">
        <w:rPr>
          <w:lang w:eastAsia="en-AU"/>
        </w:rPr>
        <w:t>rea is tracking</w:t>
      </w:r>
      <w:r w:rsidR="004E5730">
        <w:rPr>
          <w:lang w:eastAsia="en-AU"/>
        </w:rPr>
        <w:t>.</w:t>
      </w:r>
    </w:p>
    <w:p w14:paraId="11972756" w14:textId="26C6D685" w:rsidR="00DA7FC5" w:rsidRDefault="00704A54" w:rsidP="00196812">
      <w:pPr>
        <w:pStyle w:val="DHHSbullet1"/>
        <w:spacing w:before="100" w:beforeAutospacing="1" w:after="120"/>
        <w:rPr>
          <w:lang w:eastAsia="en-AU"/>
        </w:rPr>
      </w:pPr>
      <w:r w:rsidRPr="006F3B8F">
        <w:rPr>
          <w:lang w:eastAsia="en-AU"/>
        </w:rPr>
        <w:t>The</w:t>
      </w:r>
      <w:r>
        <w:rPr>
          <w:b/>
          <w:bCs/>
          <w:lang w:eastAsia="en-AU"/>
        </w:rPr>
        <w:t xml:space="preserve"> s</w:t>
      </w:r>
      <w:r w:rsidR="00DA7FC5" w:rsidRPr="00DA7FC5">
        <w:rPr>
          <w:b/>
          <w:bCs/>
          <w:lang w:eastAsia="en-AU"/>
        </w:rPr>
        <w:t xml:space="preserve">ummary </w:t>
      </w:r>
      <w:r w:rsidR="004E5730">
        <w:rPr>
          <w:b/>
          <w:bCs/>
          <w:lang w:eastAsia="en-AU"/>
        </w:rPr>
        <w:t>r</w:t>
      </w:r>
      <w:r w:rsidR="00DA7FC5" w:rsidRPr="00DA7FC5">
        <w:rPr>
          <w:b/>
          <w:bCs/>
          <w:lang w:eastAsia="en-AU"/>
        </w:rPr>
        <w:t xml:space="preserve">eport </w:t>
      </w:r>
      <w:r w:rsidR="00DE3F82">
        <w:rPr>
          <w:lang w:eastAsia="en-AU"/>
        </w:rPr>
        <w:t>sets out</w:t>
      </w:r>
      <w:r w:rsidR="00DA7FC5" w:rsidRPr="00DA7FC5">
        <w:rPr>
          <w:lang w:eastAsia="en-AU"/>
        </w:rPr>
        <w:t xml:space="preserve"> how </w:t>
      </w:r>
      <w:r w:rsidR="00041F61">
        <w:rPr>
          <w:lang w:eastAsia="en-AU"/>
        </w:rPr>
        <w:t>Victoria</w:t>
      </w:r>
      <w:r w:rsidR="00DA7FC5" w:rsidRPr="00DA7FC5">
        <w:rPr>
          <w:lang w:eastAsia="en-AU"/>
        </w:rPr>
        <w:t xml:space="preserve"> is </w:t>
      </w:r>
      <w:r w:rsidR="00175D1C">
        <w:rPr>
          <w:lang w:eastAsia="en-AU"/>
        </w:rPr>
        <w:t>progress</w:t>
      </w:r>
      <w:r w:rsidR="004E5730">
        <w:rPr>
          <w:lang w:eastAsia="en-AU"/>
        </w:rPr>
        <w:t>ing</w:t>
      </w:r>
      <w:r w:rsidR="00175D1C">
        <w:rPr>
          <w:lang w:eastAsia="en-AU"/>
        </w:rPr>
        <w:t xml:space="preserve"> on each measure</w:t>
      </w:r>
      <w:r w:rsidR="005816A8">
        <w:rPr>
          <w:lang w:eastAsia="en-AU"/>
        </w:rPr>
        <w:t>.</w:t>
      </w:r>
      <w:r w:rsidR="00952FC7">
        <w:rPr>
          <w:lang w:eastAsia="en-AU"/>
        </w:rPr>
        <w:t xml:space="preserve"> </w:t>
      </w:r>
      <w:r w:rsidR="005816A8">
        <w:rPr>
          <w:lang w:eastAsia="en-AU"/>
        </w:rPr>
        <w:t>This includes</w:t>
      </w:r>
      <w:r w:rsidR="00DE3F82">
        <w:rPr>
          <w:lang w:eastAsia="en-AU"/>
        </w:rPr>
        <w:t xml:space="preserve"> a:</w:t>
      </w:r>
    </w:p>
    <w:p w14:paraId="6ECCD8CB" w14:textId="3FDF20CE" w:rsidR="00DE3F82" w:rsidRPr="00DE3F82" w:rsidRDefault="004E5730" w:rsidP="002B7E54">
      <w:pPr>
        <w:pStyle w:val="DHHSbullet2"/>
      </w:pPr>
      <w:r>
        <w:t>t</w:t>
      </w:r>
      <w:r w:rsidR="00DE3F82" w:rsidRPr="00DE3F82">
        <w:t xml:space="preserve">arget </w:t>
      </w:r>
      <w:r>
        <w:t>–</w:t>
      </w:r>
      <w:r w:rsidR="00DE3F82" w:rsidRPr="00DE3F82">
        <w:t xml:space="preserve"> where we want to be (</w:t>
      </w:r>
      <w:r w:rsidR="00D65E88">
        <w:t>from the baseline year</w:t>
      </w:r>
      <w:r w:rsidR="00704A54">
        <w:t>,</w:t>
      </w:r>
      <w:r w:rsidR="00D65E88">
        <w:t xml:space="preserve"> </w:t>
      </w:r>
      <w:r w:rsidR="00DE3F82" w:rsidRPr="00DE3F82">
        <w:t>where appropriate)</w:t>
      </w:r>
    </w:p>
    <w:p w14:paraId="43A5D9AF" w14:textId="2FF9070C" w:rsidR="00DE3F82" w:rsidRPr="00DE3F82" w:rsidRDefault="004E5730" w:rsidP="002B7E54">
      <w:pPr>
        <w:pStyle w:val="DHHSbullet2"/>
      </w:pPr>
      <w:r>
        <w:t>b</w:t>
      </w:r>
      <w:r w:rsidR="00DE3F82" w:rsidRPr="00DE3F82">
        <w:t xml:space="preserve">aseline </w:t>
      </w:r>
      <w:r>
        <w:t>–</w:t>
      </w:r>
      <w:r w:rsidR="00DE3F82" w:rsidRPr="00DE3F82">
        <w:t xml:space="preserve"> where we </w:t>
      </w:r>
      <w:r w:rsidR="0038431B">
        <w:t xml:space="preserve">started from </w:t>
      </w:r>
      <w:r w:rsidR="008869C1">
        <w:t>(</w:t>
      </w:r>
      <w:r w:rsidR="001A61BA">
        <w:t>benchmark</w:t>
      </w:r>
      <w:r w:rsidR="008869C1">
        <w:t>)</w:t>
      </w:r>
    </w:p>
    <w:p w14:paraId="4C9CE4D1" w14:textId="0670C9C4" w:rsidR="00DE3F82" w:rsidRPr="00175D1C" w:rsidRDefault="004E5730" w:rsidP="00196812">
      <w:pPr>
        <w:pStyle w:val="DHHSbullet2"/>
        <w:spacing w:before="100" w:beforeAutospacing="1" w:after="120"/>
      </w:pPr>
      <w:r>
        <w:t>t</w:t>
      </w:r>
      <w:r w:rsidR="00DE3F82" w:rsidRPr="00DE3F82">
        <w:t>rend (if known)</w:t>
      </w:r>
      <w:r>
        <w:t>.</w:t>
      </w:r>
    </w:p>
    <w:p w14:paraId="207F6F5A" w14:textId="54C9E05B" w:rsidR="00DA7FC5" w:rsidRPr="00196812" w:rsidRDefault="00DA7FC5" w:rsidP="00196812">
      <w:pPr>
        <w:pStyle w:val="DHHSbullet1"/>
        <w:spacing w:before="100" w:beforeAutospacing="1" w:after="120"/>
        <w:rPr>
          <w:lang w:eastAsia="en-AU"/>
        </w:rPr>
      </w:pPr>
      <w:r w:rsidRPr="00DA7FC5">
        <w:rPr>
          <w:b/>
          <w:bCs/>
          <w:lang w:eastAsia="en-AU"/>
        </w:rPr>
        <w:t xml:space="preserve">More </w:t>
      </w:r>
      <w:r w:rsidR="008869C1">
        <w:rPr>
          <w:b/>
          <w:bCs/>
          <w:lang w:eastAsia="en-AU"/>
        </w:rPr>
        <w:t>a</w:t>
      </w:r>
      <w:r w:rsidRPr="00DA7FC5">
        <w:rPr>
          <w:b/>
          <w:bCs/>
          <w:lang w:eastAsia="en-AU"/>
        </w:rPr>
        <w:t xml:space="preserve">bout the </w:t>
      </w:r>
      <w:r w:rsidR="008869C1">
        <w:rPr>
          <w:b/>
          <w:bCs/>
          <w:lang w:eastAsia="en-AU"/>
        </w:rPr>
        <w:t>r</w:t>
      </w:r>
      <w:r w:rsidRPr="00DA7FC5">
        <w:rPr>
          <w:b/>
          <w:bCs/>
          <w:lang w:eastAsia="en-AU"/>
        </w:rPr>
        <w:t>esults</w:t>
      </w:r>
      <w:r w:rsidR="00175D1C">
        <w:rPr>
          <w:b/>
          <w:bCs/>
          <w:lang w:eastAsia="en-AU"/>
        </w:rPr>
        <w:t xml:space="preserve"> of </w:t>
      </w:r>
      <w:r w:rsidR="008869C1">
        <w:rPr>
          <w:b/>
          <w:bCs/>
          <w:lang w:eastAsia="en-AU"/>
        </w:rPr>
        <w:t>m</w:t>
      </w:r>
      <w:r w:rsidR="00175D1C">
        <w:rPr>
          <w:b/>
          <w:bCs/>
          <w:lang w:eastAsia="en-AU"/>
        </w:rPr>
        <w:t>easures</w:t>
      </w:r>
      <w:r w:rsidR="008869C1">
        <w:rPr>
          <w:b/>
          <w:bCs/>
          <w:lang w:eastAsia="en-AU"/>
        </w:rPr>
        <w:t xml:space="preserve"> </w:t>
      </w:r>
      <w:r w:rsidR="00B24501">
        <w:rPr>
          <w:lang w:eastAsia="en-AU"/>
        </w:rPr>
        <w:t xml:space="preserve">includes more </w:t>
      </w:r>
      <w:r w:rsidRPr="00DA7FC5">
        <w:rPr>
          <w:lang w:eastAsia="en-AU"/>
        </w:rPr>
        <w:t>detailed information about each measure, including</w:t>
      </w:r>
      <w:r w:rsidR="00704A54">
        <w:rPr>
          <w:lang w:eastAsia="en-AU"/>
        </w:rPr>
        <w:t>,</w:t>
      </w:r>
      <w:r>
        <w:rPr>
          <w:lang w:eastAsia="en-AU"/>
        </w:rPr>
        <w:t xml:space="preserve"> where appropriate:</w:t>
      </w:r>
    </w:p>
    <w:p w14:paraId="53DF8BF0" w14:textId="2C90260F" w:rsidR="00DA7FC5" w:rsidRPr="002B7E54" w:rsidRDefault="004E5730" w:rsidP="002B7E54">
      <w:pPr>
        <w:pStyle w:val="DHHSbullet2"/>
      </w:pPr>
      <w:r>
        <w:rPr>
          <w:lang w:eastAsia="en-AU"/>
        </w:rPr>
        <w:t>a</w:t>
      </w:r>
      <w:r w:rsidR="00DA7FC5">
        <w:rPr>
          <w:lang w:eastAsia="en-AU"/>
        </w:rPr>
        <w:t xml:space="preserve"> graph </w:t>
      </w:r>
      <w:r w:rsidR="002A2F3E" w:rsidRPr="002B7E54">
        <w:t xml:space="preserve">or plot </w:t>
      </w:r>
      <w:r w:rsidR="00DA7FC5" w:rsidRPr="002B7E54">
        <w:t xml:space="preserve">showing up to </w:t>
      </w:r>
      <w:r w:rsidR="002A2F3E" w:rsidRPr="002B7E54">
        <w:t>eight</w:t>
      </w:r>
      <w:r w:rsidR="00DA7FC5" w:rsidRPr="002B7E54">
        <w:t xml:space="preserve"> years of data</w:t>
      </w:r>
      <w:r w:rsidR="001D1605" w:rsidRPr="002B7E54">
        <w:t xml:space="preserve"> (from the baseline year, if available)</w:t>
      </w:r>
    </w:p>
    <w:p w14:paraId="42085186" w14:textId="5FB0D64D" w:rsidR="00DA7FC5" w:rsidRPr="00DA7FC5" w:rsidRDefault="004E5730" w:rsidP="002B7E54">
      <w:pPr>
        <w:pStyle w:val="DHHSbullet2"/>
        <w:rPr>
          <w:lang w:eastAsia="en-AU"/>
        </w:rPr>
      </w:pPr>
      <w:r w:rsidRPr="002B7E54">
        <w:t>i</w:t>
      </w:r>
      <w:r w:rsidR="00DA7FC5" w:rsidRPr="002B7E54">
        <w:t>nformati</w:t>
      </w:r>
      <w:r w:rsidR="00DA7FC5" w:rsidRPr="00DA7FC5">
        <w:rPr>
          <w:lang w:eastAsia="en-AU"/>
        </w:rPr>
        <w:t>on about the trend</w:t>
      </w:r>
    </w:p>
    <w:p w14:paraId="4729D32F" w14:textId="43B5B772" w:rsidR="00DA7FC5" w:rsidRDefault="004E5730" w:rsidP="00196812">
      <w:pPr>
        <w:pStyle w:val="DHHSbullet2"/>
        <w:spacing w:before="100" w:beforeAutospacing="1" w:after="120"/>
        <w:rPr>
          <w:lang w:eastAsia="en-AU"/>
        </w:rPr>
      </w:pPr>
      <w:r>
        <w:rPr>
          <w:lang w:eastAsia="en-AU"/>
        </w:rPr>
        <w:t>c</w:t>
      </w:r>
      <w:r w:rsidR="00DA7FC5" w:rsidRPr="00DA7FC5">
        <w:rPr>
          <w:lang w:eastAsia="en-AU"/>
        </w:rPr>
        <w:t>ommentary on the result and what may be affecting it.</w:t>
      </w:r>
    </w:p>
    <w:p w14:paraId="124148CC" w14:textId="698FF50B" w:rsidR="005F3918" w:rsidRDefault="00DA7FC5" w:rsidP="002B7E54">
      <w:pPr>
        <w:pStyle w:val="DHHSbody"/>
      </w:pPr>
      <w:r>
        <w:t xml:space="preserve">The </w:t>
      </w:r>
      <w:r w:rsidRPr="00DA7FC5">
        <w:rPr>
          <w:i/>
        </w:rPr>
        <w:t xml:space="preserve">Victorian cancer plan monitoring and evaluation framework </w:t>
      </w:r>
      <w:r w:rsidR="008869C1">
        <w:rPr>
          <w:i/>
        </w:rPr>
        <w:t>–</w:t>
      </w:r>
      <w:r w:rsidRPr="00DA7FC5">
        <w:rPr>
          <w:i/>
        </w:rPr>
        <w:t xml:space="preserve"> data dictionary</w:t>
      </w:r>
      <w:r>
        <w:t xml:space="preserve"> provides more information </w:t>
      </w:r>
      <w:r w:rsidR="00175D1C">
        <w:t>on each</w:t>
      </w:r>
      <w:r w:rsidRPr="00DA7FC5">
        <w:t xml:space="preserve"> meas</w:t>
      </w:r>
      <w:r>
        <w:t xml:space="preserve">ure including detailed </w:t>
      </w:r>
      <w:r w:rsidR="005F3918">
        <w:t>technical specification</w:t>
      </w:r>
      <w:r w:rsidR="00BC4D78">
        <w:t>s</w:t>
      </w:r>
      <w:r w:rsidR="00704A54">
        <w:t>.</w:t>
      </w:r>
      <w:r w:rsidR="005F3918">
        <w:t xml:space="preserve"> </w:t>
      </w:r>
      <w:r w:rsidR="00704A54">
        <w:t>These</w:t>
      </w:r>
      <w:r w:rsidR="005F3918">
        <w:t xml:space="preserve"> include:</w:t>
      </w:r>
    </w:p>
    <w:p w14:paraId="6D92699D" w14:textId="77777777" w:rsidR="005F3918" w:rsidRPr="002B7E54" w:rsidRDefault="005F3918" w:rsidP="002B7E54">
      <w:pPr>
        <w:pStyle w:val="DHHSbullet1"/>
      </w:pPr>
      <w:r>
        <w:rPr>
          <w:lang w:eastAsia="en-AU"/>
        </w:rPr>
        <w:t xml:space="preserve">the </w:t>
      </w:r>
      <w:r w:rsidRPr="002B7E54">
        <w:t>rationale for inclusion</w:t>
      </w:r>
    </w:p>
    <w:p w14:paraId="24EA8C05" w14:textId="77777777" w:rsidR="00DF1903" w:rsidRPr="002B7E54" w:rsidRDefault="00DF1903" w:rsidP="002B7E54">
      <w:pPr>
        <w:pStyle w:val="DHHSbullet1"/>
      </w:pPr>
      <w:r w:rsidRPr="002B7E54">
        <w:t>definition of the measure (including numerator, denominator and mode of reporting)</w:t>
      </w:r>
    </w:p>
    <w:p w14:paraId="550A6984" w14:textId="05B52DBA" w:rsidR="00DF1903" w:rsidRPr="002B7E54" w:rsidRDefault="00DF1903" w:rsidP="002B7E54">
      <w:pPr>
        <w:pStyle w:val="DHHSbullet1"/>
      </w:pPr>
      <w:r w:rsidRPr="002B7E54">
        <w:t xml:space="preserve">data source(s) and availability (including </w:t>
      </w:r>
      <w:r w:rsidR="00704A54" w:rsidRPr="002B7E54">
        <w:t xml:space="preserve">the </w:t>
      </w:r>
      <w:r w:rsidRPr="002B7E54">
        <w:t>baseline year)</w:t>
      </w:r>
    </w:p>
    <w:p w14:paraId="0B7ED4A8" w14:textId="77777777" w:rsidR="00DF1903" w:rsidRPr="00DF1903" w:rsidRDefault="00DF1903" w:rsidP="002B7E54">
      <w:pPr>
        <w:pStyle w:val="DHHSbullet1"/>
        <w:rPr>
          <w:rFonts w:eastAsia="Calibri"/>
        </w:rPr>
      </w:pPr>
      <w:r w:rsidRPr="002B7E54">
        <w:t>what</w:t>
      </w:r>
      <w:r w:rsidRPr="00DF1903">
        <w:rPr>
          <w:rFonts w:eastAsia="Calibri"/>
        </w:rPr>
        <w:t xml:space="preserve"> data breakdowns are available from each data source</w:t>
      </w:r>
    </w:p>
    <w:p w14:paraId="6E7A0708" w14:textId="28EA3FC9" w:rsidR="00DA7FC5" w:rsidRPr="00196812" w:rsidRDefault="00DF1903" w:rsidP="002B7E54">
      <w:pPr>
        <w:pStyle w:val="DHHSbullet1lastline"/>
      </w:pPr>
      <w:r w:rsidRPr="00DF1903">
        <w:t>further information (including planned changes in guidelines, programs and reporting</w:t>
      </w:r>
      <w:r w:rsidR="00704A54">
        <w:t>;</w:t>
      </w:r>
      <w:r w:rsidRPr="00DF1903">
        <w:t xml:space="preserve"> comparability with other state, national or international data; and links with measures in the </w:t>
      </w:r>
      <w:r w:rsidRPr="00DF1903">
        <w:rPr>
          <w:i/>
          <w:iCs/>
        </w:rPr>
        <w:t xml:space="preserve">Victorian public health and wellbeing outcomes framework </w:t>
      </w:r>
      <w:r w:rsidRPr="00DF1903">
        <w:t>outcomes framework).</w:t>
      </w:r>
    </w:p>
    <w:p w14:paraId="2BBB08B8" w14:textId="410F2800" w:rsidR="005865E9" w:rsidRPr="00676E24" w:rsidRDefault="005F3918" w:rsidP="0065180B">
      <w:pPr>
        <w:pStyle w:val="DHHSbody"/>
        <w:rPr>
          <w:shd w:val="clear" w:color="auto" w:fill="FFFFFF"/>
        </w:rPr>
      </w:pPr>
      <w:r w:rsidRPr="000836BA">
        <w:rPr>
          <w:rFonts w:cs="Arial"/>
          <w:lang w:eastAsia="en-AU"/>
        </w:rPr>
        <w:t>This</w:t>
      </w:r>
      <w:r w:rsidR="00233167" w:rsidRPr="000836BA">
        <w:rPr>
          <w:rFonts w:cs="Arial"/>
          <w:lang w:eastAsia="en-AU"/>
        </w:rPr>
        <w:t xml:space="preserve"> baseline</w:t>
      </w:r>
      <w:r w:rsidRPr="000836BA">
        <w:rPr>
          <w:rFonts w:cs="Arial"/>
          <w:lang w:eastAsia="en-AU"/>
        </w:rPr>
        <w:t xml:space="preserve"> report covers the </w:t>
      </w:r>
      <w:r w:rsidR="00386D52" w:rsidRPr="000836BA">
        <w:rPr>
          <w:rFonts w:cs="Arial"/>
          <w:lang w:eastAsia="en-AU"/>
        </w:rPr>
        <w:t>7</w:t>
      </w:r>
      <w:r w:rsidR="00A64E7A">
        <w:rPr>
          <w:rFonts w:cs="Arial"/>
          <w:lang w:eastAsia="en-AU"/>
        </w:rPr>
        <w:t>8</w:t>
      </w:r>
      <w:r w:rsidR="00DA7FC5" w:rsidRPr="000836BA">
        <w:rPr>
          <w:rFonts w:cs="Arial"/>
          <w:lang w:eastAsia="en-AU"/>
        </w:rPr>
        <w:t xml:space="preserve"> </w:t>
      </w:r>
      <w:r w:rsidR="00F67396">
        <w:rPr>
          <w:rFonts w:cs="Arial"/>
          <w:lang w:eastAsia="en-AU"/>
        </w:rPr>
        <w:t xml:space="preserve">(out of 97) </w:t>
      </w:r>
      <w:r w:rsidR="00DA7FC5" w:rsidRPr="000836BA">
        <w:rPr>
          <w:rFonts w:cs="Arial"/>
          <w:lang w:eastAsia="en-AU"/>
        </w:rPr>
        <w:t xml:space="preserve">measures </w:t>
      </w:r>
      <w:r w:rsidR="003074F5" w:rsidRPr="000836BA">
        <w:rPr>
          <w:rFonts w:cs="Arial"/>
          <w:lang w:eastAsia="en-AU"/>
        </w:rPr>
        <w:t xml:space="preserve">articulated </w:t>
      </w:r>
      <w:r w:rsidR="00DA7FC5" w:rsidRPr="000836BA">
        <w:rPr>
          <w:rFonts w:cs="Arial"/>
          <w:lang w:eastAsia="en-AU"/>
        </w:rPr>
        <w:t xml:space="preserve">in the </w:t>
      </w:r>
      <w:r w:rsidR="00824646">
        <w:rPr>
          <w:rFonts w:cs="Arial"/>
          <w:lang w:eastAsia="en-AU"/>
        </w:rPr>
        <w:t>d</w:t>
      </w:r>
      <w:r w:rsidR="00DA7FC5" w:rsidRPr="000836BA">
        <w:rPr>
          <w:rFonts w:cs="Arial"/>
          <w:lang w:eastAsia="en-AU"/>
        </w:rPr>
        <w:t>epartment’s</w:t>
      </w:r>
      <w:r w:rsidRPr="000836BA">
        <w:rPr>
          <w:rFonts w:cs="Arial"/>
          <w:lang w:eastAsia="en-AU"/>
        </w:rPr>
        <w:t xml:space="preserve"> </w:t>
      </w:r>
      <w:r w:rsidRPr="000836BA">
        <w:rPr>
          <w:rFonts w:cs="Arial"/>
          <w:i/>
          <w:lang w:eastAsia="en-AU"/>
        </w:rPr>
        <w:t>Victorian cancer plan monitoring and evaluation framework</w:t>
      </w:r>
      <w:r w:rsidR="00DA7FC5" w:rsidRPr="000836BA">
        <w:rPr>
          <w:rFonts w:cs="Arial"/>
          <w:lang w:eastAsia="en-AU"/>
        </w:rPr>
        <w:t xml:space="preserve"> </w:t>
      </w:r>
      <w:r w:rsidRPr="000836BA">
        <w:rPr>
          <w:rFonts w:cs="Arial"/>
          <w:lang w:eastAsia="en-AU"/>
        </w:rPr>
        <w:t xml:space="preserve">that are currently </w:t>
      </w:r>
      <w:r w:rsidR="00DA7FC5" w:rsidRPr="000836BA">
        <w:rPr>
          <w:rFonts w:cs="Arial"/>
          <w:lang w:eastAsia="en-AU"/>
        </w:rPr>
        <w:t xml:space="preserve">reportable. </w:t>
      </w:r>
      <w:r w:rsidR="0065180B">
        <w:rPr>
          <w:rFonts w:cs="Arial"/>
          <w:lang w:eastAsia="en-AU"/>
        </w:rPr>
        <w:t>Where appropriate</w:t>
      </w:r>
      <w:r w:rsidR="00704A54">
        <w:rPr>
          <w:rFonts w:cs="Arial"/>
          <w:lang w:eastAsia="en-AU"/>
        </w:rPr>
        <w:t>,</w:t>
      </w:r>
      <w:r w:rsidR="0065180B">
        <w:rPr>
          <w:rFonts w:cs="Arial"/>
          <w:lang w:eastAsia="en-AU"/>
        </w:rPr>
        <w:t xml:space="preserve"> the breakdown for reporting has been </w:t>
      </w:r>
      <w:r w:rsidR="005865E9">
        <w:rPr>
          <w:shd w:val="clear" w:color="auto" w:fill="FFFFFF"/>
        </w:rPr>
        <w:t>a</w:t>
      </w:r>
      <w:r w:rsidR="005865E9" w:rsidRPr="00676E24">
        <w:rPr>
          <w:shd w:val="clear" w:color="auto" w:fill="FFFFFF"/>
        </w:rPr>
        <w:t>ge</w:t>
      </w:r>
      <w:r w:rsidR="0065180B">
        <w:rPr>
          <w:shd w:val="clear" w:color="auto" w:fill="FFFFFF"/>
        </w:rPr>
        <w:t xml:space="preserve">, </w:t>
      </w:r>
      <w:r w:rsidR="005865E9">
        <w:rPr>
          <w:shd w:val="clear" w:color="auto" w:fill="FFFFFF"/>
        </w:rPr>
        <w:t>s</w:t>
      </w:r>
      <w:r w:rsidR="005865E9" w:rsidRPr="00676E24">
        <w:rPr>
          <w:shd w:val="clear" w:color="auto" w:fill="FFFFFF"/>
        </w:rPr>
        <w:t>ex</w:t>
      </w:r>
      <w:r w:rsidR="0065180B">
        <w:rPr>
          <w:shd w:val="clear" w:color="auto" w:fill="FFFFFF"/>
        </w:rPr>
        <w:t xml:space="preserve">, </w:t>
      </w:r>
      <w:r w:rsidR="005865E9" w:rsidRPr="0074433D">
        <w:rPr>
          <w:shd w:val="clear" w:color="auto" w:fill="FFFFFF"/>
        </w:rPr>
        <w:t>Aboriginal Victorians</w:t>
      </w:r>
      <w:r w:rsidR="0065180B">
        <w:rPr>
          <w:shd w:val="clear" w:color="auto" w:fill="FFFFFF"/>
        </w:rPr>
        <w:t xml:space="preserve">, </w:t>
      </w:r>
      <w:r w:rsidR="005865E9">
        <w:rPr>
          <w:shd w:val="clear" w:color="auto" w:fill="FFFFFF"/>
        </w:rPr>
        <w:t>c</w:t>
      </w:r>
      <w:r w:rsidR="005865E9" w:rsidRPr="0074433D">
        <w:rPr>
          <w:shd w:val="clear" w:color="auto" w:fill="FFFFFF"/>
        </w:rPr>
        <w:t>ultural divers</w:t>
      </w:r>
      <w:r w:rsidR="00DC7655">
        <w:rPr>
          <w:shd w:val="clear" w:color="auto" w:fill="FFFFFF"/>
        </w:rPr>
        <w:t>ity</w:t>
      </w:r>
      <w:r w:rsidR="0065180B">
        <w:rPr>
          <w:shd w:val="clear" w:color="auto" w:fill="FFFFFF"/>
        </w:rPr>
        <w:t xml:space="preserve">, </w:t>
      </w:r>
      <w:r w:rsidR="005865E9">
        <w:rPr>
          <w:shd w:val="clear" w:color="auto" w:fill="FFFFFF"/>
        </w:rPr>
        <w:t>s</w:t>
      </w:r>
      <w:r w:rsidR="005865E9" w:rsidRPr="0074433D">
        <w:rPr>
          <w:shd w:val="clear" w:color="auto" w:fill="FFFFFF"/>
        </w:rPr>
        <w:t>ocioeconomic status</w:t>
      </w:r>
      <w:r w:rsidR="00DE7FFE">
        <w:rPr>
          <w:shd w:val="clear" w:color="auto" w:fill="FFFFFF"/>
        </w:rPr>
        <w:t xml:space="preserve"> (SES)</w:t>
      </w:r>
      <w:r w:rsidR="0065180B">
        <w:rPr>
          <w:shd w:val="clear" w:color="auto" w:fill="FFFFFF"/>
        </w:rPr>
        <w:t xml:space="preserve">, </w:t>
      </w:r>
      <w:r w:rsidR="005865E9" w:rsidRPr="0074433D">
        <w:rPr>
          <w:shd w:val="clear" w:color="auto" w:fill="FFFFFF"/>
        </w:rPr>
        <w:t>I</w:t>
      </w:r>
      <w:r w:rsidR="00C6249F">
        <w:rPr>
          <w:shd w:val="clear" w:color="auto" w:fill="FFFFFF"/>
        </w:rPr>
        <w:t>ntegrated Cancer Service</w:t>
      </w:r>
      <w:r w:rsidR="0065180B">
        <w:rPr>
          <w:shd w:val="clear" w:color="auto" w:fill="FFFFFF"/>
        </w:rPr>
        <w:t xml:space="preserve"> </w:t>
      </w:r>
      <w:r w:rsidR="00DE7FFE">
        <w:rPr>
          <w:shd w:val="clear" w:color="auto" w:fill="FFFFFF"/>
        </w:rPr>
        <w:t xml:space="preserve">(ICS) </w:t>
      </w:r>
      <w:r w:rsidR="0065180B">
        <w:rPr>
          <w:shd w:val="clear" w:color="auto" w:fill="FFFFFF"/>
        </w:rPr>
        <w:t xml:space="preserve">and </w:t>
      </w:r>
      <w:r w:rsidR="005865E9">
        <w:rPr>
          <w:shd w:val="clear" w:color="auto" w:fill="FFFFFF"/>
        </w:rPr>
        <w:t>l</w:t>
      </w:r>
      <w:r w:rsidR="005865E9" w:rsidRPr="0074433D">
        <w:rPr>
          <w:shd w:val="clear" w:color="auto" w:fill="FFFFFF"/>
        </w:rPr>
        <w:t>ocal government</w:t>
      </w:r>
      <w:r w:rsidR="005865E9" w:rsidRPr="00676E24">
        <w:rPr>
          <w:shd w:val="clear" w:color="auto" w:fill="FFFFFF"/>
        </w:rPr>
        <w:t xml:space="preserve"> </w:t>
      </w:r>
      <w:r w:rsidR="005865E9">
        <w:rPr>
          <w:shd w:val="clear" w:color="auto" w:fill="FFFFFF"/>
        </w:rPr>
        <w:t>areas</w:t>
      </w:r>
      <w:r w:rsidR="005D072A">
        <w:rPr>
          <w:shd w:val="clear" w:color="auto" w:fill="FFFFFF"/>
        </w:rPr>
        <w:t xml:space="preserve"> (LGAs)</w:t>
      </w:r>
      <w:r w:rsidR="005865E9">
        <w:rPr>
          <w:shd w:val="clear" w:color="auto" w:fill="FFFFFF"/>
        </w:rPr>
        <w:t>.</w:t>
      </w:r>
    </w:p>
    <w:p w14:paraId="1968EB97" w14:textId="54AC0C31" w:rsidR="00932808" w:rsidRPr="002B7E54" w:rsidRDefault="00DA7FC5" w:rsidP="000836BA">
      <w:pPr>
        <w:spacing w:after="120" w:line="270" w:lineRule="atLeast"/>
        <w:rPr>
          <w:rStyle w:val="DHHSbodyChar"/>
        </w:rPr>
      </w:pPr>
      <w:r w:rsidRPr="000836BA">
        <w:rPr>
          <w:rFonts w:ascii="Arial" w:hAnsi="Arial" w:cs="Arial"/>
        </w:rPr>
        <w:t xml:space="preserve">Appendix 1 provides </w:t>
      </w:r>
      <w:r w:rsidR="00E4313B" w:rsidRPr="000836BA">
        <w:rPr>
          <w:rFonts w:ascii="Arial" w:hAnsi="Arial" w:cs="Arial"/>
        </w:rPr>
        <w:t xml:space="preserve">an indicative workplan </w:t>
      </w:r>
      <w:r w:rsidR="00BF1B3B" w:rsidRPr="000836BA">
        <w:rPr>
          <w:rFonts w:ascii="Arial" w:hAnsi="Arial" w:cs="Arial"/>
        </w:rPr>
        <w:t>for the re</w:t>
      </w:r>
      <w:r w:rsidR="001C1E0C" w:rsidRPr="000836BA">
        <w:rPr>
          <w:rFonts w:ascii="Arial" w:hAnsi="Arial" w:cs="Arial"/>
        </w:rPr>
        <w:t xml:space="preserve">maining </w:t>
      </w:r>
      <w:r w:rsidR="00CF2B69" w:rsidRPr="000836BA">
        <w:rPr>
          <w:rFonts w:ascii="Arial" w:hAnsi="Arial" w:cs="Arial"/>
        </w:rPr>
        <w:t>1</w:t>
      </w:r>
      <w:r w:rsidR="00A64E7A">
        <w:rPr>
          <w:rFonts w:ascii="Arial" w:hAnsi="Arial" w:cs="Arial"/>
        </w:rPr>
        <w:t>9</w:t>
      </w:r>
      <w:r w:rsidR="00BF1B3B" w:rsidRPr="000836BA">
        <w:rPr>
          <w:rFonts w:ascii="Arial" w:hAnsi="Arial" w:cs="Arial"/>
        </w:rPr>
        <w:t xml:space="preserve"> </w:t>
      </w:r>
      <w:r w:rsidRPr="000836BA">
        <w:rPr>
          <w:rFonts w:ascii="Arial" w:hAnsi="Arial" w:cs="Arial"/>
        </w:rPr>
        <w:t>measures that require further work to develop</w:t>
      </w:r>
      <w:r w:rsidR="006858F1" w:rsidRPr="000836BA">
        <w:rPr>
          <w:rFonts w:ascii="Arial" w:hAnsi="Arial" w:cs="Arial"/>
        </w:rPr>
        <w:t xml:space="preserve"> </w:t>
      </w:r>
      <w:r w:rsidRPr="000836BA">
        <w:rPr>
          <w:rFonts w:ascii="Arial" w:hAnsi="Arial" w:cs="Arial"/>
        </w:rPr>
        <w:t>and report.</w:t>
      </w:r>
      <w:r w:rsidR="00C34AF5" w:rsidRPr="000836BA">
        <w:rPr>
          <w:rFonts w:ascii="Arial" w:hAnsi="Arial" w:cs="Arial"/>
        </w:rPr>
        <w:t xml:space="preserve"> </w:t>
      </w:r>
      <w:r w:rsidR="000836BA" w:rsidRPr="000836BA">
        <w:rPr>
          <w:rFonts w:ascii="Arial" w:hAnsi="Arial" w:cs="Arial"/>
        </w:rPr>
        <w:t>Please note that in prepar</w:t>
      </w:r>
      <w:r w:rsidR="00704A54">
        <w:rPr>
          <w:rFonts w:ascii="Arial" w:hAnsi="Arial" w:cs="Arial"/>
        </w:rPr>
        <w:t>ing</w:t>
      </w:r>
      <w:r w:rsidR="000836BA" w:rsidRPr="000836BA">
        <w:rPr>
          <w:rFonts w:ascii="Arial" w:hAnsi="Arial" w:cs="Arial"/>
        </w:rPr>
        <w:t xml:space="preserve"> this baseline report, the </w:t>
      </w:r>
      <w:r w:rsidR="000836BA" w:rsidRPr="000836BA">
        <w:rPr>
          <w:rFonts w:ascii="Arial" w:hAnsi="Arial" w:cs="Arial"/>
          <w:i/>
          <w:iCs/>
        </w:rPr>
        <w:t xml:space="preserve">Victorian cancer plan monitoring and evaluation framework </w:t>
      </w:r>
      <w:r w:rsidR="004E5730">
        <w:rPr>
          <w:rFonts w:ascii="Arial" w:hAnsi="Arial" w:cs="Arial"/>
          <w:i/>
          <w:iCs/>
        </w:rPr>
        <w:t>–</w:t>
      </w:r>
      <w:r w:rsidR="000836BA" w:rsidRPr="000836BA">
        <w:rPr>
          <w:rFonts w:ascii="Arial" w:hAnsi="Arial" w:cs="Arial"/>
          <w:i/>
          <w:iCs/>
        </w:rPr>
        <w:t xml:space="preserve"> data dictionary</w:t>
      </w:r>
      <w:r w:rsidR="000836BA" w:rsidRPr="000836BA">
        <w:rPr>
          <w:rFonts w:ascii="Arial" w:hAnsi="Arial" w:cs="Arial"/>
        </w:rPr>
        <w:t xml:space="preserve"> (2018) was revised to address minor typographical errors and some emerging</w:t>
      </w:r>
      <w:r w:rsidR="003C552A">
        <w:rPr>
          <w:rFonts w:ascii="Arial" w:hAnsi="Arial" w:cs="Arial"/>
        </w:rPr>
        <w:t xml:space="preserve"> </w:t>
      </w:r>
      <w:r w:rsidR="000836BA" w:rsidRPr="000836BA">
        <w:rPr>
          <w:rFonts w:ascii="Arial" w:hAnsi="Arial" w:cs="Arial"/>
        </w:rPr>
        <w:t xml:space="preserve">inconsistencies between some of the measures themselves and the definition of the measure. Where appropriate, the latter was undertaken in consultation with relevant stakeholders. </w:t>
      </w:r>
      <w:r w:rsidR="007479E4">
        <w:rPr>
          <w:rFonts w:ascii="Arial" w:hAnsi="Arial" w:cs="Arial"/>
        </w:rPr>
        <w:t>Go online to access t</w:t>
      </w:r>
      <w:r w:rsidR="000836BA">
        <w:rPr>
          <w:rFonts w:ascii="Arial" w:hAnsi="Arial" w:cs="Arial"/>
        </w:rPr>
        <w:t xml:space="preserve">he </w:t>
      </w:r>
      <w:hyperlink r:id="rId22" w:history="1">
        <w:r w:rsidR="000836BA" w:rsidRPr="007479E4">
          <w:rPr>
            <w:rStyle w:val="Hyperlink"/>
            <w:rFonts w:ascii="Arial" w:hAnsi="Arial" w:cs="Arial"/>
          </w:rPr>
          <w:t>revised data dictionary (2019)</w:t>
        </w:r>
      </w:hyperlink>
      <w:r w:rsidR="000836BA">
        <w:rPr>
          <w:rFonts w:ascii="Arial" w:hAnsi="Arial" w:cs="Arial"/>
        </w:rPr>
        <w:t xml:space="preserve"> </w:t>
      </w:r>
      <w:r w:rsidR="007479E4" w:rsidRPr="002B7E54">
        <w:rPr>
          <w:rStyle w:val="DHHSbodyChar"/>
        </w:rPr>
        <w:t>&lt;https://www2.health.vic.gov.au/about/health-strategies/cancer-care&gt;.</w:t>
      </w:r>
    </w:p>
    <w:p w14:paraId="52749E00" w14:textId="6AF24B3A" w:rsidR="00932808" w:rsidRPr="000836BA" w:rsidRDefault="00C2677B" w:rsidP="000836BA">
      <w:pPr>
        <w:spacing w:after="120" w:line="270" w:lineRule="atLeast"/>
        <w:rPr>
          <w:rFonts w:ascii="Arial" w:eastAsia="Times" w:hAnsi="Arial"/>
          <w:szCs w:val="19"/>
        </w:rPr>
      </w:pPr>
      <w:r>
        <w:rPr>
          <w:rFonts w:ascii="Arial" w:eastAsia="Times" w:hAnsi="Arial"/>
          <w:szCs w:val="19"/>
        </w:rPr>
        <w:t xml:space="preserve">In circumstances where the dataset </w:t>
      </w:r>
      <w:r w:rsidR="00DA1EDB">
        <w:rPr>
          <w:rFonts w:ascii="Arial" w:eastAsia="Times" w:hAnsi="Arial"/>
          <w:szCs w:val="19"/>
        </w:rPr>
        <w:t xml:space="preserve">specific to </w:t>
      </w:r>
      <w:r>
        <w:rPr>
          <w:rFonts w:ascii="Arial" w:eastAsia="Times" w:hAnsi="Arial"/>
          <w:szCs w:val="19"/>
        </w:rPr>
        <w:t>a measure</w:t>
      </w:r>
      <w:r w:rsidR="00AF5A75">
        <w:rPr>
          <w:rFonts w:ascii="Arial" w:eastAsia="Times" w:hAnsi="Arial"/>
          <w:szCs w:val="19"/>
        </w:rPr>
        <w:t xml:space="preserve"> </w:t>
      </w:r>
      <w:r>
        <w:rPr>
          <w:rFonts w:ascii="Arial" w:eastAsia="Times" w:hAnsi="Arial"/>
          <w:szCs w:val="19"/>
        </w:rPr>
        <w:t xml:space="preserve">was too large, it was moved to </w:t>
      </w:r>
      <w:r w:rsidR="00932808">
        <w:rPr>
          <w:rFonts w:ascii="Arial" w:eastAsia="Times" w:hAnsi="Arial"/>
          <w:szCs w:val="19"/>
        </w:rPr>
        <w:t>Appendix 2</w:t>
      </w:r>
      <w:r w:rsidR="00DA1EDB">
        <w:rPr>
          <w:rFonts w:ascii="Arial" w:eastAsia="Times" w:hAnsi="Arial"/>
          <w:szCs w:val="19"/>
        </w:rPr>
        <w:t xml:space="preserve"> to assist with readability.</w:t>
      </w:r>
      <w:r w:rsidR="00230F5E">
        <w:rPr>
          <w:rFonts w:ascii="Arial" w:eastAsia="Times" w:hAnsi="Arial"/>
          <w:szCs w:val="19"/>
        </w:rPr>
        <w:t xml:space="preserve"> </w:t>
      </w:r>
      <w:r w:rsidR="00230F5E" w:rsidRPr="00621A47">
        <w:rPr>
          <w:rFonts w:ascii="Arial" w:eastAsia="Times" w:hAnsi="Arial"/>
          <w:szCs w:val="19"/>
        </w:rPr>
        <w:t xml:space="preserve">Appendix 2 is presented as a separate volume and is available via the link </w:t>
      </w:r>
      <w:r w:rsidR="00230F5E" w:rsidRPr="00621A47">
        <w:rPr>
          <w:rStyle w:val="DHHSbodyChar"/>
        </w:rPr>
        <w:t>&lt;https://www2.health.vic.gov.au/about/health-strategies/cancer-care&gt;.</w:t>
      </w:r>
    </w:p>
    <w:p w14:paraId="78D209E0" w14:textId="77777777" w:rsidR="00450EFB" w:rsidRDefault="00450EFB">
      <w:pPr>
        <w:rPr>
          <w:rFonts w:ascii="Arial" w:hAnsi="Arial"/>
          <w:b/>
          <w:color w:val="AF272F"/>
          <w:sz w:val="28"/>
          <w:szCs w:val="28"/>
          <w:lang w:eastAsia="en-US"/>
        </w:rPr>
      </w:pPr>
      <w:bookmarkStart w:id="20" w:name="_Toc19007967"/>
      <w:r>
        <w:br w:type="page"/>
      </w:r>
    </w:p>
    <w:p w14:paraId="3875A889" w14:textId="6D6FE5DC" w:rsidR="00175D1C" w:rsidRPr="00DB4F90" w:rsidRDefault="00175D1C" w:rsidP="006053E7">
      <w:pPr>
        <w:pStyle w:val="Heading2"/>
      </w:pPr>
      <w:bookmarkStart w:id="21" w:name="_Toc33457060"/>
      <w:r w:rsidRPr="00DB4F90">
        <w:lastRenderedPageBreak/>
        <w:t>About the measures</w:t>
      </w:r>
      <w:bookmarkEnd w:id="20"/>
      <w:bookmarkEnd w:id="21"/>
    </w:p>
    <w:p w14:paraId="5F0D9763" w14:textId="31EA076F" w:rsidR="00175D1C" w:rsidRDefault="00175D1C" w:rsidP="00B17509">
      <w:pPr>
        <w:pStyle w:val="DHHSbody"/>
      </w:pPr>
      <w:r>
        <w:t xml:space="preserve">The </w:t>
      </w:r>
      <w:r w:rsidR="00073F01">
        <w:t xml:space="preserve">97 </w:t>
      </w:r>
      <w:r>
        <w:t xml:space="preserve">measures included in </w:t>
      </w:r>
      <w:r w:rsidRPr="00BF1B3B">
        <w:t>the</w:t>
      </w:r>
      <w:r w:rsidR="00BF1B3B">
        <w:t xml:space="preserve"> population-outcomes based</w:t>
      </w:r>
      <w:r w:rsidRPr="00BF1B3B">
        <w:rPr>
          <w:i/>
        </w:rPr>
        <w:t xml:space="preserve"> </w:t>
      </w:r>
      <w:r w:rsidR="00BF1B3B" w:rsidRPr="00BF1B3B">
        <w:rPr>
          <w:i/>
        </w:rPr>
        <w:t>Victorian cancer plan monitoring and evaluation framework</w:t>
      </w:r>
      <w:r w:rsidR="00BF1B3B">
        <w:t xml:space="preserve"> cover a wide</w:t>
      </w:r>
      <w:r>
        <w:t xml:space="preserve"> range of the</w:t>
      </w:r>
      <w:r w:rsidR="00CA646D">
        <w:t xml:space="preserve"> cancer continuum of prevention, early detection, treatment, wellbeing and support for people affected by cancer, and research</w:t>
      </w:r>
      <w:r w:rsidR="000B1E09">
        <w:t>.</w:t>
      </w:r>
      <w:r w:rsidR="00F419C0">
        <w:t xml:space="preserve"> </w:t>
      </w:r>
      <w:r>
        <w:t>They range from populatio</w:t>
      </w:r>
      <w:r w:rsidR="00F419C0">
        <w:t>n</w:t>
      </w:r>
      <w:r w:rsidR="00704A54">
        <w:t>-</w:t>
      </w:r>
      <w:r w:rsidR="00F419C0">
        <w:t xml:space="preserve">level measures that have many </w:t>
      </w:r>
      <w:r>
        <w:t>determinants to system</w:t>
      </w:r>
      <w:r w:rsidR="00704A54">
        <w:t>-</w:t>
      </w:r>
      <w:r>
        <w:t>level measures that reflect the delivery</w:t>
      </w:r>
      <w:r w:rsidR="00BE3595">
        <w:t xml:space="preserve"> of cancer care</w:t>
      </w:r>
      <w:r>
        <w:t xml:space="preserve"> </w:t>
      </w:r>
      <w:r w:rsidR="00F419C0">
        <w:t>and self-report</w:t>
      </w:r>
      <w:r w:rsidR="00BE3595">
        <w:t>ed patient</w:t>
      </w:r>
      <w:r w:rsidR="00F419C0">
        <w:t xml:space="preserve"> experience of Victoria’s cancer</w:t>
      </w:r>
      <w:r w:rsidR="00704A54">
        <w:t>-</w:t>
      </w:r>
      <w:r w:rsidR="00F419C0">
        <w:t xml:space="preserve">specific services. </w:t>
      </w:r>
      <w:r>
        <w:t xml:space="preserve">Some of the measures are </w:t>
      </w:r>
      <w:r w:rsidR="00941F64">
        <w:t xml:space="preserve">also </w:t>
      </w:r>
      <w:r>
        <w:t>reported elsewhere</w:t>
      </w:r>
      <w:r w:rsidR="00704A54">
        <w:t>,</w:t>
      </w:r>
      <w:r w:rsidR="00941F64">
        <w:t xml:space="preserve"> for example</w:t>
      </w:r>
      <w:r w:rsidR="00704A54">
        <w:t xml:space="preserve"> in </w:t>
      </w:r>
      <w:r w:rsidR="00941F64">
        <w:t xml:space="preserve">the </w:t>
      </w:r>
      <w:r w:rsidR="000044C4">
        <w:rPr>
          <w:i/>
        </w:rPr>
        <w:t xml:space="preserve">Victorian </w:t>
      </w:r>
      <w:r w:rsidR="004E5730">
        <w:rPr>
          <w:i/>
        </w:rPr>
        <w:t>p</w:t>
      </w:r>
      <w:r w:rsidR="000044C4">
        <w:rPr>
          <w:i/>
        </w:rPr>
        <w:t xml:space="preserve">ublic </w:t>
      </w:r>
      <w:r w:rsidR="004E5730">
        <w:rPr>
          <w:i/>
        </w:rPr>
        <w:t>h</w:t>
      </w:r>
      <w:r w:rsidR="000044C4">
        <w:rPr>
          <w:i/>
        </w:rPr>
        <w:t xml:space="preserve">ealth and </w:t>
      </w:r>
      <w:r w:rsidR="004E5730">
        <w:rPr>
          <w:i/>
        </w:rPr>
        <w:t>w</w:t>
      </w:r>
      <w:r w:rsidR="000044C4">
        <w:rPr>
          <w:i/>
        </w:rPr>
        <w:t xml:space="preserve">ellbeing </w:t>
      </w:r>
      <w:r w:rsidR="004E5730">
        <w:rPr>
          <w:i/>
        </w:rPr>
        <w:t>o</w:t>
      </w:r>
      <w:r w:rsidR="000044C4">
        <w:rPr>
          <w:i/>
        </w:rPr>
        <w:t xml:space="preserve">utcomes </w:t>
      </w:r>
      <w:r w:rsidR="004E5730">
        <w:rPr>
          <w:i/>
        </w:rPr>
        <w:t>f</w:t>
      </w:r>
      <w:r w:rsidR="00941F64" w:rsidRPr="00941F64">
        <w:rPr>
          <w:i/>
        </w:rPr>
        <w:t xml:space="preserve">ramework </w:t>
      </w:r>
      <w:r w:rsidR="00941F64" w:rsidRPr="00941F64">
        <w:t>(2016),</w:t>
      </w:r>
      <w:r w:rsidR="00941F64">
        <w:rPr>
          <w:i/>
        </w:rPr>
        <w:t xml:space="preserve"> </w:t>
      </w:r>
      <w:r w:rsidR="00941F64">
        <w:t xml:space="preserve">and </w:t>
      </w:r>
      <w:r>
        <w:t xml:space="preserve">some are currently undergoing </w:t>
      </w:r>
      <w:r w:rsidR="00F622A1">
        <w:t>development.</w:t>
      </w:r>
      <w:r w:rsidR="00FC676B">
        <w:t xml:space="preserve"> This means that some of the measures reported for other purposes may have slightly different targets associated with them</w:t>
      </w:r>
      <w:r w:rsidR="00522FE6">
        <w:t xml:space="preserve">. </w:t>
      </w:r>
      <w:r w:rsidR="00B53305" w:rsidRPr="00522FE6">
        <w:t xml:space="preserve">In consultation with </w:t>
      </w:r>
      <w:r w:rsidR="00522FE6" w:rsidRPr="00522FE6">
        <w:t xml:space="preserve">a wide range of individuals and organisations across the Victorian </w:t>
      </w:r>
      <w:r w:rsidR="00B53305" w:rsidRPr="00522FE6">
        <w:t>cancer sector</w:t>
      </w:r>
      <w:r w:rsidR="00704A54">
        <w:t>,</w:t>
      </w:r>
      <w:r w:rsidR="00B53305" w:rsidRPr="00522FE6">
        <w:t xml:space="preserve"> o</w:t>
      </w:r>
      <w:r w:rsidRPr="00522FE6">
        <w:t>the</w:t>
      </w:r>
      <w:r w:rsidR="00F63768">
        <w:t>r measures</w:t>
      </w:r>
      <w:r w:rsidRPr="00522FE6">
        <w:t xml:space="preserve"> hav</w:t>
      </w:r>
      <w:r w:rsidR="00B53305" w:rsidRPr="00522FE6">
        <w:t xml:space="preserve">e been newly developed for </w:t>
      </w:r>
      <w:r w:rsidRPr="00522FE6">
        <w:t>report</w:t>
      </w:r>
      <w:r w:rsidR="00B53305" w:rsidRPr="00522FE6">
        <w:t>ing against</w:t>
      </w:r>
      <w:r w:rsidR="00FC676B" w:rsidRPr="00522FE6">
        <w:t xml:space="preserve">, and the data is examined here </w:t>
      </w:r>
      <w:r w:rsidRPr="00522FE6">
        <w:t>for the first time.</w:t>
      </w:r>
      <w:r w:rsidR="00892AFD">
        <w:t xml:space="preserve"> </w:t>
      </w:r>
      <w:r>
        <w:t>These differences mean that measuring progress is not straightforward.</w:t>
      </w:r>
      <w:r w:rsidR="00196A19">
        <w:t xml:space="preserve"> In addition, the short reporting period</w:t>
      </w:r>
      <w:r w:rsidR="001F7F17">
        <w:t xml:space="preserve"> and</w:t>
      </w:r>
      <w:r w:rsidR="00704A54">
        <w:t>,</w:t>
      </w:r>
      <w:r w:rsidR="001F7F17">
        <w:t xml:space="preserve"> </w:t>
      </w:r>
      <w:r w:rsidR="00E269E2">
        <w:t>in some circumstances</w:t>
      </w:r>
      <w:r w:rsidR="00704A54">
        <w:t>,</w:t>
      </w:r>
      <w:r w:rsidR="00E269E2">
        <w:t xml:space="preserve"> changes in survey methodologies</w:t>
      </w:r>
      <w:r w:rsidR="00196A19">
        <w:t xml:space="preserve"> means </w:t>
      </w:r>
      <w:r w:rsidR="005D0142">
        <w:t xml:space="preserve">there are limitations with trend analysis. The following provides a guide as to how </w:t>
      </w:r>
      <w:r>
        <w:t>the assessments</w:t>
      </w:r>
      <w:r w:rsidR="005D0142">
        <w:t xml:space="preserve"> set out</w:t>
      </w:r>
      <w:r>
        <w:t xml:space="preserve"> in this report have been made.</w:t>
      </w:r>
    </w:p>
    <w:p w14:paraId="2775A04F" w14:textId="77777777" w:rsidR="00175D1C" w:rsidRDefault="00175D1C" w:rsidP="008B7E37">
      <w:pPr>
        <w:pStyle w:val="Heading3"/>
      </w:pPr>
      <w:bookmarkStart w:id="22" w:name="_Toc19007968"/>
      <w:r>
        <w:t>Overall trend</w:t>
      </w:r>
      <w:bookmarkEnd w:id="22"/>
    </w:p>
    <w:p w14:paraId="4F3B553C" w14:textId="4C5B7933" w:rsidR="00175D1C" w:rsidRDefault="00BC402F" w:rsidP="00B17509">
      <w:pPr>
        <w:pStyle w:val="DHHSbody"/>
      </w:pPr>
      <w:r>
        <w:t>Wherever possible, four</w:t>
      </w:r>
      <w:r w:rsidR="00175D1C">
        <w:t xml:space="preserve"> years of data are provided</w:t>
      </w:r>
      <w:r w:rsidR="00614288">
        <w:t>. This</w:t>
      </w:r>
      <w:r w:rsidR="00175D1C">
        <w:t xml:space="preserve"> </w:t>
      </w:r>
      <w:r w:rsidR="00BE3595">
        <w:t xml:space="preserve">has been assessed to determine </w:t>
      </w:r>
      <w:r w:rsidR="00175D1C">
        <w:t>whether the data showed:</w:t>
      </w:r>
    </w:p>
    <w:p w14:paraId="3241CBD2" w14:textId="796E4C59" w:rsidR="00175D1C" w:rsidRDefault="00175D1C" w:rsidP="00892EDF">
      <w:pPr>
        <w:pStyle w:val="DHHSbullet1"/>
      </w:pPr>
      <w:r>
        <w:t>an improving trend (moving in the right direction)</w:t>
      </w:r>
    </w:p>
    <w:p w14:paraId="2134F5C8" w14:textId="1773E011" w:rsidR="00175D1C" w:rsidRDefault="00175D1C" w:rsidP="00892EDF">
      <w:pPr>
        <w:pStyle w:val="DHHSbullet1"/>
      </w:pPr>
      <w:r>
        <w:t>a deteriorating trend (moving in the wrong direction)</w:t>
      </w:r>
    </w:p>
    <w:p w14:paraId="485E62B1" w14:textId="5367B36F" w:rsidR="00FC1460" w:rsidRDefault="00175D1C" w:rsidP="00892EDF">
      <w:pPr>
        <w:pStyle w:val="DHHSbullet1lastline"/>
      </w:pPr>
      <w:r>
        <w:t>a static or unchanging trend.</w:t>
      </w:r>
    </w:p>
    <w:p w14:paraId="5FB1A7B4" w14:textId="77777777" w:rsidR="00175D1C" w:rsidRDefault="00175D1C" w:rsidP="00892EDF">
      <w:pPr>
        <w:pStyle w:val="Heading3"/>
      </w:pPr>
      <w:bookmarkStart w:id="23" w:name="_Toc19007969"/>
      <w:r>
        <w:t>Traffic light rating</w:t>
      </w:r>
      <w:bookmarkEnd w:id="23"/>
    </w:p>
    <w:p w14:paraId="47BD170D" w14:textId="221A445A" w:rsidR="00175D1C" w:rsidRDefault="00175D1C" w:rsidP="00892EDF">
      <w:pPr>
        <w:pStyle w:val="DHHSbody"/>
      </w:pPr>
      <w:r>
        <w:t xml:space="preserve">Each measure has been </w:t>
      </w:r>
      <w:r w:rsidR="001475B0">
        <w:t>allocated</w:t>
      </w:r>
      <w:r>
        <w:t xml:space="preserve"> a traffic light rating (red, amber or green). These provide </w:t>
      </w:r>
      <w:r w:rsidR="00073F01">
        <w:t xml:space="preserve">a </w:t>
      </w:r>
      <w:r w:rsidR="002829A1">
        <w:t>snapshot of</w:t>
      </w:r>
      <w:r>
        <w:t xml:space="preserve"> the key message about progress on each measure. The ratings </w:t>
      </w:r>
      <w:r w:rsidR="008B7E37">
        <w:t>consider</w:t>
      </w:r>
      <w:r>
        <w:t>:</w:t>
      </w:r>
    </w:p>
    <w:p w14:paraId="3C2A27DD" w14:textId="77ABD587" w:rsidR="001C1E0C" w:rsidRPr="008B7E37" w:rsidRDefault="00614288" w:rsidP="008B7E37">
      <w:pPr>
        <w:pStyle w:val="DHHSbullet1"/>
      </w:pPr>
      <w:r>
        <w:rPr>
          <w:lang w:eastAsia="en-AU"/>
        </w:rPr>
        <w:t xml:space="preserve">the </w:t>
      </w:r>
      <w:r w:rsidR="00175D1C">
        <w:rPr>
          <w:lang w:eastAsia="en-AU"/>
        </w:rPr>
        <w:t xml:space="preserve">views and expertise of subject </w:t>
      </w:r>
      <w:r w:rsidR="00175D1C" w:rsidRPr="008B7E37">
        <w:t>matter experts</w:t>
      </w:r>
    </w:p>
    <w:p w14:paraId="38481078" w14:textId="45BCD927" w:rsidR="001C1E0C" w:rsidRPr="008B7E37" w:rsidRDefault="001C1E0C" w:rsidP="008B7E37">
      <w:pPr>
        <w:pStyle w:val="DHHSbullet1"/>
      </w:pPr>
      <w:r w:rsidRPr="008B7E37">
        <w:t>how the most recent result compares with targets or with performance in other jurisdictions</w:t>
      </w:r>
      <w:r w:rsidR="008E129A" w:rsidRPr="008B7E37">
        <w:t xml:space="preserve"> if comparab</w:t>
      </w:r>
      <w:r w:rsidR="008B7E37">
        <w:t>le</w:t>
      </w:r>
      <w:r w:rsidR="008E129A" w:rsidRPr="008B7E37">
        <w:t xml:space="preserve"> with other states </w:t>
      </w:r>
      <w:r w:rsidR="006B6D11" w:rsidRPr="008B7E37">
        <w:t>i</w:t>
      </w:r>
      <w:r w:rsidR="003F15BB" w:rsidRPr="008B7E37">
        <w:t>s</w:t>
      </w:r>
      <w:r w:rsidR="008E129A" w:rsidRPr="008B7E37">
        <w:t xml:space="preserve"> outlined in the data dictionary</w:t>
      </w:r>
    </w:p>
    <w:p w14:paraId="3FAC9480" w14:textId="60F16530" w:rsidR="001C1E0C" w:rsidRDefault="001C1E0C" w:rsidP="008B7E37">
      <w:pPr>
        <w:pStyle w:val="DHHSbullet1"/>
        <w:rPr>
          <w:lang w:eastAsia="en-AU"/>
        </w:rPr>
      </w:pPr>
      <w:r w:rsidRPr="008B7E37">
        <w:t>whether the result is improving o</w:t>
      </w:r>
      <w:r>
        <w:rPr>
          <w:lang w:eastAsia="en-AU"/>
        </w:rPr>
        <w:t xml:space="preserve">ver time and if </w:t>
      </w:r>
      <w:r w:rsidR="003D2298">
        <w:rPr>
          <w:lang w:eastAsia="en-AU"/>
        </w:rPr>
        <w:t>so,</w:t>
      </w:r>
      <w:r>
        <w:rPr>
          <w:lang w:eastAsia="en-AU"/>
        </w:rPr>
        <w:t xml:space="preserve"> how quickly</w:t>
      </w:r>
    </w:p>
    <w:p w14:paraId="092CE8BD" w14:textId="6108607C" w:rsidR="001C1E0C" w:rsidRPr="007D377E" w:rsidRDefault="001C1E0C" w:rsidP="007D377E">
      <w:pPr>
        <w:pStyle w:val="DHHSbullet1"/>
        <w:spacing w:after="120"/>
        <w:rPr>
          <w:lang w:eastAsia="en-AU"/>
        </w:rPr>
      </w:pPr>
      <w:r>
        <w:rPr>
          <w:lang w:eastAsia="en-AU"/>
        </w:rPr>
        <w:t xml:space="preserve">any other relevant contextual information </w:t>
      </w:r>
      <w:r w:rsidR="00614288">
        <w:rPr>
          <w:lang w:eastAsia="en-AU"/>
        </w:rPr>
        <w:t>(</w:t>
      </w:r>
      <w:r>
        <w:rPr>
          <w:lang w:eastAsia="en-AU"/>
        </w:rPr>
        <w:t>for example</w:t>
      </w:r>
      <w:r w:rsidR="00614288">
        <w:rPr>
          <w:lang w:eastAsia="en-AU"/>
        </w:rPr>
        <w:t>,</w:t>
      </w:r>
      <w:r>
        <w:rPr>
          <w:lang w:eastAsia="en-AU"/>
        </w:rPr>
        <w:t xml:space="preserve"> departmental policies</w:t>
      </w:r>
      <w:r w:rsidR="00614288">
        <w:rPr>
          <w:lang w:eastAsia="en-AU"/>
        </w:rPr>
        <w:t>)</w:t>
      </w:r>
      <w:r w:rsidR="001475B0">
        <w:rPr>
          <w:lang w:eastAsia="en-AU"/>
        </w:rPr>
        <w:t xml:space="preserve"> </w:t>
      </w:r>
      <w:r>
        <w:rPr>
          <w:lang w:eastAsia="en-AU"/>
        </w:rPr>
        <w:t>in</w:t>
      </w:r>
      <w:r w:rsidR="001475B0">
        <w:rPr>
          <w:lang w:eastAsia="en-AU"/>
        </w:rPr>
        <w:t xml:space="preserve"> </w:t>
      </w:r>
      <w:r w:rsidRPr="001475B0">
        <w:rPr>
          <w:rFonts w:cs="Arial"/>
          <w:lang w:eastAsia="en-AU"/>
        </w:rPr>
        <w:t>place.</w:t>
      </w:r>
    </w:p>
    <w:p w14:paraId="0638E5EE" w14:textId="319A4EBA" w:rsidR="001C1E0C" w:rsidRPr="007D377E" w:rsidRDefault="001C1E0C" w:rsidP="008B7E37">
      <w:pPr>
        <w:pStyle w:val="Heading3"/>
      </w:pPr>
      <w:bookmarkStart w:id="24" w:name="_Toc19007970"/>
      <w:r>
        <w:t xml:space="preserve">Highlight or </w:t>
      </w:r>
      <w:r w:rsidR="004E5730">
        <w:t>c</w:t>
      </w:r>
      <w:r>
        <w:t>ommentary</w:t>
      </w:r>
      <w:bookmarkEnd w:id="24"/>
    </w:p>
    <w:p w14:paraId="6872BD2D" w14:textId="7C6C2BDA" w:rsidR="001C1E0C" w:rsidRDefault="001C1E0C" w:rsidP="007D377E">
      <w:pPr>
        <w:autoSpaceDE w:val="0"/>
        <w:autoSpaceDN w:val="0"/>
        <w:adjustRightInd w:val="0"/>
        <w:spacing w:after="120" w:line="270" w:lineRule="atLeast"/>
        <w:rPr>
          <w:rFonts w:ascii="Arial" w:hAnsi="Arial" w:cs="Arial"/>
        </w:rPr>
      </w:pPr>
      <w:r>
        <w:rPr>
          <w:rFonts w:ascii="Arial" w:hAnsi="Arial" w:cs="Arial"/>
        </w:rPr>
        <w:t>More detailed commentary is provided</w:t>
      </w:r>
      <w:r w:rsidR="003F15BB">
        <w:rPr>
          <w:rFonts w:ascii="Arial" w:hAnsi="Arial" w:cs="Arial"/>
        </w:rPr>
        <w:t xml:space="preserve"> </w:t>
      </w:r>
      <w:r>
        <w:rPr>
          <w:rFonts w:ascii="Arial" w:hAnsi="Arial" w:cs="Arial"/>
        </w:rPr>
        <w:t xml:space="preserve">in </w:t>
      </w:r>
      <w:r w:rsidR="00614288">
        <w:rPr>
          <w:rFonts w:ascii="Arial" w:hAnsi="Arial" w:cs="Arial"/>
        </w:rPr>
        <w:t>‘</w:t>
      </w:r>
      <w:r w:rsidRPr="008B7E37">
        <w:rPr>
          <w:rFonts w:ascii="Arial" w:hAnsi="Arial" w:cs="Arial"/>
          <w:iCs/>
        </w:rPr>
        <w:t xml:space="preserve">More </w:t>
      </w:r>
      <w:r w:rsidR="004E5730" w:rsidRPr="008B7E37">
        <w:rPr>
          <w:rFonts w:ascii="Arial" w:hAnsi="Arial" w:cs="Arial"/>
          <w:iCs/>
        </w:rPr>
        <w:t>a</w:t>
      </w:r>
      <w:r w:rsidRPr="008B7E37">
        <w:rPr>
          <w:rFonts w:ascii="Arial" w:hAnsi="Arial" w:cs="Arial"/>
          <w:iCs/>
        </w:rPr>
        <w:t xml:space="preserve">bout the </w:t>
      </w:r>
      <w:r w:rsidR="004E5730" w:rsidRPr="008B7E37">
        <w:rPr>
          <w:rFonts w:ascii="Arial" w:hAnsi="Arial" w:cs="Arial"/>
          <w:iCs/>
        </w:rPr>
        <w:t>r</w:t>
      </w:r>
      <w:r w:rsidRPr="008B7E37">
        <w:rPr>
          <w:rFonts w:ascii="Arial" w:hAnsi="Arial" w:cs="Arial"/>
          <w:iCs/>
        </w:rPr>
        <w:t>esults</w:t>
      </w:r>
      <w:r w:rsidR="003F15BB" w:rsidRPr="008B7E37">
        <w:rPr>
          <w:rFonts w:ascii="Arial" w:hAnsi="Arial" w:cs="Arial"/>
          <w:iCs/>
        </w:rPr>
        <w:t xml:space="preserve"> of the </w:t>
      </w:r>
      <w:r w:rsidR="004E5730" w:rsidRPr="008B7E37">
        <w:rPr>
          <w:rFonts w:ascii="Arial" w:hAnsi="Arial" w:cs="Arial"/>
          <w:iCs/>
        </w:rPr>
        <w:t>m</w:t>
      </w:r>
      <w:r w:rsidR="003F15BB" w:rsidRPr="008B7E37">
        <w:rPr>
          <w:rFonts w:ascii="Arial" w:hAnsi="Arial" w:cs="Arial"/>
          <w:iCs/>
        </w:rPr>
        <w:t>easures</w:t>
      </w:r>
      <w:r w:rsidR="00614288">
        <w:rPr>
          <w:rFonts w:ascii="Arial" w:hAnsi="Arial" w:cs="Arial"/>
          <w:iCs/>
        </w:rPr>
        <w:t>’</w:t>
      </w:r>
      <w:r w:rsidR="004E5730">
        <w:rPr>
          <w:rFonts w:ascii="Arial" w:hAnsi="Arial" w:cs="Arial"/>
        </w:rPr>
        <w:t xml:space="preserve">, </w:t>
      </w:r>
      <w:r>
        <w:rPr>
          <w:rFonts w:ascii="Arial" w:hAnsi="Arial" w:cs="Arial"/>
        </w:rPr>
        <w:t>which gives key information to support the intent behind the traffic light rating.</w:t>
      </w:r>
    </w:p>
    <w:p w14:paraId="609A4137" w14:textId="77777777" w:rsidR="008F7F63" w:rsidRPr="00987D59" w:rsidRDefault="008F7F63" w:rsidP="008F7F63">
      <w:pPr>
        <w:pStyle w:val="Heading4"/>
      </w:pPr>
      <w:r w:rsidRPr="00987D59">
        <w:t>About the traffic light ratings</w:t>
      </w:r>
    </w:p>
    <w:p w14:paraId="4F8536B3" w14:textId="77777777" w:rsidR="008F7F63" w:rsidRPr="008F7F63" w:rsidRDefault="008F7F63" w:rsidP="008F7F63">
      <w:pPr>
        <w:pStyle w:val="DHHSbody"/>
        <w:rPr>
          <w:color w:val="007B4B"/>
        </w:rPr>
      </w:pPr>
      <w:r w:rsidRPr="008F7F63">
        <w:rPr>
          <w:b/>
          <w:bCs/>
          <w:color w:val="007B4B"/>
        </w:rPr>
        <w:t xml:space="preserve">Green </w:t>
      </w:r>
      <w:r w:rsidRPr="008F7F63">
        <w:rPr>
          <w:color w:val="007B4B"/>
        </w:rPr>
        <w:t>(key message: satisfactory result)</w:t>
      </w:r>
    </w:p>
    <w:p w14:paraId="44904A0B" w14:textId="77777777" w:rsidR="008F7F63" w:rsidRPr="00987D59" w:rsidRDefault="008F7F63" w:rsidP="00987D59">
      <w:pPr>
        <w:autoSpaceDE w:val="0"/>
        <w:autoSpaceDN w:val="0"/>
        <w:adjustRightInd w:val="0"/>
        <w:rPr>
          <w:rFonts w:ascii="Arial" w:hAnsi="Arial" w:cs="Arial"/>
          <w:color w:val="000000"/>
        </w:rPr>
      </w:pPr>
      <w:r w:rsidRPr="00987D59">
        <w:rPr>
          <w:rFonts w:ascii="Arial" w:hAnsi="Arial" w:cs="Arial"/>
          <w:color w:val="000000"/>
        </w:rPr>
        <w:t>A green rating generally describes situations where the result:</w:t>
      </w:r>
    </w:p>
    <w:p w14:paraId="6E7559BE" w14:textId="454423EC" w:rsidR="008F7F63" w:rsidRPr="00987D59" w:rsidRDefault="008F7F63" w:rsidP="008F7F63">
      <w:pPr>
        <w:pStyle w:val="DHHSbullet1"/>
      </w:pPr>
      <w:r w:rsidRPr="00987D59">
        <w:t>is at or above a target, and either stable or improving over time</w:t>
      </w:r>
    </w:p>
    <w:p w14:paraId="2700AE62" w14:textId="6222ED4C" w:rsidR="008F7F63" w:rsidRPr="00987D59" w:rsidRDefault="008F7F63" w:rsidP="008F7F63">
      <w:pPr>
        <w:pStyle w:val="DHHSbullet1"/>
      </w:pPr>
      <w:r w:rsidRPr="00987D59">
        <w:t xml:space="preserve">is not quite at target level but is heading to achieve it soon and </w:t>
      </w:r>
      <w:r>
        <w:t xml:space="preserve">actions are in place to support </w:t>
      </w:r>
      <w:r w:rsidRPr="00987D59">
        <w:t>this</w:t>
      </w:r>
    </w:p>
    <w:p w14:paraId="602EAFDB" w14:textId="70F67145" w:rsidR="008F7F63" w:rsidRPr="00987D59" w:rsidRDefault="008F7F63" w:rsidP="008F7F63">
      <w:pPr>
        <w:pStyle w:val="DHHSbullet1"/>
      </w:pPr>
      <w:r w:rsidRPr="00987D59">
        <w:t>represents a good outcome for all Victorians, or the</w:t>
      </w:r>
      <w:r>
        <w:t xml:space="preserve"> cancer</w:t>
      </w:r>
      <w:r w:rsidRPr="00987D59">
        <w:t xml:space="preserve"> service system, and</w:t>
      </w:r>
      <w:r>
        <w:t xml:space="preserve"> </w:t>
      </w:r>
      <w:r w:rsidRPr="00987D59">
        <w:t xml:space="preserve">appears to be </w:t>
      </w:r>
      <w:r>
        <w:t xml:space="preserve">either </w:t>
      </w:r>
      <w:r w:rsidRPr="00987D59">
        <w:t>stable or improving over time.</w:t>
      </w:r>
    </w:p>
    <w:p w14:paraId="7A1D3E9F" w14:textId="77777777" w:rsidR="008F7F63" w:rsidRPr="008F7F63" w:rsidRDefault="008F7F63" w:rsidP="008F7F63">
      <w:pPr>
        <w:pStyle w:val="DHHSbody"/>
        <w:rPr>
          <w:color w:val="C5511A"/>
        </w:rPr>
      </w:pPr>
      <w:r w:rsidRPr="008F7F63">
        <w:rPr>
          <w:b/>
          <w:bCs/>
          <w:color w:val="C5511A"/>
        </w:rPr>
        <w:t xml:space="preserve">Amber </w:t>
      </w:r>
      <w:r w:rsidRPr="008F7F63">
        <w:rPr>
          <w:color w:val="C5511A"/>
        </w:rPr>
        <w:t>(key message: desired result not yet evident)</w:t>
      </w:r>
    </w:p>
    <w:p w14:paraId="4EF84057" w14:textId="77777777" w:rsidR="008F7F63" w:rsidRPr="00987D59" w:rsidRDefault="008F7F63" w:rsidP="00987D59">
      <w:pPr>
        <w:autoSpaceDE w:val="0"/>
        <w:autoSpaceDN w:val="0"/>
        <w:adjustRightInd w:val="0"/>
        <w:rPr>
          <w:rFonts w:ascii="Arial" w:hAnsi="Arial" w:cs="Arial"/>
          <w:color w:val="000000"/>
        </w:rPr>
      </w:pPr>
      <w:r w:rsidRPr="00987D59">
        <w:rPr>
          <w:rFonts w:ascii="Arial" w:hAnsi="Arial" w:cs="Arial"/>
          <w:color w:val="000000"/>
        </w:rPr>
        <w:t>An amber rating generally describes situations where a result has both positive and negative elements,</w:t>
      </w:r>
    </w:p>
    <w:p w14:paraId="24C916B5" w14:textId="77777777" w:rsidR="008F7F63" w:rsidRPr="00987D59" w:rsidRDefault="008F7F63" w:rsidP="00987D59">
      <w:pPr>
        <w:autoSpaceDE w:val="0"/>
        <w:autoSpaceDN w:val="0"/>
        <w:adjustRightInd w:val="0"/>
        <w:rPr>
          <w:rFonts w:ascii="Arial" w:hAnsi="Arial" w:cs="Arial"/>
          <w:color w:val="000000"/>
        </w:rPr>
      </w:pPr>
      <w:r w:rsidRPr="00987D59">
        <w:rPr>
          <w:rFonts w:ascii="Arial" w:hAnsi="Arial" w:cs="Arial"/>
          <w:color w:val="000000"/>
        </w:rPr>
        <w:t>for example:</w:t>
      </w:r>
    </w:p>
    <w:p w14:paraId="5178F412" w14:textId="4007EC70" w:rsidR="008F7F63" w:rsidRPr="00987D59" w:rsidRDefault="008F7F63" w:rsidP="008F7F63">
      <w:pPr>
        <w:pStyle w:val="DHHSbullet1"/>
      </w:pPr>
      <w:r>
        <w:t>t</w:t>
      </w:r>
      <w:r w:rsidRPr="00987D59">
        <w:t>he result is improving over time but is still some way from target</w:t>
      </w:r>
    </w:p>
    <w:p w14:paraId="283839F8" w14:textId="0B0655B0" w:rsidR="008F7F63" w:rsidRPr="00987D59" w:rsidRDefault="008F7F63" w:rsidP="008F7F63">
      <w:pPr>
        <w:pStyle w:val="DHHSbullet1"/>
      </w:pPr>
      <w:r w:rsidRPr="00987D59">
        <w:lastRenderedPageBreak/>
        <w:t xml:space="preserve">the result compares well with other jurisdictions but is still not at </w:t>
      </w:r>
      <w:r>
        <w:t xml:space="preserve">the </w:t>
      </w:r>
      <w:r w:rsidRPr="00987D59">
        <w:t>desired level</w:t>
      </w:r>
    </w:p>
    <w:p w14:paraId="1014BA5C" w14:textId="0D1201FB" w:rsidR="008F7F63" w:rsidRPr="00987D59" w:rsidRDefault="008F7F63" w:rsidP="008F7F63">
      <w:pPr>
        <w:pStyle w:val="DHHSbullet1"/>
      </w:pPr>
      <w:r w:rsidRPr="00987D59">
        <w:t>the result has generally been improving over time</w:t>
      </w:r>
      <w:r>
        <w:t>,</w:t>
      </w:r>
      <w:r w:rsidRPr="00987D59">
        <w:t xml:space="preserve"> but a recent deterioration needs to be</w:t>
      </w:r>
      <w:r>
        <w:t xml:space="preserve"> monitored</w:t>
      </w:r>
    </w:p>
    <w:p w14:paraId="063E180B" w14:textId="06E2A0C7" w:rsidR="008F7F63" w:rsidRPr="00987D59" w:rsidRDefault="008F7F63" w:rsidP="008F7F63">
      <w:pPr>
        <w:pStyle w:val="DHHSbullet1"/>
      </w:pPr>
      <w:r w:rsidRPr="00987D59">
        <w:t xml:space="preserve">the result has deteriorated but for a known reason </w:t>
      </w:r>
      <w:r>
        <w:t>that</w:t>
      </w:r>
      <w:r w:rsidRPr="00987D59">
        <w:t xml:space="preserve"> is being addressed</w:t>
      </w:r>
    </w:p>
    <w:p w14:paraId="172D0F74" w14:textId="3F3E9450" w:rsidR="008F7F63" w:rsidRPr="00987D59" w:rsidRDefault="008F7F63" w:rsidP="008F7F63">
      <w:pPr>
        <w:pStyle w:val="DHHSbullet1"/>
      </w:pPr>
      <w:r w:rsidRPr="00987D59">
        <w:t>there is little data available to assess progress, but what there is appears</w:t>
      </w:r>
      <w:r>
        <w:t xml:space="preserve"> </w:t>
      </w:r>
      <w:r w:rsidRPr="00987D59">
        <w:t>reasonably positive</w:t>
      </w:r>
    </w:p>
    <w:p w14:paraId="12F76ED5" w14:textId="4844EF49" w:rsidR="008F7F63" w:rsidRPr="0054117A" w:rsidRDefault="008F7F63" w:rsidP="008F7F63">
      <w:pPr>
        <w:pStyle w:val="DHHSbullet1"/>
      </w:pPr>
      <w:r w:rsidRPr="00987D59">
        <w:t>it is difficult to interpret whether the trend over time represents improved reporting or improved</w:t>
      </w:r>
      <w:r>
        <w:t xml:space="preserve"> </w:t>
      </w:r>
      <w:r w:rsidRPr="0054117A">
        <w:t>outcomes.</w:t>
      </w:r>
    </w:p>
    <w:p w14:paraId="3963A57D" w14:textId="77777777" w:rsidR="008F7F63" w:rsidRPr="008F7F63" w:rsidRDefault="008F7F63" w:rsidP="008F7F63">
      <w:pPr>
        <w:pStyle w:val="DHHSbody"/>
        <w:rPr>
          <w:color w:val="AF272F"/>
        </w:rPr>
      </w:pPr>
      <w:r w:rsidRPr="008F7F63">
        <w:rPr>
          <w:b/>
          <w:bCs/>
          <w:color w:val="AF272F"/>
        </w:rPr>
        <w:t xml:space="preserve">Red </w:t>
      </w:r>
      <w:r w:rsidRPr="008F7F63">
        <w:rPr>
          <w:color w:val="AF272F"/>
        </w:rPr>
        <w:t>(key message: result is of concern)</w:t>
      </w:r>
    </w:p>
    <w:p w14:paraId="3ED08A85" w14:textId="77777777" w:rsidR="008F7F63" w:rsidRPr="00987D59" w:rsidRDefault="008F7F63" w:rsidP="008F7F63">
      <w:pPr>
        <w:pStyle w:val="DHHSbody"/>
      </w:pPr>
      <w:r w:rsidRPr="00987D59">
        <w:t>A red rating generally describes situations where the result may:</w:t>
      </w:r>
    </w:p>
    <w:p w14:paraId="1218C8E5" w14:textId="3CCA4CC6" w:rsidR="008F7F63" w:rsidRPr="00987D59" w:rsidRDefault="008F7F63" w:rsidP="008F7F63">
      <w:pPr>
        <w:pStyle w:val="DHHSbullet1"/>
      </w:pPr>
      <w:r w:rsidRPr="00987D59">
        <w:t>represent a poor outcome or a high level of risk for an undesirably high proportion of the people it</w:t>
      </w:r>
      <w:r>
        <w:t xml:space="preserve"> </w:t>
      </w:r>
      <w:r w:rsidRPr="00987D59">
        <w:t>relates to</w:t>
      </w:r>
    </w:p>
    <w:p w14:paraId="5BDFB668" w14:textId="37F0164E" w:rsidR="008F7F63" w:rsidRPr="00987D59" w:rsidRDefault="008F7F63" w:rsidP="008F7F63">
      <w:pPr>
        <w:pStyle w:val="DHHSbullet1"/>
      </w:pPr>
      <w:r w:rsidRPr="00987D59">
        <w:t>be consistently deteriorating over time</w:t>
      </w:r>
    </w:p>
    <w:p w14:paraId="30659CFB" w14:textId="10948807" w:rsidR="008F7F63" w:rsidRDefault="008F7F63" w:rsidP="008F7F63">
      <w:pPr>
        <w:pStyle w:val="DHHSbullet1"/>
      </w:pPr>
      <w:r w:rsidRPr="00987D59">
        <w:rPr>
          <w:lang w:eastAsia="en-AU"/>
        </w:rPr>
        <w:t>be well off target and stable or somewhat deteriorating over time.</w:t>
      </w:r>
    </w:p>
    <w:p w14:paraId="0619DBAA" w14:textId="77777777" w:rsidR="00614288" w:rsidRPr="006537FE" w:rsidRDefault="00614288" w:rsidP="007D6BCA">
      <w:pPr>
        <w:pStyle w:val="Heading1"/>
        <w:rPr>
          <w:color w:val="auto"/>
        </w:rPr>
      </w:pPr>
      <w:r w:rsidRPr="007D6BCA">
        <w:br w:type="page"/>
      </w:r>
    </w:p>
    <w:p w14:paraId="404E5245" w14:textId="045DAFA3" w:rsidR="00326F77" w:rsidRPr="00DB4F90" w:rsidRDefault="001C1E0C" w:rsidP="007D6BCA">
      <w:pPr>
        <w:pStyle w:val="Heading1"/>
      </w:pPr>
      <w:bookmarkStart w:id="25" w:name="_Toc19007971"/>
      <w:bookmarkStart w:id="26" w:name="_Toc33457061"/>
      <w:r w:rsidRPr="007D6BCA">
        <w:lastRenderedPageBreak/>
        <w:t>Dashboard</w:t>
      </w:r>
      <w:bookmarkEnd w:id="25"/>
      <w:bookmarkEnd w:id="26"/>
    </w:p>
    <w:p w14:paraId="622BE34C" w14:textId="1E40B06A" w:rsidR="0075603A" w:rsidRPr="0075603A" w:rsidRDefault="001C1E0C" w:rsidP="0075603A">
      <w:pPr>
        <w:pStyle w:val="DHHSbody"/>
      </w:pPr>
      <w:r w:rsidRPr="001C1E0C">
        <w:rPr>
          <w:lang w:eastAsia="en-AU"/>
        </w:rPr>
        <w:t>This dashboard shows the number of measures in each key result by traffic light rating.</w:t>
      </w:r>
      <w:r>
        <w:t xml:space="preserve"> </w:t>
      </w:r>
      <w:r w:rsidR="003D1168">
        <w:t>Please note that key results where no measures are currently reported are not shown in the dashboard</w:t>
      </w:r>
      <w:r w:rsidR="00614288">
        <w:t xml:space="preserve"> –</w:t>
      </w:r>
      <w:r w:rsidR="00646458">
        <w:t xml:space="preserve"> </w:t>
      </w:r>
      <w:r w:rsidR="008869C1">
        <w:t>for example,</w:t>
      </w:r>
      <w:r w:rsidR="00646458">
        <w:t xml:space="preserve"> </w:t>
      </w:r>
      <w:r w:rsidR="004E5730">
        <w:t xml:space="preserve">numbers </w:t>
      </w:r>
      <w:r w:rsidR="00646458">
        <w:t>3</w:t>
      </w:r>
      <w:r w:rsidR="000E130D">
        <w:t xml:space="preserve"> and 14. </w:t>
      </w:r>
      <w:r w:rsidR="00614288">
        <w:t>‘</w:t>
      </w:r>
      <w:r w:rsidR="008B475D">
        <w:t>Not applicable</w:t>
      </w:r>
      <w:r w:rsidR="00614288">
        <w:t>’</w:t>
      </w:r>
      <w:r w:rsidR="008B475D">
        <w:t xml:space="preserve"> (N/A) is used i</w:t>
      </w:r>
      <w:r w:rsidR="00633D97">
        <w:t>n circumstances where no data ha</w:t>
      </w:r>
      <w:r w:rsidR="00614288">
        <w:t>s</w:t>
      </w:r>
      <w:r w:rsidR="00633D97">
        <w:t xml:space="preserve"> been identified </w:t>
      </w:r>
      <w:r w:rsidR="00E65AFA">
        <w:t>for specific measures</w:t>
      </w:r>
      <w:r w:rsidR="008B475D">
        <w:t>.</w:t>
      </w:r>
      <w:r w:rsidR="00614288">
        <w:t xml:space="preserve"> Some cells have been left intentionally blank.</w:t>
      </w:r>
    </w:p>
    <w:tbl>
      <w:tblPr>
        <w:tblW w:w="9514" w:type="dxa"/>
        <w:tblInd w:w="-5" w:type="dxa"/>
        <w:tblBorders>
          <w:insideH w:val="single" w:sz="4" w:space="0" w:color="AF272F"/>
        </w:tblBorders>
        <w:tblLook w:val="04A0" w:firstRow="1" w:lastRow="0" w:firstColumn="1" w:lastColumn="0" w:noHBand="0" w:noVBand="1"/>
      </w:tblPr>
      <w:tblGrid>
        <w:gridCol w:w="5707"/>
        <w:gridCol w:w="927"/>
        <w:gridCol w:w="970"/>
        <w:gridCol w:w="1002"/>
        <w:gridCol w:w="908"/>
      </w:tblGrid>
      <w:tr w:rsidR="00121806" w14:paraId="07459A4B" w14:textId="77777777" w:rsidTr="008F7F63">
        <w:trPr>
          <w:trHeight w:val="363"/>
          <w:tblHeader/>
        </w:trPr>
        <w:tc>
          <w:tcPr>
            <w:tcW w:w="5707" w:type="dxa"/>
            <w:shd w:val="clear" w:color="auto" w:fill="auto"/>
          </w:tcPr>
          <w:p w14:paraId="7B8AA10D" w14:textId="4FF7E1CC" w:rsidR="00121806" w:rsidRPr="00DD03C7" w:rsidRDefault="00121806" w:rsidP="008F7F63">
            <w:pPr>
              <w:pStyle w:val="DHHStablecolhead"/>
            </w:pPr>
            <w:r w:rsidRPr="00DD03C7">
              <w:rPr>
                <w:color w:val="000000" w:themeColor="text1"/>
              </w:rPr>
              <w:t xml:space="preserve">Key </w:t>
            </w:r>
            <w:r w:rsidR="00A14570" w:rsidRPr="00DD03C7">
              <w:rPr>
                <w:color w:val="000000" w:themeColor="text1"/>
              </w:rPr>
              <w:t>r</w:t>
            </w:r>
            <w:r w:rsidRPr="00DD03C7">
              <w:rPr>
                <w:color w:val="000000" w:themeColor="text1"/>
              </w:rPr>
              <w:t>esults</w:t>
            </w:r>
          </w:p>
        </w:tc>
        <w:tc>
          <w:tcPr>
            <w:tcW w:w="927" w:type="dxa"/>
            <w:shd w:val="clear" w:color="auto" w:fill="auto"/>
          </w:tcPr>
          <w:p w14:paraId="10515926" w14:textId="01F4C6AB" w:rsidR="00121806" w:rsidRPr="008F7F63" w:rsidRDefault="00121806" w:rsidP="008F7F63">
            <w:pPr>
              <w:pStyle w:val="DHHStablecolhead"/>
              <w:rPr>
                <w:rFonts w:cs="Arial"/>
              </w:rPr>
            </w:pPr>
            <w:r w:rsidRPr="008F7F63">
              <w:t>Red</w:t>
            </w:r>
          </w:p>
        </w:tc>
        <w:tc>
          <w:tcPr>
            <w:tcW w:w="970" w:type="dxa"/>
            <w:shd w:val="clear" w:color="auto" w:fill="auto"/>
          </w:tcPr>
          <w:p w14:paraId="1BD5D029" w14:textId="26764C8A" w:rsidR="00121806" w:rsidRPr="008F7F63" w:rsidRDefault="00121806" w:rsidP="008F7F63">
            <w:pPr>
              <w:pStyle w:val="DHHStablecolhead"/>
              <w:rPr>
                <w:rFonts w:cs="Arial"/>
              </w:rPr>
            </w:pPr>
            <w:r w:rsidRPr="008F7F63">
              <w:rPr>
                <w:color w:val="C5511A"/>
              </w:rPr>
              <w:t>Amber</w:t>
            </w:r>
          </w:p>
        </w:tc>
        <w:tc>
          <w:tcPr>
            <w:tcW w:w="1002" w:type="dxa"/>
            <w:shd w:val="clear" w:color="auto" w:fill="auto"/>
          </w:tcPr>
          <w:p w14:paraId="749F8810" w14:textId="23630960" w:rsidR="00121806" w:rsidRPr="008F7F63" w:rsidRDefault="00121806" w:rsidP="008F7F63">
            <w:pPr>
              <w:pStyle w:val="DHHStablecolhead"/>
              <w:rPr>
                <w:rFonts w:cs="Arial"/>
              </w:rPr>
            </w:pPr>
            <w:r w:rsidRPr="008F7F63">
              <w:rPr>
                <w:color w:val="007B4B"/>
              </w:rPr>
              <w:t>Green</w:t>
            </w:r>
          </w:p>
        </w:tc>
        <w:tc>
          <w:tcPr>
            <w:tcW w:w="908" w:type="dxa"/>
          </w:tcPr>
          <w:p w14:paraId="2733BF7B" w14:textId="296B7E0B" w:rsidR="00121806" w:rsidRPr="008F7F63" w:rsidRDefault="00121806" w:rsidP="008F7F63">
            <w:pPr>
              <w:pStyle w:val="DHHStablecolhead"/>
              <w:rPr>
                <w:rFonts w:cs="Arial"/>
              </w:rPr>
            </w:pPr>
            <w:r w:rsidRPr="008F7F63">
              <w:rPr>
                <w:color w:val="000000" w:themeColor="text1"/>
              </w:rPr>
              <w:t>N/A</w:t>
            </w:r>
          </w:p>
        </w:tc>
      </w:tr>
      <w:tr w:rsidR="00633D97" w14:paraId="2983D897" w14:textId="77777777" w:rsidTr="006053E7">
        <w:tc>
          <w:tcPr>
            <w:tcW w:w="5707" w:type="dxa"/>
            <w:shd w:val="clear" w:color="auto" w:fill="auto"/>
          </w:tcPr>
          <w:p w14:paraId="143CE319" w14:textId="77777777" w:rsidR="00633D97" w:rsidRPr="00DD03C7" w:rsidRDefault="00633D97" w:rsidP="008F7F63">
            <w:pPr>
              <w:pStyle w:val="DHHSnumberdigit"/>
            </w:pPr>
            <w:r w:rsidRPr="00DD03C7">
              <w:t>Decrease incidence of preventable cancers</w:t>
            </w:r>
          </w:p>
        </w:tc>
        <w:tc>
          <w:tcPr>
            <w:tcW w:w="927" w:type="dxa"/>
            <w:shd w:val="clear" w:color="auto" w:fill="EDCDCF"/>
          </w:tcPr>
          <w:p w14:paraId="7EE1043B" w14:textId="0BCE1243" w:rsidR="00633D97" w:rsidRPr="0075603A" w:rsidRDefault="0023579D" w:rsidP="008F7F63">
            <w:pPr>
              <w:pStyle w:val="DHHStabletext"/>
              <w:jc w:val="center"/>
            </w:pPr>
            <w:r>
              <w:t>4</w:t>
            </w:r>
          </w:p>
        </w:tc>
        <w:tc>
          <w:tcPr>
            <w:tcW w:w="970" w:type="dxa"/>
            <w:shd w:val="clear" w:color="auto" w:fill="E8B9A3"/>
          </w:tcPr>
          <w:p w14:paraId="196C3695" w14:textId="7B9F4198" w:rsidR="00633D97" w:rsidRPr="0075603A" w:rsidRDefault="0023579D" w:rsidP="008F7F63">
            <w:pPr>
              <w:pStyle w:val="DHHStabletext"/>
              <w:jc w:val="center"/>
            </w:pPr>
            <w:r>
              <w:t>3</w:t>
            </w:r>
          </w:p>
        </w:tc>
        <w:tc>
          <w:tcPr>
            <w:tcW w:w="1002" w:type="dxa"/>
            <w:shd w:val="clear" w:color="auto" w:fill="99CAB7"/>
          </w:tcPr>
          <w:p w14:paraId="6776C260" w14:textId="27A45955" w:rsidR="00633D97" w:rsidRPr="0075603A" w:rsidRDefault="0023579D" w:rsidP="008F7F63">
            <w:pPr>
              <w:pStyle w:val="DHHStabletext"/>
              <w:jc w:val="center"/>
            </w:pPr>
            <w:r>
              <w:t>1</w:t>
            </w:r>
          </w:p>
        </w:tc>
        <w:tc>
          <w:tcPr>
            <w:tcW w:w="908" w:type="dxa"/>
          </w:tcPr>
          <w:p w14:paraId="520BCB52" w14:textId="77777777" w:rsidR="00633D97" w:rsidRPr="0075603A" w:rsidRDefault="00633D97" w:rsidP="008F7F63">
            <w:pPr>
              <w:pStyle w:val="DHHStabletext"/>
              <w:jc w:val="center"/>
            </w:pPr>
          </w:p>
        </w:tc>
      </w:tr>
      <w:tr w:rsidR="00633D97" w14:paraId="7E9F6544" w14:textId="77777777" w:rsidTr="008F7F63">
        <w:tc>
          <w:tcPr>
            <w:tcW w:w="5707" w:type="dxa"/>
            <w:shd w:val="clear" w:color="auto" w:fill="auto"/>
          </w:tcPr>
          <w:p w14:paraId="4218DD7D" w14:textId="77777777" w:rsidR="00633D97" w:rsidRPr="00DD03C7" w:rsidRDefault="00633D97" w:rsidP="008F7F63">
            <w:pPr>
              <w:pStyle w:val="DHHSnumberdigit"/>
            </w:pPr>
            <w:r w:rsidRPr="00DD03C7">
              <w:t>Decrease deaths due to cancer</w:t>
            </w:r>
          </w:p>
        </w:tc>
        <w:tc>
          <w:tcPr>
            <w:tcW w:w="927" w:type="dxa"/>
            <w:shd w:val="clear" w:color="auto" w:fill="auto"/>
          </w:tcPr>
          <w:p w14:paraId="4EF5ECEF" w14:textId="77777777" w:rsidR="00633D97" w:rsidRPr="0075603A" w:rsidRDefault="00633D97" w:rsidP="008F7F63">
            <w:pPr>
              <w:pStyle w:val="DHHStabletext"/>
              <w:jc w:val="center"/>
            </w:pPr>
          </w:p>
        </w:tc>
        <w:tc>
          <w:tcPr>
            <w:tcW w:w="970" w:type="dxa"/>
            <w:shd w:val="clear" w:color="auto" w:fill="auto"/>
          </w:tcPr>
          <w:p w14:paraId="4B8F7593" w14:textId="77777777" w:rsidR="00633D97" w:rsidRPr="0075603A" w:rsidRDefault="00633D97" w:rsidP="008F7F63">
            <w:pPr>
              <w:pStyle w:val="DHHStabletext"/>
              <w:jc w:val="center"/>
            </w:pPr>
          </w:p>
        </w:tc>
        <w:tc>
          <w:tcPr>
            <w:tcW w:w="1002" w:type="dxa"/>
            <w:shd w:val="clear" w:color="auto" w:fill="99CAB7"/>
          </w:tcPr>
          <w:p w14:paraId="599E5FB1" w14:textId="6CDF3DB6" w:rsidR="00633D97" w:rsidRPr="0075603A" w:rsidRDefault="00203193" w:rsidP="008F7F63">
            <w:pPr>
              <w:pStyle w:val="DHHStabletext"/>
              <w:jc w:val="center"/>
            </w:pPr>
            <w:r>
              <w:t>3</w:t>
            </w:r>
          </w:p>
        </w:tc>
        <w:tc>
          <w:tcPr>
            <w:tcW w:w="908" w:type="dxa"/>
          </w:tcPr>
          <w:p w14:paraId="2BC9FA98" w14:textId="77777777" w:rsidR="00633D97" w:rsidRPr="0075603A" w:rsidRDefault="00633D97" w:rsidP="008F7F63">
            <w:pPr>
              <w:pStyle w:val="DHHStabletext"/>
              <w:jc w:val="center"/>
            </w:pPr>
          </w:p>
        </w:tc>
      </w:tr>
      <w:tr w:rsidR="00633D97" w14:paraId="68040707" w14:textId="77777777" w:rsidTr="006053E7">
        <w:tc>
          <w:tcPr>
            <w:tcW w:w="5707" w:type="dxa"/>
            <w:shd w:val="clear" w:color="auto" w:fill="auto"/>
          </w:tcPr>
          <w:p w14:paraId="43FCEFEB" w14:textId="20F24231" w:rsidR="00633D97" w:rsidRPr="00DD03C7" w:rsidRDefault="00633D97" w:rsidP="00DD03C7">
            <w:pPr>
              <w:pStyle w:val="DHHSnumberdigit"/>
              <w:numPr>
                <w:ilvl w:val="0"/>
                <w:numId w:val="62"/>
              </w:numPr>
            </w:pPr>
            <w:r w:rsidRPr="00DD03C7">
              <w:t>Equitably reduce cancer incidence</w:t>
            </w:r>
          </w:p>
        </w:tc>
        <w:tc>
          <w:tcPr>
            <w:tcW w:w="927" w:type="dxa"/>
            <w:shd w:val="clear" w:color="auto" w:fill="EDCDCF"/>
          </w:tcPr>
          <w:p w14:paraId="598CDAEB" w14:textId="1833E5CD" w:rsidR="00633D97" w:rsidRPr="0075603A" w:rsidRDefault="00902763" w:rsidP="008F7F63">
            <w:pPr>
              <w:pStyle w:val="DHHStabletext"/>
              <w:jc w:val="center"/>
            </w:pPr>
            <w:r>
              <w:t>1</w:t>
            </w:r>
          </w:p>
        </w:tc>
        <w:tc>
          <w:tcPr>
            <w:tcW w:w="970" w:type="dxa"/>
            <w:shd w:val="clear" w:color="auto" w:fill="E8B9A3"/>
          </w:tcPr>
          <w:p w14:paraId="0BB74D54" w14:textId="159BE1D8" w:rsidR="00633D97" w:rsidRPr="0075603A" w:rsidRDefault="00902763" w:rsidP="008F7F63">
            <w:pPr>
              <w:pStyle w:val="DHHStabletext"/>
              <w:jc w:val="center"/>
            </w:pPr>
            <w:r>
              <w:t>2</w:t>
            </w:r>
          </w:p>
        </w:tc>
        <w:tc>
          <w:tcPr>
            <w:tcW w:w="1002" w:type="dxa"/>
            <w:shd w:val="clear" w:color="auto" w:fill="auto"/>
          </w:tcPr>
          <w:p w14:paraId="121E4ED5" w14:textId="77777777" w:rsidR="00633D97" w:rsidRPr="0075603A" w:rsidRDefault="00633D97" w:rsidP="008F7F63">
            <w:pPr>
              <w:pStyle w:val="DHHStabletext"/>
              <w:jc w:val="center"/>
            </w:pPr>
          </w:p>
        </w:tc>
        <w:tc>
          <w:tcPr>
            <w:tcW w:w="908" w:type="dxa"/>
          </w:tcPr>
          <w:p w14:paraId="2FC30783" w14:textId="77777777" w:rsidR="00633D97" w:rsidRPr="0075603A" w:rsidRDefault="00633D97" w:rsidP="008F7F63">
            <w:pPr>
              <w:pStyle w:val="DHHStabletext"/>
              <w:jc w:val="center"/>
            </w:pPr>
          </w:p>
        </w:tc>
      </w:tr>
      <w:tr w:rsidR="00633D97" w14:paraId="74895A6C" w14:textId="77777777" w:rsidTr="006053E7">
        <w:tc>
          <w:tcPr>
            <w:tcW w:w="5707" w:type="dxa"/>
            <w:shd w:val="clear" w:color="auto" w:fill="auto"/>
          </w:tcPr>
          <w:p w14:paraId="7D8E7A98" w14:textId="77777777" w:rsidR="00633D97" w:rsidRPr="00987D59" w:rsidRDefault="00633D97" w:rsidP="0041382E">
            <w:pPr>
              <w:pStyle w:val="DHHSnumberdigit"/>
              <w:rPr>
                <w:rFonts w:cs="Arial"/>
              </w:rPr>
            </w:pPr>
            <w:r w:rsidRPr="00987D59">
              <w:rPr>
                <w:rFonts w:cs="Arial"/>
              </w:rPr>
              <w:t>Equitably reduce cancer deaths</w:t>
            </w:r>
          </w:p>
        </w:tc>
        <w:tc>
          <w:tcPr>
            <w:tcW w:w="927" w:type="dxa"/>
            <w:shd w:val="clear" w:color="auto" w:fill="EDCDCF"/>
          </w:tcPr>
          <w:p w14:paraId="5E021E5D" w14:textId="4AA5DB47" w:rsidR="00633D97" w:rsidRPr="0075603A" w:rsidRDefault="00E926B8" w:rsidP="008F7F63">
            <w:pPr>
              <w:pStyle w:val="DHHStabletext"/>
              <w:jc w:val="center"/>
            </w:pPr>
            <w:r>
              <w:t>2</w:t>
            </w:r>
          </w:p>
        </w:tc>
        <w:tc>
          <w:tcPr>
            <w:tcW w:w="970" w:type="dxa"/>
            <w:shd w:val="clear" w:color="auto" w:fill="E8B9A3"/>
          </w:tcPr>
          <w:p w14:paraId="1253CD73" w14:textId="7366D27C" w:rsidR="00633D97" w:rsidRPr="0075603A" w:rsidRDefault="00E926B8" w:rsidP="008F7F63">
            <w:pPr>
              <w:pStyle w:val="DHHStabletext"/>
              <w:jc w:val="center"/>
            </w:pPr>
            <w:r>
              <w:t>1</w:t>
            </w:r>
          </w:p>
        </w:tc>
        <w:tc>
          <w:tcPr>
            <w:tcW w:w="1002" w:type="dxa"/>
            <w:shd w:val="clear" w:color="auto" w:fill="auto"/>
          </w:tcPr>
          <w:p w14:paraId="33FD6B54" w14:textId="77777777" w:rsidR="00633D97" w:rsidRPr="0075603A" w:rsidRDefault="00633D97" w:rsidP="008F7F63">
            <w:pPr>
              <w:pStyle w:val="DHHStabletext"/>
              <w:jc w:val="center"/>
            </w:pPr>
          </w:p>
        </w:tc>
        <w:tc>
          <w:tcPr>
            <w:tcW w:w="908" w:type="dxa"/>
          </w:tcPr>
          <w:p w14:paraId="1C0B31FC" w14:textId="77777777" w:rsidR="00633D97" w:rsidRPr="0075603A" w:rsidRDefault="00633D97" w:rsidP="008F7F63">
            <w:pPr>
              <w:pStyle w:val="DHHStabletext"/>
              <w:jc w:val="center"/>
            </w:pPr>
          </w:p>
        </w:tc>
      </w:tr>
      <w:tr w:rsidR="00633D97" w14:paraId="7B7AD261" w14:textId="77777777" w:rsidTr="006053E7">
        <w:tc>
          <w:tcPr>
            <w:tcW w:w="5707" w:type="dxa"/>
            <w:shd w:val="clear" w:color="auto" w:fill="auto"/>
          </w:tcPr>
          <w:p w14:paraId="545EE52F" w14:textId="77777777" w:rsidR="00633D97" w:rsidRPr="00987D59" w:rsidRDefault="00633D97" w:rsidP="0041382E">
            <w:pPr>
              <w:pStyle w:val="DHHSnumberdigit"/>
              <w:rPr>
                <w:rFonts w:cs="Arial"/>
              </w:rPr>
            </w:pPr>
            <w:r w:rsidRPr="00987D59">
              <w:rPr>
                <w:rFonts w:cs="Arial"/>
              </w:rPr>
              <w:t>Decrease smoking and harmful alcohol consumption</w:t>
            </w:r>
          </w:p>
        </w:tc>
        <w:tc>
          <w:tcPr>
            <w:tcW w:w="927" w:type="dxa"/>
            <w:shd w:val="clear" w:color="auto" w:fill="EDCDCF"/>
          </w:tcPr>
          <w:p w14:paraId="578B10F8" w14:textId="1BA8C093" w:rsidR="00633D97" w:rsidRPr="00DF6345" w:rsidRDefault="0044490C" w:rsidP="008F7F63">
            <w:pPr>
              <w:pStyle w:val="DHHStabletext"/>
              <w:jc w:val="center"/>
            </w:pPr>
            <w:r w:rsidRPr="00DF6345">
              <w:t>1</w:t>
            </w:r>
          </w:p>
        </w:tc>
        <w:tc>
          <w:tcPr>
            <w:tcW w:w="970" w:type="dxa"/>
            <w:shd w:val="clear" w:color="auto" w:fill="E8B9A3"/>
          </w:tcPr>
          <w:p w14:paraId="0D16CC38" w14:textId="777697C1" w:rsidR="00633D97" w:rsidRPr="0075603A" w:rsidRDefault="0044490C" w:rsidP="008F7F63">
            <w:pPr>
              <w:pStyle w:val="DHHStabletext"/>
              <w:jc w:val="center"/>
            </w:pPr>
            <w:r w:rsidRPr="001A0A14">
              <w:rPr>
                <w14:shadow w14:blurRad="50800" w14:dist="50800" w14:dir="5400000" w14:sx="0" w14:sy="0" w14:kx="0" w14:ky="0" w14:algn="ctr">
                  <w14:srgbClr w14:val="FFC000"/>
                </w14:shadow>
              </w:rPr>
              <w:t>2</w:t>
            </w:r>
          </w:p>
        </w:tc>
        <w:tc>
          <w:tcPr>
            <w:tcW w:w="1002" w:type="dxa"/>
            <w:shd w:val="clear" w:color="auto" w:fill="99CAB7"/>
          </w:tcPr>
          <w:p w14:paraId="3EA536D1" w14:textId="33F08BD0" w:rsidR="00633D97" w:rsidRPr="0075603A" w:rsidRDefault="0044490C" w:rsidP="008F7F63">
            <w:pPr>
              <w:pStyle w:val="DHHStabletext"/>
              <w:jc w:val="center"/>
            </w:pPr>
            <w:r>
              <w:t>1</w:t>
            </w:r>
          </w:p>
        </w:tc>
        <w:tc>
          <w:tcPr>
            <w:tcW w:w="908" w:type="dxa"/>
          </w:tcPr>
          <w:p w14:paraId="6334CBC9" w14:textId="77777777" w:rsidR="00633D97" w:rsidRPr="0075603A" w:rsidRDefault="00633D97" w:rsidP="008F7F63">
            <w:pPr>
              <w:pStyle w:val="DHHStabletext"/>
              <w:jc w:val="center"/>
            </w:pPr>
          </w:p>
        </w:tc>
      </w:tr>
      <w:tr w:rsidR="00633D97" w14:paraId="782F7368" w14:textId="77777777" w:rsidTr="006053E7">
        <w:tc>
          <w:tcPr>
            <w:tcW w:w="5707" w:type="dxa"/>
            <w:shd w:val="clear" w:color="auto" w:fill="auto"/>
          </w:tcPr>
          <w:p w14:paraId="31E5D6D0" w14:textId="77777777" w:rsidR="00633D97" w:rsidRPr="00987D59" w:rsidRDefault="00633D97" w:rsidP="0041382E">
            <w:pPr>
              <w:pStyle w:val="DHHSnumberdigit"/>
              <w:rPr>
                <w:rFonts w:cs="Arial"/>
              </w:rPr>
            </w:pPr>
            <w:r w:rsidRPr="00987D59">
              <w:rPr>
                <w:rFonts w:cs="Arial"/>
              </w:rPr>
              <w:t>Increase healthier eating and active living</w:t>
            </w:r>
          </w:p>
        </w:tc>
        <w:tc>
          <w:tcPr>
            <w:tcW w:w="927" w:type="dxa"/>
            <w:shd w:val="clear" w:color="auto" w:fill="EDCDCF"/>
          </w:tcPr>
          <w:p w14:paraId="596EC1E7" w14:textId="07BED68F" w:rsidR="00633D97" w:rsidRPr="00DF6345" w:rsidRDefault="00521471" w:rsidP="008F7F63">
            <w:pPr>
              <w:pStyle w:val="DHHStabletext"/>
              <w:jc w:val="center"/>
            </w:pPr>
            <w:r>
              <w:t>3</w:t>
            </w:r>
          </w:p>
        </w:tc>
        <w:tc>
          <w:tcPr>
            <w:tcW w:w="970" w:type="dxa"/>
            <w:shd w:val="clear" w:color="auto" w:fill="E8B9A3"/>
            <w:vAlign w:val="center"/>
          </w:tcPr>
          <w:p w14:paraId="09119AAE" w14:textId="648BBFFB" w:rsidR="00633D97" w:rsidRPr="0075603A" w:rsidRDefault="00AE766C" w:rsidP="008F7F63">
            <w:pPr>
              <w:pStyle w:val="DHHStabletext"/>
              <w:jc w:val="center"/>
            </w:pPr>
            <w:r>
              <w:t>4</w:t>
            </w:r>
          </w:p>
        </w:tc>
        <w:tc>
          <w:tcPr>
            <w:tcW w:w="1002" w:type="dxa"/>
            <w:shd w:val="clear" w:color="auto" w:fill="99CAB7"/>
          </w:tcPr>
          <w:p w14:paraId="0367BDF0" w14:textId="28969D48" w:rsidR="00633D97" w:rsidRPr="0075603A" w:rsidRDefault="00521471" w:rsidP="008F7F63">
            <w:pPr>
              <w:pStyle w:val="DHHStabletext"/>
              <w:jc w:val="center"/>
            </w:pPr>
            <w:r>
              <w:t>2</w:t>
            </w:r>
          </w:p>
        </w:tc>
        <w:tc>
          <w:tcPr>
            <w:tcW w:w="908" w:type="dxa"/>
            <w:shd w:val="clear" w:color="auto" w:fill="D9D9D9" w:themeFill="background1" w:themeFillShade="D9"/>
          </w:tcPr>
          <w:p w14:paraId="3DEE408F" w14:textId="4782940D" w:rsidR="00633D97" w:rsidRDefault="0044490C" w:rsidP="008F7F63">
            <w:pPr>
              <w:pStyle w:val="DHHStabletext"/>
              <w:jc w:val="center"/>
            </w:pPr>
            <w:r>
              <w:t>2</w:t>
            </w:r>
          </w:p>
        </w:tc>
      </w:tr>
      <w:tr w:rsidR="00633D97" w14:paraId="51F2EFB2" w14:textId="77777777" w:rsidTr="006053E7">
        <w:tc>
          <w:tcPr>
            <w:tcW w:w="5707" w:type="dxa"/>
            <w:shd w:val="clear" w:color="auto" w:fill="auto"/>
          </w:tcPr>
          <w:p w14:paraId="4F6B453B" w14:textId="77777777" w:rsidR="00633D97" w:rsidRPr="00987D59" w:rsidRDefault="00633D97" w:rsidP="0041382E">
            <w:pPr>
              <w:pStyle w:val="DHHSnumberdigit"/>
              <w:rPr>
                <w:rFonts w:cs="Arial"/>
              </w:rPr>
            </w:pPr>
            <w:r w:rsidRPr="00987D59">
              <w:rPr>
                <w:rFonts w:cs="Arial"/>
              </w:rPr>
              <w:t>Decrease obesity</w:t>
            </w:r>
          </w:p>
        </w:tc>
        <w:tc>
          <w:tcPr>
            <w:tcW w:w="927" w:type="dxa"/>
            <w:shd w:val="clear" w:color="auto" w:fill="EDCDCF"/>
          </w:tcPr>
          <w:p w14:paraId="614BCA5D" w14:textId="6D133D28" w:rsidR="00633D97" w:rsidRPr="00DF6345" w:rsidRDefault="00B362F3" w:rsidP="008F7F63">
            <w:pPr>
              <w:pStyle w:val="DHHStabletext"/>
              <w:jc w:val="center"/>
            </w:pPr>
            <w:r w:rsidRPr="00DF6345">
              <w:t>2</w:t>
            </w:r>
          </w:p>
        </w:tc>
        <w:tc>
          <w:tcPr>
            <w:tcW w:w="970" w:type="dxa"/>
            <w:shd w:val="clear" w:color="auto" w:fill="E8B9A3"/>
          </w:tcPr>
          <w:p w14:paraId="339F3B23" w14:textId="1C437BED" w:rsidR="00633D97" w:rsidRPr="0075603A" w:rsidRDefault="00B362F3" w:rsidP="008F7F63">
            <w:pPr>
              <w:pStyle w:val="DHHStabletext"/>
              <w:jc w:val="center"/>
            </w:pPr>
            <w:r>
              <w:t>1</w:t>
            </w:r>
          </w:p>
        </w:tc>
        <w:tc>
          <w:tcPr>
            <w:tcW w:w="1002" w:type="dxa"/>
            <w:shd w:val="clear" w:color="auto" w:fill="auto"/>
          </w:tcPr>
          <w:p w14:paraId="7EAC7006" w14:textId="77777777" w:rsidR="00633D97" w:rsidRPr="0075603A" w:rsidRDefault="00633D97" w:rsidP="008F7F63">
            <w:pPr>
              <w:pStyle w:val="DHHStabletext"/>
              <w:jc w:val="center"/>
            </w:pPr>
          </w:p>
        </w:tc>
        <w:tc>
          <w:tcPr>
            <w:tcW w:w="908" w:type="dxa"/>
          </w:tcPr>
          <w:p w14:paraId="38528CDE" w14:textId="77777777" w:rsidR="00633D97" w:rsidRPr="0075603A" w:rsidRDefault="00633D97" w:rsidP="008F7F63">
            <w:pPr>
              <w:pStyle w:val="DHHStabletext"/>
              <w:jc w:val="center"/>
            </w:pPr>
          </w:p>
        </w:tc>
      </w:tr>
      <w:tr w:rsidR="00633D97" w14:paraId="1EA4486A" w14:textId="77777777" w:rsidTr="006053E7">
        <w:tc>
          <w:tcPr>
            <w:tcW w:w="5707" w:type="dxa"/>
            <w:shd w:val="clear" w:color="auto" w:fill="auto"/>
          </w:tcPr>
          <w:p w14:paraId="6FE271B4" w14:textId="32BCA142" w:rsidR="00633D97" w:rsidRPr="0023579D" w:rsidRDefault="00633D97" w:rsidP="0041382E">
            <w:pPr>
              <w:pStyle w:val="DHHSnumberdigit"/>
              <w:rPr>
                <w:rFonts w:cs="Arial"/>
              </w:rPr>
            </w:pPr>
            <w:r w:rsidRPr="0023579D">
              <w:rPr>
                <w:rFonts w:cs="Arial"/>
              </w:rPr>
              <w:t xml:space="preserve">Decrease </w:t>
            </w:r>
            <w:r w:rsidR="006C2FD5">
              <w:rPr>
                <w:rFonts w:cs="Arial"/>
              </w:rPr>
              <w:t>ultraviolet (UV)</w:t>
            </w:r>
            <w:r w:rsidR="006C2FD5" w:rsidRPr="0023579D">
              <w:rPr>
                <w:rFonts w:cs="Arial"/>
              </w:rPr>
              <w:t xml:space="preserve"> </w:t>
            </w:r>
            <w:r w:rsidRPr="0023579D">
              <w:rPr>
                <w:rFonts w:cs="Arial"/>
              </w:rPr>
              <w:t>exposure</w:t>
            </w:r>
          </w:p>
        </w:tc>
        <w:tc>
          <w:tcPr>
            <w:tcW w:w="927" w:type="dxa"/>
            <w:shd w:val="clear" w:color="auto" w:fill="EDCDCF"/>
          </w:tcPr>
          <w:p w14:paraId="5D30F1C3" w14:textId="61C120A7" w:rsidR="00633D97" w:rsidRPr="0023579D" w:rsidRDefault="00B362F3" w:rsidP="008F7F63">
            <w:pPr>
              <w:pStyle w:val="DHHStabletext"/>
              <w:jc w:val="center"/>
            </w:pPr>
            <w:r w:rsidRPr="0023579D">
              <w:t>1</w:t>
            </w:r>
          </w:p>
        </w:tc>
        <w:tc>
          <w:tcPr>
            <w:tcW w:w="970" w:type="dxa"/>
            <w:shd w:val="clear" w:color="auto" w:fill="auto"/>
          </w:tcPr>
          <w:p w14:paraId="39B7AAEB" w14:textId="77777777" w:rsidR="00633D97" w:rsidRPr="0023579D" w:rsidRDefault="00633D97" w:rsidP="008F7F63">
            <w:pPr>
              <w:pStyle w:val="DHHStabletext"/>
              <w:jc w:val="center"/>
            </w:pPr>
          </w:p>
        </w:tc>
        <w:tc>
          <w:tcPr>
            <w:tcW w:w="1002" w:type="dxa"/>
            <w:shd w:val="clear" w:color="auto" w:fill="99CAB7"/>
          </w:tcPr>
          <w:p w14:paraId="5624D47C" w14:textId="490E97A9" w:rsidR="00633D97" w:rsidRPr="0075603A" w:rsidRDefault="00B362F3" w:rsidP="008F7F63">
            <w:pPr>
              <w:pStyle w:val="DHHStabletext"/>
              <w:jc w:val="center"/>
            </w:pPr>
            <w:r w:rsidRPr="0023579D">
              <w:t>1</w:t>
            </w:r>
          </w:p>
        </w:tc>
        <w:tc>
          <w:tcPr>
            <w:tcW w:w="908" w:type="dxa"/>
          </w:tcPr>
          <w:p w14:paraId="5DF86E17" w14:textId="77777777" w:rsidR="00633D97" w:rsidRPr="0075603A" w:rsidRDefault="00633D97" w:rsidP="008F7F63">
            <w:pPr>
              <w:pStyle w:val="DHHStabletext"/>
              <w:jc w:val="center"/>
            </w:pPr>
          </w:p>
        </w:tc>
      </w:tr>
      <w:tr w:rsidR="00633D97" w14:paraId="435A6C06" w14:textId="77777777" w:rsidTr="00D01B48">
        <w:tc>
          <w:tcPr>
            <w:tcW w:w="5707" w:type="dxa"/>
            <w:shd w:val="clear" w:color="auto" w:fill="auto"/>
          </w:tcPr>
          <w:p w14:paraId="1F7ADF1B" w14:textId="56C4E662" w:rsidR="00633D97" w:rsidRPr="00987D59" w:rsidRDefault="00633D97" w:rsidP="0041382E">
            <w:pPr>
              <w:pStyle w:val="DHHSnumberdigit"/>
              <w:rPr>
                <w:rFonts w:cs="Arial"/>
              </w:rPr>
            </w:pPr>
            <w:r w:rsidRPr="00987D59">
              <w:rPr>
                <w:rFonts w:cs="Arial"/>
              </w:rPr>
              <w:t xml:space="preserve">Decrease </w:t>
            </w:r>
            <w:r w:rsidR="00614288" w:rsidRPr="002829A1">
              <w:rPr>
                <w:rFonts w:cs="Arial"/>
              </w:rPr>
              <w:t>human papillomavirus</w:t>
            </w:r>
            <w:r w:rsidR="00614288" w:rsidRPr="00987D59">
              <w:rPr>
                <w:rFonts w:cs="Arial"/>
              </w:rPr>
              <w:t xml:space="preserve"> </w:t>
            </w:r>
            <w:r w:rsidR="00614288">
              <w:rPr>
                <w:rFonts w:cs="Arial"/>
              </w:rPr>
              <w:t>(</w:t>
            </w:r>
            <w:r w:rsidRPr="00987D59">
              <w:rPr>
                <w:rFonts w:cs="Arial"/>
              </w:rPr>
              <w:t>HPV</w:t>
            </w:r>
            <w:r w:rsidR="00614288">
              <w:rPr>
                <w:rFonts w:cs="Arial"/>
              </w:rPr>
              <w:t>)</w:t>
            </w:r>
            <w:r w:rsidRPr="00987D59">
              <w:rPr>
                <w:rFonts w:cs="Arial"/>
              </w:rPr>
              <w:t xml:space="preserve"> and viral hepatitis</w:t>
            </w:r>
          </w:p>
        </w:tc>
        <w:tc>
          <w:tcPr>
            <w:tcW w:w="927" w:type="dxa"/>
            <w:shd w:val="clear" w:color="auto" w:fill="EDCDCF"/>
          </w:tcPr>
          <w:p w14:paraId="47CDC50E" w14:textId="7A0696AC" w:rsidR="00633D97" w:rsidRPr="0075603A" w:rsidRDefault="00D01B48" w:rsidP="008F7F63">
            <w:pPr>
              <w:pStyle w:val="DHHStabletext"/>
              <w:jc w:val="center"/>
            </w:pPr>
            <w:r>
              <w:t>2</w:t>
            </w:r>
          </w:p>
        </w:tc>
        <w:tc>
          <w:tcPr>
            <w:tcW w:w="970" w:type="dxa"/>
            <w:shd w:val="clear" w:color="auto" w:fill="E8B9A3"/>
          </w:tcPr>
          <w:p w14:paraId="3C0D9768" w14:textId="50C157B7" w:rsidR="00633D97" w:rsidRPr="0075603A" w:rsidRDefault="00D01B48" w:rsidP="008F7F63">
            <w:pPr>
              <w:pStyle w:val="DHHStabletext"/>
              <w:jc w:val="center"/>
            </w:pPr>
            <w:r>
              <w:t>3</w:t>
            </w:r>
          </w:p>
        </w:tc>
        <w:tc>
          <w:tcPr>
            <w:tcW w:w="1002" w:type="dxa"/>
            <w:shd w:val="clear" w:color="auto" w:fill="auto"/>
          </w:tcPr>
          <w:p w14:paraId="70764B24" w14:textId="1FDEFD91" w:rsidR="00633D97" w:rsidRPr="0075603A" w:rsidRDefault="00633D97" w:rsidP="008F7F63">
            <w:pPr>
              <w:pStyle w:val="DHHStabletext"/>
              <w:jc w:val="center"/>
            </w:pPr>
          </w:p>
        </w:tc>
        <w:tc>
          <w:tcPr>
            <w:tcW w:w="908" w:type="dxa"/>
          </w:tcPr>
          <w:p w14:paraId="052DA688" w14:textId="77777777" w:rsidR="00633D97" w:rsidRDefault="00633D97" w:rsidP="008F7F63">
            <w:pPr>
              <w:pStyle w:val="DHHStabletext"/>
              <w:jc w:val="center"/>
            </w:pPr>
          </w:p>
        </w:tc>
      </w:tr>
      <w:tr w:rsidR="00633D97" w14:paraId="529DF31A" w14:textId="77777777" w:rsidTr="007D6BCA">
        <w:tc>
          <w:tcPr>
            <w:tcW w:w="5707" w:type="dxa"/>
            <w:shd w:val="clear" w:color="auto" w:fill="auto"/>
          </w:tcPr>
          <w:p w14:paraId="7EEEF9FE" w14:textId="09833726" w:rsidR="00633D97" w:rsidRPr="00987D59" w:rsidRDefault="00633D97" w:rsidP="0041382E">
            <w:pPr>
              <w:pStyle w:val="DHHSnumberdigit"/>
              <w:rPr>
                <w:rFonts w:cs="Arial"/>
              </w:rPr>
            </w:pPr>
            <w:r w:rsidRPr="00B628FF">
              <w:rPr>
                <w:rFonts w:cs="Arial"/>
              </w:rPr>
              <w:t>Increase early</w:t>
            </w:r>
            <w:r w:rsidR="006C2FD5">
              <w:rPr>
                <w:rFonts w:cs="Arial"/>
              </w:rPr>
              <w:t>-</w:t>
            </w:r>
            <w:r w:rsidRPr="00B628FF">
              <w:rPr>
                <w:rFonts w:cs="Arial"/>
              </w:rPr>
              <w:t>stage diagnosis</w:t>
            </w:r>
          </w:p>
        </w:tc>
        <w:tc>
          <w:tcPr>
            <w:tcW w:w="927" w:type="dxa"/>
            <w:shd w:val="clear" w:color="auto" w:fill="auto"/>
          </w:tcPr>
          <w:p w14:paraId="30F980FB" w14:textId="77777777" w:rsidR="00633D97" w:rsidRPr="0075603A" w:rsidRDefault="00633D97" w:rsidP="008F7F63">
            <w:pPr>
              <w:pStyle w:val="DHHStabletext"/>
              <w:jc w:val="center"/>
            </w:pPr>
          </w:p>
        </w:tc>
        <w:tc>
          <w:tcPr>
            <w:tcW w:w="970" w:type="dxa"/>
            <w:shd w:val="clear" w:color="auto" w:fill="E8B9A3"/>
          </w:tcPr>
          <w:p w14:paraId="6ED5F2D3" w14:textId="3FF62E64" w:rsidR="00633D97" w:rsidRPr="0075603A" w:rsidRDefault="00B628FF" w:rsidP="008F7F63">
            <w:pPr>
              <w:pStyle w:val="DHHStabletext"/>
              <w:jc w:val="center"/>
            </w:pPr>
            <w:r>
              <w:t>3</w:t>
            </w:r>
          </w:p>
        </w:tc>
        <w:tc>
          <w:tcPr>
            <w:tcW w:w="1002" w:type="dxa"/>
            <w:shd w:val="clear" w:color="auto" w:fill="auto"/>
          </w:tcPr>
          <w:p w14:paraId="20D17A19" w14:textId="77777777" w:rsidR="00633D97" w:rsidRPr="0075603A" w:rsidRDefault="00633D97" w:rsidP="008F7F63">
            <w:pPr>
              <w:pStyle w:val="DHHStabletext"/>
              <w:jc w:val="center"/>
            </w:pPr>
          </w:p>
        </w:tc>
        <w:tc>
          <w:tcPr>
            <w:tcW w:w="908" w:type="dxa"/>
            <w:shd w:val="clear" w:color="auto" w:fill="D9D9D9" w:themeFill="background1" w:themeFillShade="D9"/>
          </w:tcPr>
          <w:p w14:paraId="1F45C4DC" w14:textId="77777777" w:rsidR="00633D97" w:rsidRPr="0075603A" w:rsidRDefault="00633D97" w:rsidP="008F7F63">
            <w:pPr>
              <w:pStyle w:val="DHHStabletext"/>
              <w:jc w:val="center"/>
            </w:pPr>
            <w:r>
              <w:t>3</w:t>
            </w:r>
          </w:p>
        </w:tc>
      </w:tr>
      <w:tr w:rsidR="00633D97" w14:paraId="4D1021D4" w14:textId="77777777" w:rsidTr="006053E7">
        <w:tc>
          <w:tcPr>
            <w:tcW w:w="5707" w:type="dxa"/>
            <w:shd w:val="clear" w:color="auto" w:fill="auto"/>
          </w:tcPr>
          <w:p w14:paraId="10841BB8" w14:textId="77777777" w:rsidR="00633D97" w:rsidRPr="00897F42" w:rsidRDefault="00633D97" w:rsidP="0041382E">
            <w:pPr>
              <w:pStyle w:val="DHHSnumberdigit"/>
              <w:rPr>
                <w:rFonts w:cs="Arial"/>
              </w:rPr>
            </w:pPr>
            <w:r w:rsidRPr="00897F42">
              <w:rPr>
                <w:rFonts w:cs="Arial"/>
              </w:rPr>
              <w:t>Increase adherence to optimal care pathways</w:t>
            </w:r>
          </w:p>
        </w:tc>
        <w:tc>
          <w:tcPr>
            <w:tcW w:w="927" w:type="dxa"/>
            <w:shd w:val="clear" w:color="auto" w:fill="EDCDCF"/>
          </w:tcPr>
          <w:p w14:paraId="37280B34" w14:textId="692C36FD" w:rsidR="00633D97" w:rsidRPr="00897F42" w:rsidRDefault="00CF3E83" w:rsidP="008F7F63">
            <w:pPr>
              <w:pStyle w:val="DHHStabletext"/>
              <w:jc w:val="center"/>
            </w:pPr>
            <w:r w:rsidRPr="00897F42">
              <w:t>1</w:t>
            </w:r>
          </w:p>
        </w:tc>
        <w:tc>
          <w:tcPr>
            <w:tcW w:w="970" w:type="dxa"/>
            <w:shd w:val="clear" w:color="auto" w:fill="E8B9A3"/>
          </w:tcPr>
          <w:p w14:paraId="1642ADEC" w14:textId="47E96250" w:rsidR="00633D97" w:rsidRPr="00897F42" w:rsidRDefault="00897F42" w:rsidP="008F7F63">
            <w:pPr>
              <w:pStyle w:val="DHHStabletext"/>
              <w:jc w:val="center"/>
            </w:pPr>
            <w:r w:rsidRPr="00897F42">
              <w:t>8</w:t>
            </w:r>
          </w:p>
        </w:tc>
        <w:tc>
          <w:tcPr>
            <w:tcW w:w="1002" w:type="dxa"/>
            <w:shd w:val="clear" w:color="auto" w:fill="99CAB7"/>
          </w:tcPr>
          <w:p w14:paraId="1716FD05" w14:textId="457D1B66" w:rsidR="00633D97" w:rsidRPr="00897F42" w:rsidRDefault="0058583E" w:rsidP="008F7F63">
            <w:pPr>
              <w:pStyle w:val="DHHStabletext"/>
              <w:jc w:val="center"/>
            </w:pPr>
            <w:r w:rsidRPr="00897F42">
              <w:t>1</w:t>
            </w:r>
          </w:p>
        </w:tc>
        <w:tc>
          <w:tcPr>
            <w:tcW w:w="908" w:type="dxa"/>
            <w:shd w:val="clear" w:color="auto" w:fill="D9D9D9" w:themeFill="background1" w:themeFillShade="D9"/>
          </w:tcPr>
          <w:p w14:paraId="67F56AD3" w14:textId="2E307E2F" w:rsidR="00633D97" w:rsidRPr="00897F42" w:rsidRDefault="0044490C" w:rsidP="008F7F63">
            <w:pPr>
              <w:pStyle w:val="DHHStabletext"/>
              <w:jc w:val="center"/>
            </w:pPr>
            <w:r w:rsidRPr="00897F42">
              <w:t>4</w:t>
            </w:r>
          </w:p>
        </w:tc>
      </w:tr>
      <w:tr w:rsidR="00633D97" w14:paraId="298B4FDD" w14:textId="77777777" w:rsidTr="006053E7">
        <w:tc>
          <w:tcPr>
            <w:tcW w:w="5707" w:type="dxa"/>
            <w:shd w:val="clear" w:color="auto" w:fill="auto"/>
          </w:tcPr>
          <w:p w14:paraId="7EEEA18C" w14:textId="16C32CE0" w:rsidR="00633D97" w:rsidRPr="0023579D" w:rsidRDefault="00633D97" w:rsidP="0041382E">
            <w:pPr>
              <w:pStyle w:val="DHHSnumberdigit"/>
              <w:rPr>
                <w:rFonts w:cs="Arial"/>
              </w:rPr>
            </w:pPr>
            <w:r w:rsidRPr="0023579D">
              <w:rPr>
                <w:rFonts w:cs="Arial"/>
              </w:rPr>
              <w:t>Increase one-</w:t>
            </w:r>
            <w:r w:rsidR="006C2FD5">
              <w:rPr>
                <w:rFonts w:cs="Arial"/>
              </w:rPr>
              <w:t xml:space="preserve"> </w:t>
            </w:r>
            <w:r w:rsidRPr="0023579D">
              <w:rPr>
                <w:rFonts w:cs="Arial"/>
              </w:rPr>
              <w:t>and five-year survival</w:t>
            </w:r>
          </w:p>
        </w:tc>
        <w:tc>
          <w:tcPr>
            <w:tcW w:w="927" w:type="dxa"/>
            <w:shd w:val="clear" w:color="auto" w:fill="EDCDCF"/>
          </w:tcPr>
          <w:p w14:paraId="23B86867" w14:textId="1DAE84DA" w:rsidR="00633D97" w:rsidRPr="0075603A" w:rsidRDefault="00AB1639" w:rsidP="008F7F63">
            <w:pPr>
              <w:pStyle w:val="DHHStabletext"/>
              <w:jc w:val="center"/>
            </w:pPr>
            <w:r>
              <w:t>1</w:t>
            </w:r>
          </w:p>
        </w:tc>
        <w:tc>
          <w:tcPr>
            <w:tcW w:w="970" w:type="dxa"/>
            <w:shd w:val="clear" w:color="auto" w:fill="E8B9A3"/>
          </w:tcPr>
          <w:p w14:paraId="748A0AA9" w14:textId="58403FF5" w:rsidR="00633D97" w:rsidRPr="0075603A" w:rsidRDefault="0023579D" w:rsidP="008F7F63">
            <w:pPr>
              <w:pStyle w:val="DHHStabletext"/>
              <w:jc w:val="center"/>
            </w:pPr>
            <w:r>
              <w:t>1</w:t>
            </w:r>
            <w:r w:rsidR="00AB1639">
              <w:t>3</w:t>
            </w:r>
          </w:p>
        </w:tc>
        <w:tc>
          <w:tcPr>
            <w:tcW w:w="1002" w:type="dxa"/>
            <w:shd w:val="clear" w:color="auto" w:fill="99CAB7"/>
          </w:tcPr>
          <w:p w14:paraId="6EC7EE07" w14:textId="12718C69" w:rsidR="00633D97" w:rsidRPr="0075603A" w:rsidRDefault="00AB1639" w:rsidP="008F7F63">
            <w:pPr>
              <w:pStyle w:val="DHHStabletext"/>
              <w:jc w:val="center"/>
            </w:pPr>
            <w:r>
              <w:t>2</w:t>
            </w:r>
          </w:p>
        </w:tc>
        <w:tc>
          <w:tcPr>
            <w:tcW w:w="908" w:type="dxa"/>
            <w:shd w:val="clear" w:color="auto" w:fill="D9D9D9" w:themeFill="background1" w:themeFillShade="D9"/>
          </w:tcPr>
          <w:p w14:paraId="07036D78" w14:textId="652F16DB" w:rsidR="00633D97" w:rsidRPr="0075603A" w:rsidRDefault="00944A25" w:rsidP="008F7F63">
            <w:pPr>
              <w:pStyle w:val="DHHStabletext"/>
              <w:jc w:val="center"/>
            </w:pPr>
            <w:r>
              <w:t>2</w:t>
            </w:r>
          </w:p>
        </w:tc>
      </w:tr>
      <w:tr w:rsidR="00633D97" w14:paraId="112345D3" w14:textId="77777777" w:rsidTr="0047729C">
        <w:tc>
          <w:tcPr>
            <w:tcW w:w="5707" w:type="dxa"/>
            <w:shd w:val="clear" w:color="auto" w:fill="auto"/>
          </w:tcPr>
          <w:p w14:paraId="26F8F063" w14:textId="7BAE1466" w:rsidR="00633D97" w:rsidRPr="00DD03C7" w:rsidRDefault="00633D97" w:rsidP="00DD03C7">
            <w:pPr>
              <w:pStyle w:val="DHHSnumberdigit"/>
              <w:numPr>
                <w:ilvl w:val="0"/>
                <w:numId w:val="63"/>
              </w:numPr>
              <w:rPr>
                <w:rFonts w:cs="Arial"/>
              </w:rPr>
            </w:pPr>
            <w:r w:rsidRPr="00DD03C7">
              <w:rPr>
                <w:rFonts w:cs="Arial"/>
              </w:rPr>
              <w:t>Improve patient experience of health</w:t>
            </w:r>
            <w:r w:rsidR="006C2FD5" w:rsidRPr="00DD03C7">
              <w:rPr>
                <w:rFonts w:cs="Arial"/>
              </w:rPr>
              <w:t xml:space="preserve"> </w:t>
            </w:r>
            <w:r w:rsidRPr="00DD03C7">
              <w:rPr>
                <w:rFonts w:cs="Arial"/>
              </w:rPr>
              <w:t>care</w:t>
            </w:r>
          </w:p>
        </w:tc>
        <w:tc>
          <w:tcPr>
            <w:tcW w:w="927" w:type="dxa"/>
            <w:shd w:val="clear" w:color="auto" w:fill="auto"/>
          </w:tcPr>
          <w:p w14:paraId="372ADEDE" w14:textId="77777777" w:rsidR="00633D97" w:rsidRPr="0075603A" w:rsidRDefault="00633D97" w:rsidP="008F7F63">
            <w:pPr>
              <w:pStyle w:val="DHHStabletext"/>
              <w:jc w:val="center"/>
            </w:pPr>
          </w:p>
        </w:tc>
        <w:tc>
          <w:tcPr>
            <w:tcW w:w="970" w:type="dxa"/>
            <w:shd w:val="clear" w:color="auto" w:fill="auto"/>
          </w:tcPr>
          <w:p w14:paraId="02B4C521" w14:textId="185523DA" w:rsidR="00633D97" w:rsidRPr="0075603A" w:rsidRDefault="00633D97" w:rsidP="00D1408B">
            <w:pPr>
              <w:pStyle w:val="DHHStabletext"/>
              <w:jc w:val="center"/>
            </w:pPr>
          </w:p>
        </w:tc>
        <w:tc>
          <w:tcPr>
            <w:tcW w:w="1002" w:type="dxa"/>
            <w:shd w:val="clear" w:color="auto" w:fill="99CAB7"/>
          </w:tcPr>
          <w:p w14:paraId="6BFB2FF1" w14:textId="5EF7595B" w:rsidR="00D1408B" w:rsidRPr="0075603A" w:rsidRDefault="0047729C" w:rsidP="00D1408B">
            <w:pPr>
              <w:pStyle w:val="DHHStabletext"/>
              <w:jc w:val="center"/>
            </w:pPr>
            <w:r>
              <w:t>1</w:t>
            </w:r>
          </w:p>
        </w:tc>
        <w:tc>
          <w:tcPr>
            <w:tcW w:w="908" w:type="dxa"/>
            <w:shd w:val="clear" w:color="auto" w:fill="D9D9D9" w:themeFill="background1" w:themeFillShade="D9"/>
          </w:tcPr>
          <w:p w14:paraId="1E6B3029" w14:textId="33AFDE4F" w:rsidR="00633D97" w:rsidRPr="0075603A" w:rsidRDefault="004A4B89" w:rsidP="00D1408B">
            <w:pPr>
              <w:pStyle w:val="DHHStabletext"/>
              <w:jc w:val="center"/>
            </w:pPr>
            <w:r>
              <w:t>5</w:t>
            </w:r>
          </w:p>
        </w:tc>
      </w:tr>
      <w:tr w:rsidR="00633D97" w14:paraId="77ABC445" w14:textId="77777777" w:rsidTr="007D6BCA">
        <w:trPr>
          <w:trHeight w:val="394"/>
        </w:trPr>
        <w:tc>
          <w:tcPr>
            <w:tcW w:w="5707" w:type="dxa"/>
            <w:tcBorders>
              <w:bottom w:val="single" w:sz="4" w:space="0" w:color="AF272F"/>
            </w:tcBorders>
            <w:shd w:val="clear" w:color="auto" w:fill="auto"/>
          </w:tcPr>
          <w:p w14:paraId="113A7A95" w14:textId="77777777" w:rsidR="00633D97" w:rsidRPr="00987D59" w:rsidRDefault="00633D97" w:rsidP="0041382E">
            <w:pPr>
              <w:pStyle w:val="DHHSnumberdigit"/>
              <w:rPr>
                <w:rFonts w:cs="Arial"/>
              </w:rPr>
            </w:pPr>
            <w:r w:rsidRPr="00987D59">
              <w:rPr>
                <w:rFonts w:cs="Arial"/>
              </w:rPr>
              <w:t>Improve patient experience of screening</w:t>
            </w:r>
          </w:p>
        </w:tc>
        <w:tc>
          <w:tcPr>
            <w:tcW w:w="927" w:type="dxa"/>
            <w:tcBorders>
              <w:bottom w:val="single" w:sz="4" w:space="0" w:color="AF272F"/>
            </w:tcBorders>
            <w:shd w:val="clear" w:color="auto" w:fill="auto"/>
          </w:tcPr>
          <w:p w14:paraId="0B7D722F" w14:textId="77777777" w:rsidR="00633D97" w:rsidRPr="0075603A" w:rsidRDefault="00633D97" w:rsidP="008F7F63">
            <w:pPr>
              <w:pStyle w:val="DHHStabletext"/>
              <w:jc w:val="center"/>
            </w:pPr>
          </w:p>
        </w:tc>
        <w:tc>
          <w:tcPr>
            <w:tcW w:w="970" w:type="dxa"/>
            <w:tcBorders>
              <w:bottom w:val="single" w:sz="4" w:space="0" w:color="AF272F"/>
            </w:tcBorders>
            <w:shd w:val="clear" w:color="auto" w:fill="E8B9A3"/>
          </w:tcPr>
          <w:p w14:paraId="6692368F" w14:textId="0E3C4A04" w:rsidR="00633D97" w:rsidRPr="0075603A" w:rsidRDefault="0047729C" w:rsidP="008F7F63">
            <w:pPr>
              <w:pStyle w:val="DHHStabletext"/>
              <w:jc w:val="center"/>
            </w:pPr>
            <w:r>
              <w:t>3</w:t>
            </w:r>
          </w:p>
        </w:tc>
        <w:tc>
          <w:tcPr>
            <w:tcW w:w="1002" w:type="dxa"/>
            <w:tcBorders>
              <w:bottom w:val="single" w:sz="4" w:space="0" w:color="AF272F"/>
            </w:tcBorders>
            <w:shd w:val="clear" w:color="auto" w:fill="99CAB7"/>
          </w:tcPr>
          <w:p w14:paraId="124402B7" w14:textId="50C6354B" w:rsidR="00633D97" w:rsidRPr="0075603A" w:rsidRDefault="0047729C" w:rsidP="008F7F63">
            <w:pPr>
              <w:pStyle w:val="DHHStabletext"/>
              <w:jc w:val="center"/>
            </w:pPr>
            <w:r>
              <w:t>1</w:t>
            </w:r>
          </w:p>
        </w:tc>
        <w:tc>
          <w:tcPr>
            <w:tcW w:w="908" w:type="dxa"/>
            <w:tcBorders>
              <w:bottom w:val="single" w:sz="4" w:space="0" w:color="AF272F"/>
            </w:tcBorders>
          </w:tcPr>
          <w:p w14:paraId="5628D622" w14:textId="77777777" w:rsidR="00633D97" w:rsidRPr="0075603A" w:rsidRDefault="00633D97" w:rsidP="008F7F63">
            <w:pPr>
              <w:pStyle w:val="DHHStabletext"/>
              <w:jc w:val="center"/>
            </w:pPr>
          </w:p>
        </w:tc>
      </w:tr>
      <w:tr w:rsidR="00633D97" w14:paraId="572EE52A" w14:textId="77777777" w:rsidTr="007D6BCA">
        <w:trPr>
          <w:trHeight w:val="394"/>
        </w:trPr>
        <w:tc>
          <w:tcPr>
            <w:tcW w:w="5707" w:type="dxa"/>
            <w:tcBorders>
              <w:top w:val="single" w:sz="4" w:space="0" w:color="AF272F"/>
              <w:bottom w:val="single" w:sz="4" w:space="0" w:color="AF272F"/>
            </w:tcBorders>
            <w:shd w:val="clear" w:color="auto" w:fill="auto"/>
          </w:tcPr>
          <w:p w14:paraId="139576D1" w14:textId="77777777" w:rsidR="00633D97" w:rsidRPr="009C05EB" w:rsidRDefault="00633D97" w:rsidP="0041382E">
            <w:pPr>
              <w:pStyle w:val="DHHSnumberdigit"/>
              <w:rPr>
                <w:rFonts w:cs="Arial"/>
              </w:rPr>
            </w:pPr>
            <w:r w:rsidRPr="009C05EB">
              <w:rPr>
                <w:rFonts w:cs="Arial"/>
              </w:rPr>
              <w:t>Innovations and improved evidence of best practice</w:t>
            </w:r>
          </w:p>
        </w:tc>
        <w:tc>
          <w:tcPr>
            <w:tcW w:w="927" w:type="dxa"/>
            <w:tcBorders>
              <w:top w:val="single" w:sz="4" w:space="0" w:color="AF272F"/>
              <w:bottom w:val="single" w:sz="4" w:space="0" w:color="AF272F"/>
            </w:tcBorders>
            <w:shd w:val="clear" w:color="auto" w:fill="auto"/>
          </w:tcPr>
          <w:p w14:paraId="67FBEB31" w14:textId="77777777" w:rsidR="00633D97" w:rsidRPr="0075603A" w:rsidRDefault="00633D97" w:rsidP="008F7F63">
            <w:pPr>
              <w:pStyle w:val="DHHStabletext"/>
              <w:jc w:val="center"/>
            </w:pPr>
          </w:p>
        </w:tc>
        <w:tc>
          <w:tcPr>
            <w:tcW w:w="970" w:type="dxa"/>
            <w:tcBorders>
              <w:top w:val="single" w:sz="4" w:space="0" w:color="AF272F"/>
              <w:bottom w:val="single" w:sz="4" w:space="0" w:color="AF272F"/>
            </w:tcBorders>
            <w:shd w:val="clear" w:color="auto" w:fill="E8B9A3"/>
          </w:tcPr>
          <w:p w14:paraId="467AAAA4" w14:textId="5F80EBA6" w:rsidR="00633D97" w:rsidRPr="0075603A" w:rsidRDefault="00B65E1C" w:rsidP="008F7F63">
            <w:pPr>
              <w:pStyle w:val="DHHStabletext"/>
              <w:jc w:val="center"/>
            </w:pPr>
            <w:r>
              <w:t>2</w:t>
            </w:r>
          </w:p>
        </w:tc>
        <w:tc>
          <w:tcPr>
            <w:tcW w:w="1002" w:type="dxa"/>
            <w:tcBorders>
              <w:top w:val="single" w:sz="4" w:space="0" w:color="AF272F"/>
              <w:bottom w:val="single" w:sz="4" w:space="0" w:color="AF272F"/>
            </w:tcBorders>
            <w:shd w:val="clear" w:color="auto" w:fill="99CAB7"/>
          </w:tcPr>
          <w:p w14:paraId="6AF1285F" w14:textId="1A472523" w:rsidR="00633D97" w:rsidRPr="0075603A" w:rsidRDefault="00B65E1C" w:rsidP="008F7F63">
            <w:pPr>
              <w:pStyle w:val="DHHStabletext"/>
              <w:jc w:val="center"/>
            </w:pPr>
            <w:r>
              <w:t>1</w:t>
            </w:r>
          </w:p>
        </w:tc>
        <w:tc>
          <w:tcPr>
            <w:tcW w:w="908" w:type="dxa"/>
            <w:tcBorders>
              <w:top w:val="single" w:sz="4" w:space="0" w:color="AF272F"/>
              <w:bottom w:val="single" w:sz="4" w:space="0" w:color="AF272F"/>
            </w:tcBorders>
            <w:shd w:val="clear" w:color="auto" w:fill="D9D9D9" w:themeFill="background1" w:themeFillShade="D9"/>
          </w:tcPr>
          <w:p w14:paraId="40A6B9B3" w14:textId="5AEA5098" w:rsidR="00633D97" w:rsidRDefault="005D506C" w:rsidP="008F7F63">
            <w:pPr>
              <w:pStyle w:val="DHHStabletext"/>
              <w:jc w:val="center"/>
            </w:pPr>
            <w:r>
              <w:t>1</w:t>
            </w:r>
          </w:p>
        </w:tc>
      </w:tr>
    </w:tbl>
    <w:p w14:paraId="3D1A4DA1" w14:textId="77777777" w:rsidR="00DE68BE" w:rsidRDefault="00DE68BE" w:rsidP="0022724E">
      <w:pPr>
        <w:pStyle w:val="DHHSbody"/>
        <w:sectPr w:rsidR="00DE68BE" w:rsidSect="00656B77">
          <w:headerReference w:type="even" r:id="rId23"/>
          <w:headerReference w:type="default" r:id="rId24"/>
          <w:footerReference w:type="even" r:id="rId25"/>
          <w:footerReference w:type="default" r:id="rId26"/>
          <w:headerReference w:type="first" r:id="rId27"/>
          <w:footerReference w:type="first" r:id="rId28"/>
          <w:pgSz w:w="11906" w:h="16838"/>
          <w:pgMar w:top="1701" w:right="1304" w:bottom="1134" w:left="1304" w:header="454" w:footer="510" w:gutter="0"/>
          <w:cols w:space="720"/>
          <w:docGrid w:linePitch="360"/>
        </w:sectPr>
      </w:pPr>
    </w:p>
    <w:p w14:paraId="3520FD5E" w14:textId="1ADC35FB" w:rsidR="00DE68BE" w:rsidRPr="005F0940" w:rsidRDefault="00DE68BE" w:rsidP="007D6BCA">
      <w:pPr>
        <w:pStyle w:val="Heading1"/>
      </w:pPr>
      <w:bookmarkStart w:id="27" w:name="_Toc473816582"/>
      <w:bookmarkStart w:id="28" w:name="_Toc19007972"/>
      <w:bookmarkStart w:id="29" w:name="_Toc33457062"/>
      <w:r w:rsidRPr="005F0940">
        <w:lastRenderedPageBreak/>
        <w:t xml:space="preserve">Baseline </w:t>
      </w:r>
      <w:r w:rsidR="00EE72E9">
        <w:t>r</w:t>
      </w:r>
      <w:r w:rsidRPr="005F0940">
        <w:t xml:space="preserve">eport: </w:t>
      </w:r>
      <w:r w:rsidR="00A14570">
        <w:t>s</w:t>
      </w:r>
      <w:r w:rsidRPr="005F0940">
        <w:t>ummary of results</w:t>
      </w:r>
      <w:bookmarkEnd w:id="27"/>
      <w:bookmarkEnd w:id="28"/>
      <w:bookmarkEnd w:id="29"/>
    </w:p>
    <w:p w14:paraId="4DA4DDDB" w14:textId="7839E2FE" w:rsidR="00DE68BE" w:rsidRPr="00A057BA" w:rsidRDefault="00DE68BE" w:rsidP="00DE68BE">
      <w:pPr>
        <w:pStyle w:val="DHHSbody"/>
      </w:pPr>
      <w:r>
        <w:t>This section provides a summary r</w:t>
      </w:r>
      <w:r w:rsidR="00037B79">
        <w:t xml:space="preserve">esult on each measure from the </w:t>
      </w:r>
      <w:r w:rsidR="00037B79" w:rsidRPr="00037B79">
        <w:rPr>
          <w:i/>
        </w:rPr>
        <w:t xml:space="preserve">Victorian cancer plan monitoring and evaluation </w:t>
      </w:r>
      <w:r w:rsidRPr="00037B79">
        <w:rPr>
          <w:i/>
        </w:rPr>
        <w:t>outcomes framework</w:t>
      </w:r>
      <w:r>
        <w:t>. The table below presents result</w:t>
      </w:r>
      <w:r w:rsidR="0059054D">
        <w:t>s for the baseline</w:t>
      </w:r>
      <w:r w:rsidR="00D16618">
        <w:t xml:space="preserve"> and most recent</w:t>
      </w:r>
      <w:r w:rsidR="0059054D">
        <w:t xml:space="preserve"> </w:t>
      </w:r>
      <w:r w:rsidR="00D16618">
        <w:t>years</w:t>
      </w:r>
      <w:r w:rsidR="0059054D">
        <w:t xml:space="preserve"> </w:t>
      </w:r>
      <w:r>
        <w:t>and an assessment of the trend for each measure.</w:t>
      </w:r>
      <w:r w:rsidR="00952FC7">
        <w:t xml:space="preserve"> </w:t>
      </w:r>
      <w:r w:rsidR="001E2CFE" w:rsidRPr="00A057BA">
        <w:t xml:space="preserve">Note that the </w:t>
      </w:r>
      <w:r w:rsidR="001F63F2" w:rsidRPr="00A057BA">
        <w:t>seven outcomes b</w:t>
      </w:r>
      <w:r w:rsidR="00A057BA">
        <w:t xml:space="preserve">roadly </w:t>
      </w:r>
      <w:r w:rsidR="00F31E8E">
        <w:t>align</w:t>
      </w:r>
      <w:r w:rsidR="00A057BA">
        <w:t xml:space="preserve"> with the five </w:t>
      </w:r>
      <w:r w:rsidR="00CC52BE">
        <w:t>Victorian cancer plan 2016</w:t>
      </w:r>
      <w:r w:rsidR="00690CD3">
        <w:t>–</w:t>
      </w:r>
      <w:r w:rsidR="00CC52BE">
        <w:t xml:space="preserve">2020 </w:t>
      </w:r>
      <w:r w:rsidR="00A057BA">
        <w:t>action areas</w:t>
      </w:r>
      <w:r w:rsidR="00E2632C">
        <w:t xml:space="preserve"> (page 8 </w:t>
      </w:r>
      <w:r w:rsidR="00E2632C" w:rsidRPr="00E2632C">
        <w:rPr>
          <w:i/>
        </w:rPr>
        <w:t>of Victorian cancer plan monitoring and evaluation framework: report</w:t>
      </w:r>
      <w:r w:rsidR="00E2632C">
        <w:t xml:space="preserve"> – 2018)</w:t>
      </w:r>
      <w:r w:rsidR="00CC52BE">
        <w:t>.</w:t>
      </w:r>
    </w:p>
    <w:p w14:paraId="56199769" w14:textId="30584FBF" w:rsidR="00DE68BE" w:rsidRDefault="00DE68BE" w:rsidP="00DE68BE">
      <w:pPr>
        <w:pStyle w:val="DHHSbody"/>
      </w:pPr>
      <w:r>
        <w:rPr>
          <w:b/>
        </w:rPr>
        <w:t>K</w:t>
      </w:r>
      <w:r w:rsidR="00A14570">
        <w:rPr>
          <w:b/>
        </w:rPr>
        <w:t>ey</w:t>
      </w:r>
      <w:r>
        <w:t>: Where results are unavailable, the measure has been categorised to indicate the scope of work required to produce a result for the next report</w:t>
      </w:r>
      <w:r w:rsidR="00096213">
        <w:t>.</w:t>
      </w:r>
      <w:r w:rsidR="00952FC7">
        <w:t xml:space="preserve"> </w:t>
      </w:r>
      <w:r w:rsidR="00D81F09">
        <w:t>M</w:t>
      </w:r>
      <w:r w:rsidR="00096213">
        <w:t xml:space="preserve">ore information </w:t>
      </w:r>
      <w:r w:rsidR="00D81F09">
        <w:t>is set out in Appendix 1.</w:t>
      </w:r>
      <w:r>
        <w:t xml:space="preserve"> </w:t>
      </w:r>
    </w:p>
    <w:tbl>
      <w:tblPr>
        <w:tblStyle w:val="TableGrid"/>
        <w:tblW w:w="14611" w:type="dxa"/>
        <w:tblInd w:w="-5"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ook w:val="04A0" w:firstRow="1" w:lastRow="0" w:firstColumn="1" w:lastColumn="0" w:noHBand="0" w:noVBand="1"/>
      </w:tblPr>
      <w:tblGrid>
        <w:gridCol w:w="2273"/>
        <w:gridCol w:w="12338"/>
      </w:tblGrid>
      <w:tr w:rsidR="006053E7" w:rsidRPr="000A3E57" w14:paraId="3FB76D93" w14:textId="77777777" w:rsidTr="00505127">
        <w:trPr>
          <w:trHeight w:val="421"/>
          <w:tblHeader/>
        </w:trPr>
        <w:tc>
          <w:tcPr>
            <w:tcW w:w="2273" w:type="dxa"/>
          </w:tcPr>
          <w:p w14:paraId="45C70BF3" w14:textId="7E7F2C99" w:rsidR="006053E7" w:rsidRPr="006053E7" w:rsidRDefault="006053E7" w:rsidP="006053E7">
            <w:pPr>
              <w:pStyle w:val="DHHStablecolhead"/>
              <w:rPr>
                <w:color w:val="D50032"/>
              </w:rPr>
            </w:pPr>
            <w:r w:rsidRPr="006053E7">
              <w:rPr>
                <w:color w:val="D50032"/>
              </w:rPr>
              <w:t>Key</w:t>
            </w:r>
          </w:p>
        </w:tc>
        <w:tc>
          <w:tcPr>
            <w:tcW w:w="12338" w:type="dxa"/>
          </w:tcPr>
          <w:p w14:paraId="0022522E" w14:textId="4006F62C" w:rsidR="006053E7" w:rsidRPr="002A1B3F" w:rsidRDefault="006053E7" w:rsidP="006053E7">
            <w:pPr>
              <w:pStyle w:val="DHHStablecolhead"/>
            </w:pPr>
            <w:r>
              <w:t>Description</w:t>
            </w:r>
          </w:p>
        </w:tc>
      </w:tr>
      <w:tr w:rsidR="00DE68BE" w:rsidRPr="000A3E57" w14:paraId="693FA025" w14:textId="77777777" w:rsidTr="00505127">
        <w:trPr>
          <w:trHeight w:val="421"/>
        </w:trPr>
        <w:tc>
          <w:tcPr>
            <w:tcW w:w="2273" w:type="dxa"/>
          </w:tcPr>
          <w:p w14:paraId="2ED27DB9" w14:textId="77777777" w:rsidR="00DE68BE" w:rsidRPr="00297CEA" w:rsidRDefault="00B35502" w:rsidP="00DE68BE">
            <w:pPr>
              <w:pStyle w:val="DHHSbody"/>
              <w:rPr>
                <w:b/>
                <w:color w:val="00B0F0"/>
              </w:rPr>
            </w:pPr>
            <w:r w:rsidRPr="006053E7">
              <w:rPr>
                <w:b/>
                <w:color w:val="004EA8"/>
              </w:rPr>
              <w:t>Measure not defined</w:t>
            </w:r>
          </w:p>
        </w:tc>
        <w:tc>
          <w:tcPr>
            <w:tcW w:w="12338" w:type="dxa"/>
          </w:tcPr>
          <w:p w14:paraId="5C2DEF3B" w14:textId="4509CF16" w:rsidR="00DE68BE" w:rsidRPr="002A1B3F" w:rsidRDefault="00DE68BE" w:rsidP="006053E7">
            <w:pPr>
              <w:pStyle w:val="DHHStabletext"/>
            </w:pPr>
            <w:r w:rsidRPr="002A1B3F">
              <w:t>These measures are currently under development</w:t>
            </w:r>
            <w:r w:rsidR="006C2FD5">
              <w:t>,</w:t>
            </w:r>
            <w:r w:rsidRPr="002A1B3F">
              <w:t xml:space="preserve"> with final development</w:t>
            </w:r>
            <w:r w:rsidR="006C2FD5">
              <w:t xml:space="preserve"> and</w:t>
            </w:r>
            <w:r w:rsidRPr="002A1B3F">
              <w:t xml:space="preserve"> sign</w:t>
            </w:r>
            <w:r w:rsidR="006C2FD5">
              <w:t>-</w:t>
            </w:r>
            <w:r w:rsidRPr="002A1B3F">
              <w:t xml:space="preserve">off </w:t>
            </w:r>
            <w:r w:rsidR="00FB7B1F">
              <w:t>unlikely</w:t>
            </w:r>
            <w:r w:rsidRPr="002A1B3F">
              <w:t xml:space="preserve"> at the time of publication</w:t>
            </w:r>
            <w:r>
              <w:t>.</w:t>
            </w:r>
          </w:p>
        </w:tc>
      </w:tr>
      <w:tr w:rsidR="00A463C9" w:rsidRPr="000A3E57" w14:paraId="1C580C66" w14:textId="77777777" w:rsidTr="00505127">
        <w:trPr>
          <w:trHeight w:val="538"/>
        </w:trPr>
        <w:tc>
          <w:tcPr>
            <w:tcW w:w="2273" w:type="dxa"/>
            <w:tcBorders>
              <w:bottom w:val="single" w:sz="4" w:space="0" w:color="AF272F"/>
            </w:tcBorders>
          </w:tcPr>
          <w:p w14:paraId="48EF92FE" w14:textId="77777777" w:rsidR="00A463C9" w:rsidRPr="003A6D14" w:rsidRDefault="00A463C9" w:rsidP="00DE68BE">
            <w:pPr>
              <w:pStyle w:val="DHHSbody"/>
              <w:rPr>
                <w:b/>
                <w:color w:val="7030A0"/>
              </w:rPr>
            </w:pPr>
            <w:r w:rsidRPr="006053E7">
              <w:rPr>
                <w:b/>
                <w:color w:val="87189D"/>
              </w:rPr>
              <w:t>No data available</w:t>
            </w:r>
          </w:p>
        </w:tc>
        <w:tc>
          <w:tcPr>
            <w:tcW w:w="12338" w:type="dxa"/>
            <w:tcBorders>
              <w:bottom w:val="single" w:sz="4" w:space="0" w:color="AF272F"/>
            </w:tcBorders>
          </w:tcPr>
          <w:p w14:paraId="29E6F52A" w14:textId="0BBEC355" w:rsidR="00A463C9" w:rsidRPr="005F2686" w:rsidRDefault="003A6D14" w:rsidP="006053E7">
            <w:pPr>
              <w:pStyle w:val="DHHStabletext"/>
            </w:pPr>
            <w:r w:rsidRPr="005F2686">
              <w:t>No data w</w:t>
            </w:r>
            <w:r w:rsidR="006C2FD5">
              <w:t>as</w:t>
            </w:r>
            <w:r w:rsidRPr="005F2686">
              <w:t xml:space="preserve"> available to report against</w:t>
            </w:r>
            <w:r w:rsidR="004409EB">
              <w:t xml:space="preserve"> at the time of publication.</w:t>
            </w:r>
          </w:p>
        </w:tc>
      </w:tr>
      <w:tr w:rsidR="00DE68BE" w:rsidRPr="000A3E57" w14:paraId="69050CB0" w14:textId="77777777" w:rsidTr="00505127">
        <w:trPr>
          <w:trHeight w:val="696"/>
        </w:trPr>
        <w:tc>
          <w:tcPr>
            <w:tcW w:w="2273" w:type="dxa"/>
            <w:tcBorders>
              <w:top w:val="single" w:sz="4" w:space="0" w:color="AF272F"/>
              <w:bottom w:val="single" w:sz="4" w:space="0" w:color="AF272F"/>
            </w:tcBorders>
          </w:tcPr>
          <w:p w14:paraId="78E06B1C" w14:textId="77777777" w:rsidR="00DE68BE" w:rsidRPr="00694104" w:rsidRDefault="00DE68BE" w:rsidP="00DE68BE">
            <w:pPr>
              <w:pStyle w:val="DHHSbody"/>
              <w:rPr>
                <w:b/>
              </w:rPr>
            </w:pPr>
            <w:r w:rsidRPr="00F768B7">
              <w:rPr>
                <w:b/>
                <w:color w:val="6A230E" w:themeColor="accent3" w:themeShade="80"/>
              </w:rPr>
              <w:t>Status to be determined</w:t>
            </w:r>
          </w:p>
        </w:tc>
        <w:tc>
          <w:tcPr>
            <w:tcW w:w="12338" w:type="dxa"/>
            <w:tcBorders>
              <w:top w:val="single" w:sz="4" w:space="0" w:color="AF272F"/>
              <w:bottom w:val="single" w:sz="4" w:space="0" w:color="AF272F"/>
            </w:tcBorders>
          </w:tcPr>
          <w:p w14:paraId="547A0B01" w14:textId="626061FD" w:rsidR="00DE68BE" w:rsidRPr="002A1B3F" w:rsidRDefault="00DE68BE" w:rsidP="006053E7">
            <w:pPr>
              <w:pStyle w:val="DHHStabletext"/>
            </w:pPr>
            <w:r w:rsidRPr="002A1B3F">
              <w:t>Work is underway to engage the relevant experts to determin</w:t>
            </w:r>
            <w:r w:rsidR="00E375F1">
              <w:t xml:space="preserve">e </w:t>
            </w:r>
            <w:r w:rsidRPr="002A1B3F">
              <w:t>how much work is required</w:t>
            </w:r>
            <w:r w:rsidR="00EF3EC9">
              <w:t xml:space="preserve">. </w:t>
            </w:r>
          </w:p>
        </w:tc>
      </w:tr>
    </w:tbl>
    <w:tbl>
      <w:tblPr>
        <w:tblStyle w:val="TableGrid"/>
        <w:tblpPr w:leftFromText="180" w:rightFromText="180" w:vertAnchor="text" w:horzAnchor="margin" w:tblpY="181"/>
        <w:tblW w:w="14601" w:type="dxa"/>
        <w:tblInd w:w="0"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ook w:val="04A0" w:firstRow="1" w:lastRow="0" w:firstColumn="1" w:lastColumn="0" w:noHBand="0" w:noVBand="1"/>
      </w:tblPr>
      <w:tblGrid>
        <w:gridCol w:w="2268"/>
        <w:gridCol w:w="12333"/>
      </w:tblGrid>
      <w:tr w:rsidR="00F43BC8" w:rsidRPr="002A1B3F" w14:paraId="642B3C1D" w14:textId="77777777" w:rsidTr="00505127">
        <w:trPr>
          <w:tblHeader/>
        </w:trPr>
        <w:tc>
          <w:tcPr>
            <w:tcW w:w="2268" w:type="dxa"/>
          </w:tcPr>
          <w:p w14:paraId="01C4A84A" w14:textId="77777777" w:rsidR="00F43BC8" w:rsidRPr="00694104" w:rsidRDefault="00F43BC8" w:rsidP="006053E7">
            <w:pPr>
              <w:pStyle w:val="DHHStablecolhead"/>
              <w:rPr>
                <w:color w:val="FF0000"/>
              </w:rPr>
            </w:pPr>
            <w:r w:rsidRPr="00694104">
              <w:t>Trend</w:t>
            </w:r>
          </w:p>
        </w:tc>
        <w:tc>
          <w:tcPr>
            <w:tcW w:w="12333" w:type="dxa"/>
          </w:tcPr>
          <w:p w14:paraId="7078C505" w14:textId="63BBD01C" w:rsidR="00F43BC8" w:rsidRPr="002A1B3F" w:rsidRDefault="006053E7" w:rsidP="006053E7">
            <w:pPr>
              <w:pStyle w:val="DHHStablecolhead"/>
            </w:pPr>
            <w:r>
              <w:t>Description</w:t>
            </w:r>
          </w:p>
        </w:tc>
      </w:tr>
      <w:tr w:rsidR="00F43BC8" w:rsidRPr="00C553CE" w14:paraId="39FCB673" w14:textId="77777777" w:rsidTr="00505127">
        <w:tc>
          <w:tcPr>
            <w:tcW w:w="2268" w:type="dxa"/>
          </w:tcPr>
          <w:p w14:paraId="69AE19A5" w14:textId="77777777" w:rsidR="00F43BC8" w:rsidRPr="00694104" w:rsidRDefault="00F43BC8" w:rsidP="006053E7">
            <w:pPr>
              <w:pStyle w:val="DHHStabletext"/>
            </w:pPr>
            <w:r>
              <w:t>▲</w:t>
            </w:r>
          </w:p>
        </w:tc>
        <w:tc>
          <w:tcPr>
            <w:tcW w:w="12333" w:type="dxa"/>
          </w:tcPr>
          <w:p w14:paraId="571ACB79" w14:textId="5303609C" w:rsidR="00F43BC8" w:rsidRPr="00694104" w:rsidRDefault="00F43BC8" w:rsidP="006053E7">
            <w:pPr>
              <w:pStyle w:val="DHHStabletext"/>
            </w:pPr>
            <w:r w:rsidRPr="00694104">
              <w:t xml:space="preserve">Upward trend – there has been an increase in the value of the measure by more than three per cent between the </w:t>
            </w:r>
            <w:r w:rsidR="003F7F80">
              <w:t>baseline year and the</w:t>
            </w:r>
            <w:r w:rsidRPr="00694104">
              <w:t xml:space="preserve"> most recent available data points</w:t>
            </w:r>
          </w:p>
        </w:tc>
      </w:tr>
      <w:tr w:rsidR="00F43BC8" w:rsidRPr="00C553CE" w14:paraId="30E615D3" w14:textId="77777777" w:rsidTr="00505127">
        <w:tc>
          <w:tcPr>
            <w:tcW w:w="2268" w:type="dxa"/>
          </w:tcPr>
          <w:p w14:paraId="2EF03D49" w14:textId="77777777" w:rsidR="00F43BC8" w:rsidRPr="00694104" w:rsidRDefault="00F43BC8" w:rsidP="006053E7">
            <w:pPr>
              <w:pStyle w:val="DHHStabletext"/>
            </w:pPr>
            <w:r>
              <w:t>▼</w:t>
            </w:r>
          </w:p>
        </w:tc>
        <w:tc>
          <w:tcPr>
            <w:tcW w:w="12333" w:type="dxa"/>
          </w:tcPr>
          <w:p w14:paraId="516BD563" w14:textId="71F88F21" w:rsidR="00F43BC8" w:rsidRPr="00694104" w:rsidRDefault="00F43BC8" w:rsidP="006053E7">
            <w:pPr>
              <w:pStyle w:val="DHHStabletext"/>
            </w:pPr>
            <w:r w:rsidRPr="00694104">
              <w:t xml:space="preserve">Downward trend – there has been a decline in the value of the measure by more than three per cent between the </w:t>
            </w:r>
            <w:r w:rsidR="003F7F80">
              <w:t>baseline year and the</w:t>
            </w:r>
            <w:r w:rsidRPr="00694104">
              <w:t xml:space="preserve"> most recent available data points</w:t>
            </w:r>
          </w:p>
        </w:tc>
      </w:tr>
      <w:tr w:rsidR="00F43BC8" w:rsidRPr="00C553CE" w14:paraId="668F7D35" w14:textId="77777777" w:rsidTr="00505127">
        <w:tc>
          <w:tcPr>
            <w:tcW w:w="2268" w:type="dxa"/>
          </w:tcPr>
          <w:p w14:paraId="05E017D9" w14:textId="77777777" w:rsidR="00F43BC8" w:rsidRPr="00694104" w:rsidRDefault="00F43BC8" w:rsidP="006053E7">
            <w:pPr>
              <w:pStyle w:val="DHHStabletext"/>
            </w:pPr>
            <w:r>
              <w:t>■</w:t>
            </w:r>
          </w:p>
        </w:tc>
        <w:tc>
          <w:tcPr>
            <w:tcW w:w="12333" w:type="dxa"/>
          </w:tcPr>
          <w:p w14:paraId="00FF8B4B" w14:textId="68120C49" w:rsidR="00F43BC8" w:rsidRPr="00694104" w:rsidRDefault="00F43BC8" w:rsidP="006053E7">
            <w:pPr>
              <w:pStyle w:val="DHHStabletext"/>
            </w:pPr>
            <w:r w:rsidRPr="00694104">
              <w:t xml:space="preserve">The value of the measure has not changed, or changed less than three per cent, between the </w:t>
            </w:r>
            <w:r w:rsidR="003F7F80">
              <w:t>baseline year and the</w:t>
            </w:r>
            <w:r w:rsidRPr="00694104">
              <w:t xml:space="preserve"> most recent available data points</w:t>
            </w:r>
          </w:p>
        </w:tc>
      </w:tr>
      <w:tr w:rsidR="00A75940" w:rsidRPr="00C553CE" w14:paraId="4BFC1812" w14:textId="77777777" w:rsidTr="00505127">
        <w:tc>
          <w:tcPr>
            <w:tcW w:w="2268" w:type="dxa"/>
          </w:tcPr>
          <w:p w14:paraId="0DF95786" w14:textId="5EBB6E34" w:rsidR="00A75940" w:rsidRPr="00505127" w:rsidRDefault="00481DF0" w:rsidP="006053E7">
            <w:pPr>
              <w:pStyle w:val="DHHStabletext"/>
              <w:rPr>
                <w:b/>
              </w:rPr>
            </w:pPr>
            <w:r>
              <w:rPr>
                <w:b/>
              </w:rPr>
              <w:sym w:font="Symbol" w:char="F0F0"/>
            </w:r>
          </w:p>
        </w:tc>
        <w:tc>
          <w:tcPr>
            <w:tcW w:w="12333" w:type="dxa"/>
          </w:tcPr>
          <w:p w14:paraId="319F6BEC" w14:textId="1E084D88" w:rsidR="00A75940" w:rsidRPr="00B44FF5" w:rsidRDefault="00505127" w:rsidP="006053E7">
            <w:pPr>
              <w:pStyle w:val="DHHStabletext"/>
            </w:pPr>
            <w:r>
              <w:t>The</w:t>
            </w:r>
            <w:r w:rsidR="00E659A7">
              <w:t>re is a large difference in the</w:t>
            </w:r>
            <w:r>
              <w:t xml:space="preserve"> value but statistically there is no difference</w:t>
            </w:r>
          </w:p>
        </w:tc>
      </w:tr>
      <w:tr w:rsidR="00F43BC8" w:rsidRPr="00C553CE" w14:paraId="7B1E22EC" w14:textId="77777777" w:rsidTr="00505127">
        <w:tc>
          <w:tcPr>
            <w:tcW w:w="2268" w:type="dxa"/>
          </w:tcPr>
          <w:p w14:paraId="29C3469A" w14:textId="77777777" w:rsidR="00F43BC8" w:rsidRPr="00B44FF5" w:rsidRDefault="00F43BC8" w:rsidP="006053E7">
            <w:pPr>
              <w:pStyle w:val="DHHStabletext"/>
            </w:pPr>
            <w:r w:rsidRPr="00B44FF5">
              <w:t>N/A</w:t>
            </w:r>
          </w:p>
        </w:tc>
        <w:tc>
          <w:tcPr>
            <w:tcW w:w="12333" w:type="dxa"/>
          </w:tcPr>
          <w:p w14:paraId="437859E9" w14:textId="77777777" w:rsidR="00F43BC8" w:rsidRPr="00B44FF5" w:rsidRDefault="00F43BC8" w:rsidP="006053E7">
            <w:pPr>
              <w:pStyle w:val="DHHStabletext"/>
            </w:pPr>
            <w:r w:rsidRPr="00B44FF5">
              <w:t>There is not enough information</w:t>
            </w:r>
            <w:r>
              <w:t xml:space="preserve"> (or in some circumstances there is no data)</w:t>
            </w:r>
            <w:r w:rsidRPr="00B44FF5">
              <w:t xml:space="preserve"> available to assess the trend over time</w:t>
            </w:r>
            <w:r>
              <w:t xml:space="preserve"> </w:t>
            </w:r>
          </w:p>
        </w:tc>
      </w:tr>
      <w:tr w:rsidR="00F43BC8" w:rsidRPr="00C553CE" w14:paraId="32701492" w14:textId="77777777" w:rsidTr="00505127">
        <w:tc>
          <w:tcPr>
            <w:tcW w:w="2268" w:type="dxa"/>
            <w:tcBorders>
              <w:bottom w:val="single" w:sz="4" w:space="0" w:color="AF272F"/>
            </w:tcBorders>
          </w:tcPr>
          <w:p w14:paraId="4E2EAB6C" w14:textId="77777777" w:rsidR="00F43BC8" w:rsidRPr="00CA20DA" w:rsidRDefault="00F43BC8" w:rsidP="006053E7">
            <w:pPr>
              <w:pStyle w:val="DHHStabletext"/>
              <w:rPr>
                <w:b/>
              </w:rPr>
            </w:pPr>
            <w:r w:rsidRPr="00CA20DA">
              <w:rPr>
                <w:b/>
              </w:rPr>
              <w:t>Target</w:t>
            </w:r>
          </w:p>
        </w:tc>
        <w:tc>
          <w:tcPr>
            <w:tcW w:w="12333" w:type="dxa"/>
            <w:tcBorders>
              <w:bottom w:val="single" w:sz="4" w:space="0" w:color="AF272F"/>
            </w:tcBorders>
          </w:tcPr>
          <w:p w14:paraId="6F733974" w14:textId="646707A5" w:rsidR="00F43BC8" w:rsidRDefault="006053E7" w:rsidP="006053E7">
            <w:pPr>
              <w:pStyle w:val="DHHStabletext"/>
            </w:pPr>
            <w:r>
              <w:t>From the baseline year</w:t>
            </w:r>
          </w:p>
        </w:tc>
      </w:tr>
      <w:tr w:rsidR="00F43BC8" w:rsidRPr="00C553CE" w14:paraId="24A7AC9A" w14:textId="77777777" w:rsidTr="00505127">
        <w:tc>
          <w:tcPr>
            <w:tcW w:w="2268" w:type="dxa"/>
            <w:tcBorders>
              <w:top w:val="single" w:sz="4" w:space="0" w:color="AF272F"/>
              <w:bottom w:val="single" w:sz="4" w:space="0" w:color="AF272F"/>
            </w:tcBorders>
          </w:tcPr>
          <w:p w14:paraId="10D20194" w14:textId="77777777" w:rsidR="00F43BC8" w:rsidRPr="00B44FF5" w:rsidRDefault="00F43BC8" w:rsidP="006053E7">
            <w:pPr>
              <w:pStyle w:val="DHHStabletext"/>
            </w:pPr>
            <w:r>
              <w:t>N/S</w:t>
            </w:r>
          </w:p>
        </w:tc>
        <w:tc>
          <w:tcPr>
            <w:tcW w:w="12333" w:type="dxa"/>
            <w:tcBorders>
              <w:top w:val="single" w:sz="4" w:space="0" w:color="AF272F"/>
              <w:bottom w:val="single" w:sz="4" w:space="0" w:color="AF272F"/>
            </w:tcBorders>
          </w:tcPr>
          <w:p w14:paraId="63934AC1" w14:textId="77777777" w:rsidR="00F43BC8" w:rsidRPr="00B44FF5" w:rsidRDefault="00F43BC8" w:rsidP="006053E7">
            <w:pPr>
              <w:pStyle w:val="DHHStabletext"/>
            </w:pPr>
            <w:r>
              <w:t>No set target for this measure</w:t>
            </w:r>
          </w:p>
        </w:tc>
      </w:tr>
    </w:tbl>
    <w:p w14:paraId="4F95454B" w14:textId="77777777" w:rsidR="00CD7A1C" w:rsidRDefault="00CD7A1C">
      <w:r>
        <w:br w:type="page"/>
      </w:r>
    </w:p>
    <w:p w14:paraId="1E2E7791" w14:textId="19BEEF3D" w:rsidR="00F768B7" w:rsidRDefault="00106C87" w:rsidP="00F768B7">
      <w:pPr>
        <w:pStyle w:val="Heading2"/>
      </w:pPr>
      <w:bookmarkStart w:id="30" w:name="_Toc19007973"/>
      <w:bookmarkStart w:id="31" w:name="_Toc33457063"/>
      <w:r>
        <w:lastRenderedPageBreak/>
        <w:t>Victorian c</w:t>
      </w:r>
      <w:r w:rsidR="00F768B7" w:rsidRPr="00F768B7">
        <w:t xml:space="preserve">ancer plan </w:t>
      </w:r>
      <w:r>
        <w:t xml:space="preserve">monitoring and evaluation framework: </w:t>
      </w:r>
      <w:r w:rsidR="00F768B7">
        <w:t>measure</w:t>
      </w:r>
      <w:r w:rsidR="00C1114C">
        <w:t>s</w:t>
      </w:r>
      <w:bookmarkEnd w:id="30"/>
      <w:bookmarkEnd w:id="31"/>
    </w:p>
    <w:p w14:paraId="10E7F0A8" w14:textId="77777777" w:rsidR="00C1114C" w:rsidRPr="00F768B7" w:rsidRDefault="00C1114C" w:rsidP="00C1114C">
      <w:pPr>
        <w:pStyle w:val="Heading3"/>
      </w:pPr>
      <w:bookmarkStart w:id="32" w:name="_Toc19007974"/>
      <w:r w:rsidRPr="00F768B7">
        <w:t>Action: Victorians are supported to reduce risks of cancer</w:t>
      </w:r>
      <w:bookmarkEnd w:id="32"/>
    </w:p>
    <w:p w14:paraId="2F3E73CD" w14:textId="77777777" w:rsidR="00C1114C" w:rsidRDefault="00C1114C" w:rsidP="00C1114C">
      <w:pPr>
        <w:pStyle w:val="Heading4"/>
      </w:pPr>
      <w:r w:rsidRPr="00F768B7">
        <w:t xml:space="preserve">Outcome: Improve cancer outcomes </w:t>
      </w:r>
    </w:p>
    <w:p w14:paraId="1956B190" w14:textId="01D04D9F" w:rsidR="00F768B7" w:rsidRPr="00F768B7" w:rsidRDefault="00F768B7" w:rsidP="00C1114C">
      <w:pPr>
        <w:pStyle w:val="Heading5"/>
      </w:pPr>
      <w:r w:rsidRPr="00F768B7">
        <w:t>Key result: Decrease incidence of preventable cancers</w:t>
      </w:r>
    </w:p>
    <w:tbl>
      <w:tblPr>
        <w:tblStyle w:val="TableGrid"/>
        <w:tblW w:w="14425" w:type="dxa"/>
        <w:tblInd w:w="0"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ayout w:type="fixed"/>
        <w:tblLook w:val="04A0" w:firstRow="1" w:lastRow="0" w:firstColumn="1" w:lastColumn="0" w:noHBand="0" w:noVBand="1"/>
      </w:tblPr>
      <w:tblGrid>
        <w:gridCol w:w="1379"/>
        <w:gridCol w:w="3265"/>
        <w:gridCol w:w="2636"/>
        <w:gridCol w:w="1786"/>
        <w:gridCol w:w="1786"/>
        <w:gridCol w:w="1786"/>
        <w:gridCol w:w="1787"/>
      </w:tblGrid>
      <w:tr w:rsidR="00F768B7" w:rsidRPr="00885FE2" w14:paraId="748E1879" w14:textId="77777777" w:rsidTr="00D12913">
        <w:trPr>
          <w:trHeight w:val="690"/>
        </w:trPr>
        <w:tc>
          <w:tcPr>
            <w:tcW w:w="1379" w:type="dxa"/>
            <w:tcBorders>
              <w:top w:val="nil"/>
              <w:bottom w:val="single" w:sz="4" w:space="0" w:color="AF272F"/>
            </w:tcBorders>
            <w:shd w:val="clear" w:color="auto" w:fill="EDCDCF"/>
          </w:tcPr>
          <w:p w14:paraId="13C146B9" w14:textId="7688803A" w:rsidR="00F768B7" w:rsidRPr="00F768B7" w:rsidRDefault="00F768B7" w:rsidP="00876FD6">
            <w:pPr>
              <w:pStyle w:val="DHHStablecolhead"/>
            </w:pPr>
            <w:r w:rsidRPr="00F768B7">
              <w:t>Measure #</w:t>
            </w:r>
          </w:p>
        </w:tc>
        <w:tc>
          <w:tcPr>
            <w:tcW w:w="3265" w:type="dxa"/>
            <w:tcBorders>
              <w:top w:val="nil"/>
              <w:bottom w:val="single" w:sz="4" w:space="0" w:color="AF272F"/>
            </w:tcBorders>
            <w:shd w:val="clear" w:color="auto" w:fill="EDCDCF"/>
          </w:tcPr>
          <w:p w14:paraId="78C2DBE1" w14:textId="06A7BDB9" w:rsidR="00F768B7" w:rsidRPr="00F768B7" w:rsidRDefault="00F768B7" w:rsidP="00876FD6">
            <w:pPr>
              <w:pStyle w:val="DHHStablecolhead"/>
            </w:pPr>
            <w:r w:rsidRPr="00F768B7">
              <w:t>Description</w:t>
            </w:r>
          </w:p>
        </w:tc>
        <w:tc>
          <w:tcPr>
            <w:tcW w:w="2636" w:type="dxa"/>
            <w:tcBorders>
              <w:top w:val="nil"/>
              <w:bottom w:val="single" w:sz="4" w:space="0" w:color="AF272F"/>
            </w:tcBorders>
            <w:shd w:val="clear" w:color="auto" w:fill="EDCDCF"/>
          </w:tcPr>
          <w:p w14:paraId="667A3B2D" w14:textId="6A2A255B" w:rsidR="00F768B7" w:rsidRPr="00F768B7" w:rsidRDefault="00F768B7" w:rsidP="00876FD6">
            <w:pPr>
              <w:pStyle w:val="DHHStablecolhead"/>
            </w:pPr>
            <w:r w:rsidRPr="00F768B7">
              <w:t>Unit of measure</w:t>
            </w:r>
          </w:p>
        </w:tc>
        <w:tc>
          <w:tcPr>
            <w:tcW w:w="1786" w:type="dxa"/>
            <w:tcBorders>
              <w:top w:val="nil"/>
              <w:bottom w:val="single" w:sz="4" w:space="0" w:color="AF272F"/>
            </w:tcBorders>
            <w:shd w:val="clear" w:color="auto" w:fill="EDCDCF"/>
            <w:noWrap/>
          </w:tcPr>
          <w:p w14:paraId="6DE7F3F7" w14:textId="77777777" w:rsidR="00F768B7" w:rsidRPr="00F768B7" w:rsidRDefault="00F768B7" w:rsidP="00876FD6">
            <w:pPr>
              <w:pStyle w:val="DHHStablecolhead"/>
            </w:pPr>
            <w:r w:rsidRPr="00F768B7">
              <w:t>Baseline</w:t>
            </w:r>
          </w:p>
          <w:p w14:paraId="7A3D11AC" w14:textId="768737C0" w:rsidR="00F768B7" w:rsidRPr="00F768B7" w:rsidRDefault="00F768B7" w:rsidP="00876FD6">
            <w:pPr>
              <w:pStyle w:val="DHHStablecolhead"/>
            </w:pPr>
            <w:r w:rsidRPr="00F768B7">
              <w:t>(year)</w:t>
            </w:r>
          </w:p>
        </w:tc>
        <w:tc>
          <w:tcPr>
            <w:tcW w:w="1786" w:type="dxa"/>
            <w:tcBorders>
              <w:top w:val="nil"/>
              <w:bottom w:val="single" w:sz="4" w:space="0" w:color="AF272F"/>
            </w:tcBorders>
            <w:shd w:val="clear" w:color="auto" w:fill="EDCDCF"/>
            <w:noWrap/>
          </w:tcPr>
          <w:p w14:paraId="3C72A5AE" w14:textId="77777777" w:rsidR="00F768B7" w:rsidRPr="00F768B7" w:rsidRDefault="00F768B7" w:rsidP="00876FD6">
            <w:pPr>
              <w:pStyle w:val="DHHStablecolhead"/>
            </w:pPr>
            <w:r w:rsidRPr="00F768B7">
              <w:t>Most recent</w:t>
            </w:r>
          </w:p>
          <w:p w14:paraId="13DBFC02" w14:textId="154AD177" w:rsidR="00F768B7" w:rsidRPr="00F768B7" w:rsidRDefault="00F768B7" w:rsidP="00876FD6">
            <w:pPr>
              <w:pStyle w:val="DHHStablecolhead"/>
            </w:pPr>
            <w:r w:rsidRPr="00F768B7">
              <w:t>(year)</w:t>
            </w:r>
          </w:p>
        </w:tc>
        <w:tc>
          <w:tcPr>
            <w:tcW w:w="1786" w:type="dxa"/>
            <w:tcBorders>
              <w:top w:val="nil"/>
              <w:bottom w:val="single" w:sz="4" w:space="0" w:color="AF272F"/>
            </w:tcBorders>
            <w:shd w:val="clear" w:color="auto" w:fill="EDCDCF"/>
            <w:noWrap/>
          </w:tcPr>
          <w:p w14:paraId="795F8A67" w14:textId="7252801E" w:rsidR="00F768B7" w:rsidRPr="00F768B7" w:rsidRDefault="00F768B7" w:rsidP="00876FD6">
            <w:pPr>
              <w:pStyle w:val="DHHStablecolhead"/>
            </w:pPr>
            <w:r w:rsidRPr="00F768B7">
              <w:t>Target</w:t>
            </w:r>
          </w:p>
        </w:tc>
        <w:tc>
          <w:tcPr>
            <w:tcW w:w="1787" w:type="dxa"/>
            <w:tcBorders>
              <w:top w:val="nil"/>
              <w:bottom w:val="single" w:sz="4" w:space="0" w:color="AF272F"/>
            </w:tcBorders>
            <w:shd w:val="clear" w:color="auto" w:fill="EDCDCF"/>
          </w:tcPr>
          <w:p w14:paraId="614D7BAA" w14:textId="620A0073" w:rsidR="00F768B7" w:rsidRPr="00F768B7" w:rsidRDefault="00F768B7" w:rsidP="00876FD6">
            <w:pPr>
              <w:pStyle w:val="DHHStablecolhead"/>
            </w:pPr>
            <w:r w:rsidRPr="00F768B7">
              <w:t>Trend</w:t>
            </w:r>
          </w:p>
        </w:tc>
      </w:tr>
      <w:tr w:rsidR="00F768B7" w:rsidRPr="00885FE2" w14:paraId="5BFDDCD0" w14:textId="77777777" w:rsidTr="004976DA">
        <w:trPr>
          <w:trHeight w:val="759"/>
        </w:trPr>
        <w:tc>
          <w:tcPr>
            <w:tcW w:w="1379" w:type="dxa"/>
            <w:tcBorders>
              <w:top w:val="single" w:sz="4" w:space="0" w:color="AF272F"/>
            </w:tcBorders>
            <w:hideMark/>
          </w:tcPr>
          <w:p w14:paraId="3CCEC1F7" w14:textId="38790E5D" w:rsidR="00F768B7" w:rsidRPr="00885FE2" w:rsidRDefault="009D1534" w:rsidP="0064412C">
            <w:pPr>
              <w:pStyle w:val="DHHStabletext"/>
            </w:pPr>
            <w:hyperlink w:anchor="_Measure_1.1_–" w:history="1">
              <w:r w:rsidR="00F768B7" w:rsidRPr="00AF63A2">
                <w:rPr>
                  <w:rStyle w:val="Hyperlink"/>
                </w:rPr>
                <w:t>1.1</w:t>
              </w:r>
            </w:hyperlink>
          </w:p>
        </w:tc>
        <w:tc>
          <w:tcPr>
            <w:tcW w:w="3265" w:type="dxa"/>
            <w:tcBorders>
              <w:top w:val="single" w:sz="4" w:space="0" w:color="AF272F"/>
            </w:tcBorders>
            <w:hideMark/>
          </w:tcPr>
          <w:p w14:paraId="62F3EF2E" w14:textId="77777777" w:rsidR="00F768B7" w:rsidRPr="00885FE2" w:rsidRDefault="00F768B7" w:rsidP="0064412C">
            <w:pPr>
              <w:pStyle w:val="DHHStabletext"/>
            </w:pPr>
            <w:r>
              <w:t>Incidence of preventable cancers</w:t>
            </w:r>
          </w:p>
        </w:tc>
        <w:tc>
          <w:tcPr>
            <w:tcW w:w="2636" w:type="dxa"/>
            <w:tcBorders>
              <w:top w:val="single" w:sz="4" w:space="0" w:color="AF272F"/>
            </w:tcBorders>
          </w:tcPr>
          <w:p w14:paraId="7A81341F" w14:textId="52D36E82" w:rsidR="00F768B7" w:rsidRPr="00885FE2" w:rsidRDefault="00F768B7" w:rsidP="0064412C">
            <w:pPr>
              <w:pStyle w:val="DHHStabletext"/>
            </w:pPr>
            <w:r>
              <w:t>Rate (age-adjusted)</w:t>
            </w:r>
            <w:r w:rsidR="0064412C">
              <w:t xml:space="preserve"> </w:t>
            </w:r>
            <w:r>
              <w:t>(per 100,000)</w:t>
            </w:r>
          </w:p>
        </w:tc>
        <w:tc>
          <w:tcPr>
            <w:tcW w:w="1786" w:type="dxa"/>
            <w:tcBorders>
              <w:top w:val="single" w:sz="4" w:space="0" w:color="AF272F"/>
            </w:tcBorders>
            <w:noWrap/>
            <w:hideMark/>
          </w:tcPr>
          <w:p w14:paraId="49B991A2" w14:textId="6EC1DD8D" w:rsidR="00F768B7" w:rsidRPr="00295C17" w:rsidRDefault="00F768B7" w:rsidP="0064412C">
            <w:pPr>
              <w:pStyle w:val="DHHStabletext"/>
            </w:pPr>
            <w:r>
              <w:t>3</w:t>
            </w:r>
            <w:r w:rsidR="00F028DD">
              <w:t>40</w:t>
            </w:r>
            <w:r w:rsidR="0064412C">
              <w:br/>
            </w:r>
            <w:r>
              <w:t>(201</w:t>
            </w:r>
            <w:r w:rsidR="00F028DD">
              <w:t>4</w:t>
            </w:r>
            <w:r>
              <w:t>)</w:t>
            </w:r>
          </w:p>
        </w:tc>
        <w:tc>
          <w:tcPr>
            <w:tcW w:w="1786" w:type="dxa"/>
            <w:tcBorders>
              <w:top w:val="single" w:sz="4" w:space="0" w:color="AF272F"/>
            </w:tcBorders>
            <w:noWrap/>
            <w:hideMark/>
          </w:tcPr>
          <w:p w14:paraId="6F14BDCE" w14:textId="3687765E" w:rsidR="00F768B7" w:rsidRPr="00885FE2" w:rsidRDefault="00F768B7" w:rsidP="0064412C">
            <w:pPr>
              <w:pStyle w:val="DHHStabletext"/>
            </w:pPr>
            <w:r>
              <w:t>339</w:t>
            </w:r>
            <w:r w:rsidR="0064412C">
              <w:t xml:space="preserve"> </w:t>
            </w:r>
            <w:r w:rsidR="0064412C">
              <w:br/>
            </w:r>
            <w:r>
              <w:t>(2017)</w:t>
            </w:r>
          </w:p>
        </w:tc>
        <w:tc>
          <w:tcPr>
            <w:tcW w:w="1786" w:type="dxa"/>
            <w:tcBorders>
              <w:top w:val="single" w:sz="4" w:space="0" w:color="AF272F"/>
            </w:tcBorders>
            <w:noWrap/>
            <w:hideMark/>
          </w:tcPr>
          <w:p w14:paraId="09C26C65" w14:textId="1E99804C" w:rsidR="00F768B7" w:rsidRPr="00885FE2" w:rsidRDefault="00F768B7" w:rsidP="0064412C">
            <w:pPr>
              <w:pStyle w:val="DHHStabletext"/>
            </w:pPr>
            <w:r>
              <w:t>50 per cent decrease from baseline to 2040</w:t>
            </w:r>
          </w:p>
        </w:tc>
        <w:tc>
          <w:tcPr>
            <w:tcW w:w="1787" w:type="dxa"/>
            <w:tcBorders>
              <w:top w:val="single" w:sz="4" w:space="0" w:color="AF272F"/>
            </w:tcBorders>
          </w:tcPr>
          <w:p w14:paraId="02C5092E" w14:textId="14E541E0" w:rsidR="0064412C" w:rsidRPr="00AD1B27" w:rsidRDefault="00481DF0" w:rsidP="0064412C">
            <w:pPr>
              <w:pStyle w:val="DHHStabletext"/>
            </w:pPr>
            <w:r w:rsidRPr="00AD1B27">
              <w:t>■</w:t>
            </w:r>
            <w:r w:rsidR="0064412C">
              <w:br/>
            </w:r>
            <w:r>
              <w:t>No change</w:t>
            </w:r>
          </w:p>
        </w:tc>
      </w:tr>
      <w:tr w:rsidR="00F768B7" w:rsidRPr="00885FE2" w14:paraId="409A0D80" w14:textId="77777777" w:rsidTr="004976DA">
        <w:trPr>
          <w:trHeight w:val="421"/>
        </w:trPr>
        <w:tc>
          <w:tcPr>
            <w:tcW w:w="1379" w:type="dxa"/>
            <w:hideMark/>
          </w:tcPr>
          <w:p w14:paraId="350CECC2" w14:textId="1828D081" w:rsidR="00F768B7" w:rsidRPr="00D011BD" w:rsidRDefault="009D1534" w:rsidP="0064412C">
            <w:pPr>
              <w:pStyle w:val="DHHStabletext"/>
            </w:pPr>
            <w:hyperlink w:anchor="_Measure_1.2_–" w:history="1">
              <w:r w:rsidR="00F768B7" w:rsidRPr="00AF63A2">
                <w:rPr>
                  <w:rStyle w:val="Hyperlink"/>
                </w:rPr>
                <w:t>1.2</w:t>
              </w:r>
            </w:hyperlink>
          </w:p>
        </w:tc>
        <w:tc>
          <w:tcPr>
            <w:tcW w:w="3265" w:type="dxa"/>
          </w:tcPr>
          <w:p w14:paraId="4BE3AD1C" w14:textId="77777777" w:rsidR="00F768B7" w:rsidRPr="00D011BD" w:rsidRDefault="00F768B7" w:rsidP="0064412C">
            <w:pPr>
              <w:pStyle w:val="DHHStabletext"/>
            </w:pPr>
            <w:r w:rsidRPr="00D011BD">
              <w:t>Lifetime risk of cancer before the age of 85 years</w:t>
            </w:r>
          </w:p>
        </w:tc>
        <w:tc>
          <w:tcPr>
            <w:tcW w:w="2636" w:type="dxa"/>
          </w:tcPr>
          <w:p w14:paraId="39E0FA7A" w14:textId="44DC059B" w:rsidR="00F768B7" w:rsidRPr="00D011BD" w:rsidRDefault="0078246F" w:rsidP="0064412C">
            <w:pPr>
              <w:pStyle w:val="DHHStabletext"/>
            </w:pPr>
            <w:r>
              <w:t>Cumulative risk</w:t>
            </w:r>
          </w:p>
        </w:tc>
        <w:tc>
          <w:tcPr>
            <w:tcW w:w="1786" w:type="dxa"/>
            <w:noWrap/>
            <w:hideMark/>
          </w:tcPr>
          <w:p w14:paraId="06F5DA3D" w14:textId="7D70B7E4" w:rsidR="00F768B7" w:rsidRPr="00D011BD" w:rsidRDefault="00F768B7" w:rsidP="004976DA">
            <w:pPr>
              <w:pStyle w:val="DHHStabletext"/>
            </w:pPr>
            <w:r w:rsidRPr="00D011BD">
              <w:t>1/2.</w:t>
            </w:r>
            <w:r w:rsidR="0078246F">
              <w:t>2</w:t>
            </w:r>
            <w:r w:rsidR="004976DA">
              <w:br/>
            </w:r>
            <w:r w:rsidRPr="00D011BD">
              <w:t>(201</w:t>
            </w:r>
            <w:r w:rsidR="00D011BD" w:rsidRPr="00D011BD">
              <w:t>4</w:t>
            </w:r>
            <w:r w:rsidRPr="00D011BD">
              <w:t>)</w:t>
            </w:r>
          </w:p>
        </w:tc>
        <w:tc>
          <w:tcPr>
            <w:tcW w:w="1786" w:type="dxa"/>
            <w:noWrap/>
          </w:tcPr>
          <w:p w14:paraId="20C20751" w14:textId="52D66568" w:rsidR="00F768B7" w:rsidRPr="00D011BD" w:rsidRDefault="00F768B7" w:rsidP="0064412C">
            <w:pPr>
              <w:pStyle w:val="DHHStabletext"/>
            </w:pPr>
            <w:r w:rsidRPr="00D011BD">
              <w:t>1/2.2</w:t>
            </w:r>
            <w:r w:rsidR="0064412C" w:rsidRPr="00D011BD">
              <w:br/>
            </w:r>
            <w:r w:rsidRPr="00D011BD">
              <w:t>(2017)</w:t>
            </w:r>
          </w:p>
        </w:tc>
        <w:tc>
          <w:tcPr>
            <w:tcW w:w="1786" w:type="dxa"/>
            <w:noWrap/>
          </w:tcPr>
          <w:p w14:paraId="4E9F67E5" w14:textId="43E941DB" w:rsidR="00F768B7" w:rsidRPr="00D011BD" w:rsidRDefault="00F768B7" w:rsidP="0064412C">
            <w:pPr>
              <w:pStyle w:val="DHHStabletext"/>
            </w:pPr>
            <w:r w:rsidRPr="00D011BD">
              <w:t>N/S</w:t>
            </w:r>
          </w:p>
        </w:tc>
        <w:tc>
          <w:tcPr>
            <w:tcW w:w="1787" w:type="dxa"/>
          </w:tcPr>
          <w:p w14:paraId="5461A23E" w14:textId="638968C4" w:rsidR="00F768B7" w:rsidRPr="00D011BD" w:rsidRDefault="00F768B7" w:rsidP="0064412C">
            <w:pPr>
              <w:pStyle w:val="DHHStabletext"/>
              <w:rPr>
                <w:b/>
              </w:rPr>
            </w:pPr>
            <w:r w:rsidRPr="00D011BD">
              <w:t>■</w:t>
            </w:r>
            <w:r w:rsidR="0064412C" w:rsidRPr="00D011BD">
              <w:br/>
              <w:t>No change</w:t>
            </w:r>
          </w:p>
        </w:tc>
      </w:tr>
      <w:tr w:rsidR="00F768B7" w:rsidRPr="00885FE2" w14:paraId="579CB825" w14:textId="77777777" w:rsidTr="004976DA">
        <w:trPr>
          <w:trHeight w:val="576"/>
        </w:trPr>
        <w:tc>
          <w:tcPr>
            <w:tcW w:w="1379" w:type="dxa"/>
            <w:hideMark/>
          </w:tcPr>
          <w:p w14:paraId="7104AD55" w14:textId="7E7B0040" w:rsidR="00F768B7" w:rsidRPr="00885FE2" w:rsidRDefault="009D1534" w:rsidP="0064412C">
            <w:pPr>
              <w:pStyle w:val="DHHStabletext"/>
            </w:pPr>
            <w:hyperlink w:anchor="_Measure_1.3_–" w:history="1">
              <w:r w:rsidR="00F768B7" w:rsidRPr="00D03411">
                <w:rPr>
                  <w:rStyle w:val="Hyperlink"/>
                </w:rPr>
                <w:t>1.3</w:t>
              </w:r>
            </w:hyperlink>
          </w:p>
        </w:tc>
        <w:tc>
          <w:tcPr>
            <w:tcW w:w="3265" w:type="dxa"/>
          </w:tcPr>
          <w:p w14:paraId="5B7A7ACE" w14:textId="77777777" w:rsidR="00F768B7" w:rsidRPr="00885FE2" w:rsidRDefault="00F768B7" w:rsidP="0064412C">
            <w:pPr>
              <w:pStyle w:val="DHHStabletext"/>
            </w:pPr>
            <w:r>
              <w:t>Incidence of lung cancer</w:t>
            </w:r>
          </w:p>
        </w:tc>
        <w:tc>
          <w:tcPr>
            <w:tcW w:w="2636" w:type="dxa"/>
          </w:tcPr>
          <w:p w14:paraId="40713408" w14:textId="44743A09"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noWrap/>
          </w:tcPr>
          <w:p w14:paraId="51E5F218" w14:textId="0D868A34" w:rsidR="00F768B7" w:rsidRPr="00885FE2" w:rsidRDefault="00F768B7" w:rsidP="004976DA">
            <w:pPr>
              <w:pStyle w:val="DHHStabletext"/>
            </w:pPr>
            <w:r>
              <w:t>4</w:t>
            </w:r>
            <w:r w:rsidR="00F028DD">
              <w:t>2</w:t>
            </w:r>
            <w:r w:rsidR="004976DA">
              <w:br/>
            </w:r>
            <w:r>
              <w:t>(201</w:t>
            </w:r>
            <w:r w:rsidR="00F028DD">
              <w:t>4</w:t>
            </w:r>
            <w:r>
              <w:t>)</w:t>
            </w:r>
          </w:p>
        </w:tc>
        <w:tc>
          <w:tcPr>
            <w:tcW w:w="1786" w:type="dxa"/>
            <w:noWrap/>
          </w:tcPr>
          <w:p w14:paraId="7D855EBA" w14:textId="27760A81" w:rsidR="00F768B7" w:rsidRPr="00885FE2" w:rsidRDefault="00F768B7" w:rsidP="0064412C">
            <w:pPr>
              <w:pStyle w:val="DHHStabletext"/>
            </w:pPr>
            <w:r>
              <w:t>41</w:t>
            </w:r>
            <w:r w:rsidR="0064412C">
              <w:t xml:space="preserve"> </w:t>
            </w:r>
            <w:r w:rsidR="0064412C">
              <w:br/>
            </w:r>
            <w:r>
              <w:t>(2017)</w:t>
            </w:r>
          </w:p>
        </w:tc>
        <w:tc>
          <w:tcPr>
            <w:tcW w:w="1786" w:type="dxa"/>
            <w:noWrap/>
          </w:tcPr>
          <w:p w14:paraId="009007E0" w14:textId="523D2162" w:rsidR="00F768B7" w:rsidRPr="00885FE2" w:rsidRDefault="00F768B7" w:rsidP="0064412C">
            <w:pPr>
              <w:pStyle w:val="DHHStabletext"/>
            </w:pPr>
            <w:r w:rsidRPr="00A57D2E">
              <w:t>N/S</w:t>
            </w:r>
          </w:p>
        </w:tc>
        <w:tc>
          <w:tcPr>
            <w:tcW w:w="1787" w:type="dxa"/>
          </w:tcPr>
          <w:p w14:paraId="308ACB0E" w14:textId="77CD7386" w:rsidR="0064412C" w:rsidRPr="00AD1B27" w:rsidRDefault="00F768B7" w:rsidP="0064412C">
            <w:pPr>
              <w:pStyle w:val="DHHStabletext"/>
            </w:pPr>
            <w:r w:rsidRPr="00AD1B27">
              <w:t>■</w:t>
            </w:r>
            <w:r w:rsidR="0064412C">
              <w:br/>
              <w:t>No change</w:t>
            </w:r>
          </w:p>
        </w:tc>
      </w:tr>
      <w:tr w:rsidR="00F768B7" w:rsidRPr="00885FE2" w14:paraId="451A1C31" w14:textId="77777777" w:rsidTr="004976DA">
        <w:trPr>
          <w:trHeight w:val="663"/>
        </w:trPr>
        <w:tc>
          <w:tcPr>
            <w:tcW w:w="1379" w:type="dxa"/>
            <w:hideMark/>
          </w:tcPr>
          <w:p w14:paraId="3251438A" w14:textId="44BAB4DC" w:rsidR="00F768B7" w:rsidRPr="00885FE2" w:rsidRDefault="009D1534" w:rsidP="0064412C">
            <w:pPr>
              <w:pStyle w:val="DHHStabletext"/>
            </w:pPr>
            <w:hyperlink w:anchor="_Measure_1.4_–" w:history="1">
              <w:r w:rsidR="00F768B7" w:rsidRPr="00D03411">
                <w:rPr>
                  <w:rStyle w:val="Hyperlink"/>
                </w:rPr>
                <w:t>1.4</w:t>
              </w:r>
            </w:hyperlink>
          </w:p>
        </w:tc>
        <w:tc>
          <w:tcPr>
            <w:tcW w:w="3265" w:type="dxa"/>
          </w:tcPr>
          <w:p w14:paraId="7298CA10" w14:textId="77777777" w:rsidR="00F768B7" w:rsidRPr="00885FE2" w:rsidRDefault="00F768B7" w:rsidP="0064412C">
            <w:pPr>
              <w:pStyle w:val="DHHStabletext"/>
            </w:pPr>
            <w:r>
              <w:t>Incidence of colorectal cancer</w:t>
            </w:r>
          </w:p>
        </w:tc>
        <w:tc>
          <w:tcPr>
            <w:tcW w:w="2636" w:type="dxa"/>
          </w:tcPr>
          <w:p w14:paraId="36830BF5" w14:textId="52734E37"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noWrap/>
          </w:tcPr>
          <w:p w14:paraId="5C6E95C3" w14:textId="0ADE4EED" w:rsidR="00F768B7" w:rsidRPr="00885FE2" w:rsidRDefault="00F028DD" w:rsidP="004976DA">
            <w:pPr>
              <w:pStyle w:val="DHHStabletext"/>
            </w:pPr>
            <w:r>
              <w:t>56</w:t>
            </w:r>
            <w:r w:rsidR="00F768B7">
              <w:t xml:space="preserve"> </w:t>
            </w:r>
            <w:r w:rsidR="004976DA">
              <w:br/>
            </w:r>
            <w:r w:rsidR="00F768B7">
              <w:t>(201</w:t>
            </w:r>
            <w:r>
              <w:t>4</w:t>
            </w:r>
            <w:r w:rsidR="00F768B7">
              <w:t>)</w:t>
            </w:r>
          </w:p>
        </w:tc>
        <w:tc>
          <w:tcPr>
            <w:tcW w:w="1786" w:type="dxa"/>
            <w:noWrap/>
          </w:tcPr>
          <w:p w14:paraId="197438ED" w14:textId="5E379EA2" w:rsidR="00F768B7" w:rsidRPr="00885FE2" w:rsidRDefault="00F768B7" w:rsidP="0064412C">
            <w:pPr>
              <w:pStyle w:val="DHHStabletext"/>
            </w:pPr>
            <w:r>
              <w:t>54</w:t>
            </w:r>
            <w:r w:rsidR="0064412C">
              <w:br/>
            </w:r>
            <w:r>
              <w:t>(2017)</w:t>
            </w:r>
          </w:p>
        </w:tc>
        <w:tc>
          <w:tcPr>
            <w:tcW w:w="1786" w:type="dxa"/>
            <w:noWrap/>
          </w:tcPr>
          <w:p w14:paraId="1AB8A2D5" w14:textId="0E368E76" w:rsidR="00F768B7" w:rsidRPr="00885FE2" w:rsidRDefault="00F768B7" w:rsidP="0064412C">
            <w:pPr>
              <w:pStyle w:val="DHHStabletext"/>
            </w:pPr>
            <w:r w:rsidRPr="00A57D2E">
              <w:t>N/S</w:t>
            </w:r>
          </w:p>
        </w:tc>
        <w:tc>
          <w:tcPr>
            <w:tcW w:w="1787" w:type="dxa"/>
          </w:tcPr>
          <w:p w14:paraId="384B8AD7" w14:textId="58F1FE27" w:rsidR="00F768B7" w:rsidRPr="00AD1B27" w:rsidRDefault="00F768B7" w:rsidP="0064412C">
            <w:pPr>
              <w:pStyle w:val="DHHStabletext"/>
            </w:pPr>
            <w:r w:rsidRPr="00AD1B27">
              <w:t>▼</w:t>
            </w:r>
            <w:r w:rsidR="0064412C">
              <w:br/>
            </w:r>
            <w:r w:rsidR="0064412C" w:rsidRPr="00694104">
              <w:t>Downward</w:t>
            </w:r>
          </w:p>
        </w:tc>
      </w:tr>
      <w:tr w:rsidR="00F768B7" w:rsidRPr="00885FE2" w14:paraId="267B2F23" w14:textId="77777777" w:rsidTr="004976DA">
        <w:trPr>
          <w:trHeight w:val="531"/>
        </w:trPr>
        <w:tc>
          <w:tcPr>
            <w:tcW w:w="1379" w:type="dxa"/>
            <w:hideMark/>
          </w:tcPr>
          <w:p w14:paraId="15B86596" w14:textId="1AAA92DD" w:rsidR="00F768B7" w:rsidRPr="00885FE2" w:rsidRDefault="009D1534" w:rsidP="0064412C">
            <w:pPr>
              <w:pStyle w:val="DHHStabletext"/>
            </w:pPr>
            <w:hyperlink w:anchor="_Measure_1.5_–" w:history="1">
              <w:r w:rsidR="00F768B7" w:rsidRPr="00D03411">
                <w:rPr>
                  <w:rStyle w:val="Hyperlink"/>
                </w:rPr>
                <w:t>1.5</w:t>
              </w:r>
            </w:hyperlink>
          </w:p>
        </w:tc>
        <w:tc>
          <w:tcPr>
            <w:tcW w:w="3265" w:type="dxa"/>
          </w:tcPr>
          <w:p w14:paraId="5E1DE08A" w14:textId="77777777" w:rsidR="00F768B7" w:rsidRPr="00885FE2" w:rsidRDefault="00F768B7" w:rsidP="0064412C">
            <w:pPr>
              <w:pStyle w:val="DHHStabletext"/>
            </w:pPr>
            <w:r>
              <w:t>Incidence of melanoma</w:t>
            </w:r>
          </w:p>
        </w:tc>
        <w:tc>
          <w:tcPr>
            <w:tcW w:w="2636" w:type="dxa"/>
          </w:tcPr>
          <w:p w14:paraId="07B4654D" w14:textId="5051C8C2"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noWrap/>
          </w:tcPr>
          <w:p w14:paraId="2E9EEAB4" w14:textId="33E470F9" w:rsidR="00F768B7" w:rsidRPr="00885FE2" w:rsidRDefault="00F768B7" w:rsidP="004976DA">
            <w:pPr>
              <w:pStyle w:val="DHHStabletext"/>
            </w:pPr>
            <w:r>
              <w:t>3</w:t>
            </w:r>
            <w:r w:rsidR="00F028DD">
              <w:t>8</w:t>
            </w:r>
            <w:r w:rsidR="004976DA">
              <w:br/>
            </w:r>
            <w:r>
              <w:t>(201</w:t>
            </w:r>
            <w:r w:rsidR="00F028DD">
              <w:t>4</w:t>
            </w:r>
            <w:r>
              <w:t>)</w:t>
            </w:r>
          </w:p>
        </w:tc>
        <w:tc>
          <w:tcPr>
            <w:tcW w:w="1786" w:type="dxa"/>
            <w:noWrap/>
          </w:tcPr>
          <w:p w14:paraId="219EC9EB" w14:textId="6A161389" w:rsidR="00F768B7" w:rsidRPr="00885FE2" w:rsidRDefault="00F768B7" w:rsidP="0064412C">
            <w:pPr>
              <w:pStyle w:val="DHHStabletext"/>
            </w:pPr>
            <w:r>
              <w:t>42</w:t>
            </w:r>
            <w:r w:rsidR="0064412C">
              <w:br/>
            </w:r>
            <w:r>
              <w:t>(2017)</w:t>
            </w:r>
          </w:p>
        </w:tc>
        <w:tc>
          <w:tcPr>
            <w:tcW w:w="1786" w:type="dxa"/>
            <w:noWrap/>
          </w:tcPr>
          <w:p w14:paraId="63B4FDA2" w14:textId="5E0400E2" w:rsidR="00F768B7" w:rsidRPr="00885FE2" w:rsidRDefault="00F768B7" w:rsidP="0064412C">
            <w:pPr>
              <w:pStyle w:val="DHHStabletext"/>
            </w:pPr>
            <w:r w:rsidRPr="00A57D2E">
              <w:t>N/S</w:t>
            </w:r>
          </w:p>
        </w:tc>
        <w:tc>
          <w:tcPr>
            <w:tcW w:w="1787" w:type="dxa"/>
          </w:tcPr>
          <w:p w14:paraId="317311B6" w14:textId="067D6B92" w:rsidR="0064412C" w:rsidRPr="00AD1B27" w:rsidRDefault="00F768B7" w:rsidP="00425C31">
            <w:pPr>
              <w:pStyle w:val="DHHStabletext"/>
            </w:pPr>
            <w:r w:rsidRPr="00AD1B27">
              <w:t>▲</w:t>
            </w:r>
            <w:r w:rsidR="00425C31">
              <w:br/>
            </w:r>
            <w:r w:rsidR="00481DF0">
              <w:t>Up</w:t>
            </w:r>
            <w:r w:rsidR="0064412C" w:rsidRPr="00694104">
              <w:t>ward</w:t>
            </w:r>
          </w:p>
        </w:tc>
      </w:tr>
      <w:tr w:rsidR="00F768B7" w:rsidRPr="00885FE2" w14:paraId="6FDCC4DA" w14:textId="77777777" w:rsidTr="004976DA">
        <w:trPr>
          <w:trHeight w:val="541"/>
        </w:trPr>
        <w:tc>
          <w:tcPr>
            <w:tcW w:w="1379" w:type="dxa"/>
            <w:hideMark/>
          </w:tcPr>
          <w:p w14:paraId="5ECC1825" w14:textId="04673B0E" w:rsidR="00F768B7" w:rsidRPr="00885FE2" w:rsidRDefault="009D1534" w:rsidP="0064412C">
            <w:pPr>
              <w:pStyle w:val="DHHStabletext"/>
            </w:pPr>
            <w:hyperlink w:anchor="_Measure_1.6_–" w:history="1">
              <w:r w:rsidR="00F768B7" w:rsidRPr="00D03411">
                <w:rPr>
                  <w:rStyle w:val="Hyperlink"/>
                </w:rPr>
                <w:t>1.6</w:t>
              </w:r>
            </w:hyperlink>
          </w:p>
        </w:tc>
        <w:tc>
          <w:tcPr>
            <w:tcW w:w="3265" w:type="dxa"/>
          </w:tcPr>
          <w:p w14:paraId="56C739C1" w14:textId="77777777" w:rsidR="00F768B7" w:rsidRPr="00885FE2" w:rsidRDefault="00F768B7" w:rsidP="0064412C">
            <w:pPr>
              <w:pStyle w:val="DHHStabletext"/>
            </w:pPr>
            <w:r>
              <w:t>Incidence of female breast cancer</w:t>
            </w:r>
          </w:p>
        </w:tc>
        <w:tc>
          <w:tcPr>
            <w:tcW w:w="2636" w:type="dxa"/>
          </w:tcPr>
          <w:p w14:paraId="6A05E0DB" w14:textId="2F8FB109"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noWrap/>
          </w:tcPr>
          <w:p w14:paraId="7E901B0E" w14:textId="4FC3588F" w:rsidR="00F768B7" w:rsidRPr="00885FE2" w:rsidRDefault="00F768B7" w:rsidP="004976DA">
            <w:pPr>
              <w:pStyle w:val="DHHStabletext"/>
            </w:pPr>
            <w:r>
              <w:t>1</w:t>
            </w:r>
            <w:r w:rsidR="00F028DD">
              <w:t>26</w:t>
            </w:r>
            <w:r w:rsidR="004976DA">
              <w:br/>
            </w:r>
            <w:r>
              <w:t>(201</w:t>
            </w:r>
            <w:r w:rsidR="00F028DD">
              <w:t>4</w:t>
            </w:r>
            <w:r>
              <w:t>)</w:t>
            </w:r>
          </w:p>
        </w:tc>
        <w:tc>
          <w:tcPr>
            <w:tcW w:w="1786" w:type="dxa"/>
            <w:noWrap/>
          </w:tcPr>
          <w:p w14:paraId="796ADEB2" w14:textId="2F905423" w:rsidR="00F768B7" w:rsidRPr="00885FE2" w:rsidRDefault="00F768B7" w:rsidP="0064412C">
            <w:pPr>
              <w:pStyle w:val="DHHStabletext"/>
            </w:pPr>
            <w:r>
              <w:t>126</w:t>
            </w:r>
            <w:r w:rsidR="0064412C">
              <w:br/>
            </w:r>
            <w:r>
              <w:t>(2017)</w:t>
            </w:r>
          </w:p>
        </w:tc>
        <w:tc>
          <w:tcPr>
            <w:tcW w:w="1786" w:type="dxa"/>
            <w:noWrap/>
          </w:tcPr>
          <w:p w14:paraId="13EE4130" w14:textId="5AA2CAE5" w:rsidR="00F768B7" w:rsidRPr="00885FE2" w:rsidRDefault="00F768B7" w:rsidP="0064412C">
            <w:pPr>
              <w:pStyle w:val="DHHStabletext"/>
            </w:pPr>
            <w:r w:rsidRPr="00A57D2E">
              <w:t>N/S</w:t>
            </w:r>
          </w:p>
        </w:tc>
        <w:tc>
          <w:tcPr>
            <w:tcW w:w="1787" w:type="dxa"/>
          </w:tcPr>
          <w:p w14:paraId="36477EEB" w14:textId="7794F593" w:rsidR="00F768B7" w:rsidRPr="00AD1B27" w:rsidRDefault="00F028DD" w:rsidP="0064412C">
            <w:pPr>
              <w:pStyle w:val="DHHStabletext"/>
            </w:pPr>
            <w:r w:rsidRPr="00AD1B27">
              <w:t>■</w:t>
            </w:r>
            <w:r w:rsidR="0064412C">
              <w:br/>
            </w:r>
            <w:r>
              <w:t>No change</w:t>
            </w:r>
          </w:p>
        </w:tc>
      </w:tr>
      <w:tr w:rsidR="00F768B7" w:rsidRPr="00885FE2" w14:paraId="1ADB16E6" w14:textId="77777777" w:rsidTr="004976DA">
        <w:trPr>
          <w:trHeight w:val="619"/>
        </w:trPr>
        <w:tc>
          <w:tcPr>
            <w:tcW w:w="1379" w:type="dxa"/>
            <w:tcBorders>
              <w:bottom w:val="single" w:sz="4" w:space="0" w:color="AF272F"/>
            </w:tcBorders>
            <w:hideMark/>
          </w:tcPr>
          <w:p w14:paraId="0378C3FA" w14:textId="5050C22D" w:rsidR="00F768B7" w:rsidRPr="00885FE2" w:rsidRDefault="009D1534" w:rsidP="0064412C">
            <w:pPr>
              <w:pStyle w:val="DHHStabletext"/>
            </w:pPr>
            <w:hyperlink w:anchor="_Measure_1.7_–" w:history="1">
              <w:r w:rsidR="00F768B7" w:rsidRPr="00D03411">
                <w:rPr>
                  <w:rStyle w:val="Hyperlink"/>
                </w:rPr>
                <w:t>1.7</w:t>
              </w:r>
            </w:hyperlink>
          </w:p>
        </w:tc>
        <w:tc>
          <w:tcPr>
            <w:tcW w:w="3265" w:type="dxa"/>
            <w:tcBorders>
              <w:bottom w:val="single" w:sz="4" w:space="0" w:color="AF272F"/>
            </w:tcBorders>
          </w:tcPr>
          <w:p w14:paraId="4B030D22" w14:textId="1CBEC6A0" w:rsidR="00F768B7" w:rsidRPr="00885FE2" w:rsidRDefault="00F768B7" w:rsidP="0064412C">
            <w:pPr>
              <w:pStyle w:val="DHHStabletext"/>
            </w:pPr>
            <w:r>
              <w:t>Incidence of cancer of the cervix</w:t>
            </w:r>
          </w:p>
        </w:tc>
        <w:tc>
          <w:tcPr>
            <w:tcW w:w="2636" w:type="dxa"/>
            <w:tcBorders>
              <w:bottom w:val="single" w:sz="4" w:space="0" w:color="AF272F"/>
            </w:tcBorders>
          </w:tcPr>
          <w:p w14:paraId="764F0844" w14:textId="356AB3D4"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tcBorders>
              <w:bottom w:val="single" w:sz="4" w:space="0" w:color="AF272F"/>
            </w:tcBorders>
            <w:noWrap/>
          </w:tcPr>
          <w:p w14:paraId="50FD221F" w14:textId="7DA3323F" w:rsidR="00F768B7" w:rsidRPr="00885FE2" w:rsidRDefault="00F768B7" w:rsidP="004976DA">
            <w:pPr>
              <w:pStyle w:val="DHHStabletext"/>
            </w:pPr>
            <w:r>
              <w:t>6</w:t>
            </w:r>
            <w:r w:rsidR="005D5BDD">
              <w:t>.0</w:t>
            </w:r>
            <w:r w:rsidR="004976DA">
              <w:br/>
            </w:r>
            <w:r>
              <w:t>(201</w:t>
            </w:r>
            <w:r w:rsidR="00F028DD">
              <w:t>4</w:t>
            </w:r>
            <w:r>
              <w:t>)</w:t>
            </w:r>
          </w:p>
        </w:tc>
        <w:tc>
          <w:tcPr>
            <w:tcW w:w="1786" w:type="dxa"/>
            <w:tcBorders>
              <w:bottom w:val="single" w:sz="4" w:space="0" w:color="AF272F"/>
            </w:tcBorders>
            <w:noWrap/>
          </w:tcPr>
          <w:p w14:paraId="1A12DE33" w14:textId="6FDDEBF2" w:rsidR="00F768B7" w:rsidRPr="00885FE2" w:rsidRDefault="00F768B7" w:rsidP="004976DA">
            <w:pPr>
              <w:pStyle w:val="DHHStabletext"/>
            </w:pPr>
            <w:r>
              <w:t>6</w:t>
            </w:r>
            <w:r w:rsidR="00F028DD">
              <w:t>.3</w:t>
            </w:r>
            <w:r w:rsidR="004976DA">
              <w:br/>
            </w:r>
            <w:r>
              <w:t>(2017)</w:t>
            </w:r>
          </w:p>
        </w:tc>
        <w:tc>
          <w:tcPr>
            <w:tcW w:w="1786" w:type="dxa"/>
            <w:tcBorders>
              <w:bottom w:val="single" w:sz="4" w:space="0" w:color="AF272F"/>
            </w:tcBorders>
            <w:noWrap/>
          </w:tcPr>
          <w:p w14:paraId="60E30352" w14:textId="324EA981" w:rsidR="00F768B7" w:rsidRPr="00885FE2" w:rsidRDefault="00F768B7" w:rsidP="0064412C">
            <w:pPr>
              <w:pStyle w:val="DHHStabletext"/>
            </w:pPr>
            <w:r w:rsidRPr="00A57D2E">
              <w:t>N/S</w:t>
            </w:r>
          </w:p>
        </w:tc>
        <w:tc>
          <w:tcPr>
            <w:tcW w:w="1787" w:type="dxa"/>
            <w:tcBorders>
              <w:bottom w:val="single" w:sz="4" w:space="0" w:color="AF272F"/>
            </w:tcBorders>
          </w:tcPr>
          <w:p w14:paraId="000354DB" w14:textId="74707B65" w:rsidR="00F768B7" w:rsidRPr="00AD1B27" w:rsidRDefault="00F768B7" w:rsidP="0064412C">
            <w:pPr>
              <w:pStyle w:val="DHHStabletext"/>
            </w:pPr>
            <w:r w:rsidRPr="00AD1B27">
              <w:t>■</w:t>
            </w:r>
            <w:r w:rsidR="0064412C">
              <w:br/>
              <w:t>No change</w:t>
            </w:r>
          </w:p>
        </w:tc>
      </w:tr>
      <w:tr w:rsidR="00F768B7" w:rsidRPr="00885FE2" w14:paraId="0A57FAD2" w14:textId="77777777" w:rsidTr="004976DA">
        <w:trPr>
          <w:trHeight w:val="138"/>
        </w:trPr>
        <w:tc>
          <w:tcPr>
            <w:tcW w:w="1379" w:type="dxa"/>
            <w:tcBorders>
              <w:top w:val="single" w:sz="4" w:space="0" w:color="AF272F"/>
              <w:bottom w:val="single" w:sz="4" w:space="0" w:color="AF272F"/>
            </w:tcBorders>
            <w:hideMark/>
          </w:tcPr>
          <w:p w14:paraId="620A3804" w14:textId="03FCBAC0" w:rsidR="00F768B7" w:rsidRPr="00885FE2" w:rsidRDefault="009D1534" w:rsidP="0064412C">
            <w:pPr>
              <w:pStyle w:val="DHHStabletext"/>
            </w:pPr>
            <w:hyperlink w:anchor="_Measure_1.8_–" w:history="1">
              <w:r w:rsidR="00F768B7" w:rsidRPr="00D03411">
                <w:rPr>
                  <w:rStyle w:val="Hyperlink"/>
                </w:rPr>
                <w:t>1.8</w:t>
              </w:r>
            </w:hyperlink>
          </w:p>
        </w:tc>
        <w:tc>
          <w:tcPr>
            <w:tcW w:w="3265" w:type="dxa"/>
            <w:tcBorders>
              <w:top w:val="single" w:sz="4" w:space="0" w:color="AF272F"/>
              <w:bottom w:val="single" w:sz="4" w:space="0" w:color="AF272F"/>
            </w:tcBorders>
          </w:tcPr>
          <w:p w14:paraId="3D13DD8A" w14:textId="6079DB8A" w:rsidR="00F768B7" w:rsidRPr="00885FE2" w:rsidRDefault="00F768B7" w:rsidP="0064412C">
            <w:pPr>
              <w:pStyle w:val="DHHStabletext"/>
            </w:pPr>
            <w:r>
              <w:t>Incidence of liver cancer</w:t>
            </w:r>
            <w:r w:rsidR="008F6F4E">
              <w:t xml:space="preserve"> (primary)</w:t>
            </w:r>
          </w:p>
        </w:tc>
        <w:tc>
          <w:tcPr>
            <w:tcW w:w="2636" w:type="dxa"/>
            <w:tcBorders>
              <w:top w:val="single" w:sz="4" w:space="0" w:color="AF272F"/>
              <w:bottom w:val="single" w:sz="4" w:space="0" w:color="AF272F"/>
            </w:tcBorders>
          </w:tcPr>
          <w:p w14:paraId="6F65B212" w14:textId="5BC4EB40" w:rsidR="00F768B7" w:rsidRPr="00885FE2" w:rsidRDefault="00F768B7" w:rsidP="0064412C">
            <w:pPr>
              <w:pStyle w:val="DHHStabletext"/>
            </w:pPr>
            <w:r>
              <w:t>Rate</w:t>
            </w:r>
            <w:r w:rsidR="0064412C">
              <w:t xml:space="preserve"> </w:t>
            </w:r>
            <w:r>
              <w:t>(age-adjusted,</w:t>
            </w:r>
            <w:r w:rsidR="0064412C">
              <w:t xml:space="preserve"> </w:t>
            </w:r>
            <w:r>
              <w:t>per 100,000)</w:t>
            </w:r>
          </w:p>
        </w:tc>
        <w:tc>
          <w:tcPr>
            <w:tcW w:w="1786" w:type="dxa"/>
            <w:tcBorders>
              <w:top w:val="single" w:sz="4" w:space="0" w:color="AF272F"/>
              <w:bottom w:val="single" w:sz="4" w:space="0" w:color="AF272F"/>
            </w:tcBorders>
            <w:noWrap/>
          </w:tcPr>
          <w:p w14:paraId="2B6D4A63" w14:textId="0D9EB3D2" w:rsidR="00F768B7" w:rsidRPr="00885FE2" w:rsidRDefault="00F028DD" w:rsidP="004976DA">
            <w:pPr>
              <w:pStyle w:val="DHHStabletext"/>
            </w:pPr>
            <w:r>
              <w:t>8.4</w:t>
            </w:r>
            <w:r w:rsidR="004976DA">
              <w:br/>
            </w:r>
            <w:r w:rsidR="00F768B7">
              <w:t>(201</w:t>
            </w:r>
            <w:r>
              <w:t>4</w:t>
            </w:r>
            <w:r w:rsidR="00F768B7">
              <w:t>)</w:t>
            </w:r>
          </w:p>
        </w:tc>
        <w:tc>
          <w:tcPr>
            <w:tcW w:w="1786" w:type="dxa"/>
            <w:tcBorders>
              <w:top w:val="single" w:sz="4" w:space="0" w:color="AF272F"/>
              <w:bottom w:val="single" w:sz="4" w:space="0" w:color="AF272F"/>
            </w:tcBorders>
            <w:noWrap/>
          </w:tcPr>
          <w:p w14:paraId="1ACB7688" w14:textId="4802FEBD" w:rsidR="00F768B7" w:rsidRPr="00885FE2" w:rsidRDefault="00F768B7" w:rsidP="004976DA">
            <w:pPr>
              <w:pStyle w:val="DHHStabletext"/>
            </w:pPr>
            <w:r>
              <w:t>7</w:t>
            </w:r>
            <w:r w:rsidR="00F028DD">
              <w:t>.5</w:t>
            </w:r>
            <w:r w:rsidR="004976DA">
              <w:br/>
            </w:r>
            <w:r>
              <w:t>(2017)</w:t>
            </w:r>
          </w:p>
        </w:tc>
        <w:tc>
          <w:tcPr>
            <w:tcW w:w="1786" w:type="dxa"/>
            <w:tcBorders>
              <w:top w:val="single" w:sz="4" w:space="0" w:color="AF272F"/>
              <w:bottom w:val="single" w:sz="4" w:space="0" w:color="AF272F"/>
            </w:tcBorders>
            <w:noWrap/>
            <w:hideMark/>
          </w:tcPr>
          <w:p w14:paraId="0A8F0C96" w14:textId="651D5E9B" w:rsidR="00F768B7" w:rsidRPr="00885FE2" w:rsidRDefault="00F768B7" w:rsidP="0064412C">
            <w:pPr>
              <w:pStyle w:val="DHHStabletext"/>
            </w:pPr>
            <w:r w:rsidRPr="00A57D2E">
              <w:t>N/S</w:t>
            </w:r>
          </w:p>
        </w:tc>
        <w:tc>
          <w:tcPr>
            <w:tcW w:w="1787" w:type="dxa"/>
            <w:tcBorders>
              <w:top w:val="single" w:sz="4" w:space="0" w:color="AF272F"/>
              <w:bottom w:val="single" w:sz="4" w:space="0" w:color="AF272F"/>
            </w:tcBorders>
          </w:tcPr>
          <w:p w14:paraId="2CE28D6B" w14:textId="59AF97F1" w:rsidR="0064412C" w:rsidRPr="00AD1B27" w:rsidRDefault="00481DF0" w:rsidP="00425C31">
            <w:pPr>
              <w:pStyle w:val="DHHStabletext"/>
            </w:pPr>
            <w:r w:rsidRPr="00584FEB">
              <w:rPr>
                <w:b/>
              </w:rPr>
              <w:sym w:font="Symbol" w:char="F0F0"/>
            </w:r>
            <w:r w:rsidR="00425C31">
              <w:br/>
            </w:r>
            <w:r w:rsidR="0064412C">
              <w:t>No change</w:t>
            </w:r>
          </w:p>
        </w:tc>
      </w:tr>
    </w:tbl>
    <w:p w14:paraId="2AEB1AAD" w14:textId="38126774" w:rsidR="00F768B7" w:rsidRDefault="00F768B7" w:rsidP="00C1114C">
      <w:pPr>
        <w:pStyle w:val="Heading5"/>
      </w:pPr>
      <w:r w:rsidRPr="004A5EC9">
        <w:lastRenderedPageBreak/>
        <w:t>Key result: Decrease deaths due to cancer</w:t>
      </w:r>
    </w:p>
    <w:tbl>
      <w:tblPr>
        <w:tblStyle w:val="TableGrid"/>
        <w:tblW w:w="14454" w:type="dxa"/>
        <w:tblInd w:w="0" w:type="dxa"/>
        <w:tblBorders>
          <w:top w:val="none" w:sz="0" w:space="0" w:color="auto"/>
          <w:left w:val="none" w:sz="0" w:space="0" w:color="auto"/>
          <w:bottom w:val="none" w:sz="0" w:space="0" w:color="auto"/>
          <w:right w:val="none" w:sz="0" w:space="0" w:color="auto"/>
          <w:insideH w:val="single" w:sz="4" w:space="0" w:color="AF272F"/>
          <w:insideV w:val="none" w:sz="0" w:space="0" w:color="auto"/>
        </w:tblBorders>
        <w:tblLayout w:type="fixed"/>
        <w:tblLook w:val="04A0" w:firstRow="1" w:lastRow="0" w:firstColumn="1" w:lastColumn="0" w:noHBand="0" w:noVBand="1"/>
      </w:tblPr>
      <w:tblGrid>
        <w:gridCol w:w="1413"/>
        <w:gridCol w:w="3260"/>
        <w:gridCol w:w="2552"/>
        <w:gridCol w:w="1807"/>
        <w:gridCol w:w="1807"/>
        <w:gridCol w:w="1807"/>
        <w:gridCol w:w="1808"/>
      </w:tblGrid>
      <w:tr w:rsidR="0064412C" w:rsidRPr="00885FE2" w14:paraId="75F3D266" w14:textId="77777777" w:rsidTr="00D12913">
        <w:trPr>
          <w:trHeight w:val="666"/>
          <w:tblHeader/>
        </w:trPr>
        <w:tc>
          <w:tcPr>
            <w:tcW w:w="1413" w:type="dxa"/>
            <w:tcBorders>
              <w:top w:val="nil"/>
              <w:bottom w:val="single" w:sz="4" w:space="0" w:color="AF272F"/>
            </w:tcBorders>
            <w:shd w:val="clear" w:color="auto" w:fill="EDCDCF"/>
          </w:tcPr>
          <w:p w14:paraId="689D7BD8" w14:textId="48AB8134" w:rsidR="0064412C" w:rsidRPr="0064412C" w:rsidRDefault="0064412C" w:rsidP="00A44D67">
            <w:pPr>
              <w:pStyle w:val="DHHStablecolhead"/>
            </w:pPr>
            <w:r w:rsidRPr="00F768B7">
              <w:t>Measure #</w:t>
            </w:r>
          </w:p>
        </w:tc>
        <w:tc>
          <w:tcPr>
            <w:tcW w:w="3260" w:type="dxa"/>
            <w:tcBorders>
              <w:top w:val="nil"/>
              <w:bottom w:val="single" w:sz="4" w:space="0" w:color="AF272F"/>
            </w:tcBorders>
            <w:shd w:val="clear" w:color="auto" w:fill="EDCDCF"/>
          </w:tcPr>
          <w:p w14:paraId="7CA4ED39" w14:textId="34F15C1B" w:rsidR="0064412C" w:rsidRPr="0064412C" w:rsidRDefault="0064412C" w:rsidP="00A44D67">
            <w:pPr>
              <w:pStyle w:val="DHHStablecolhead"/>
            </w:pPr>
            <w:r w:rsidRPr="00F768B7">
              <w:t>Description</w:t>
            </w:r>
          </w:p>
        </w:tc>
        <w:tc>
          <w:tcPr>
            <w:tcW w:w="2552" w:type="dxa"/>
            <w:tcBorders>
              <w:top w:val="nil"/>
              <w:bottom w:val="single" w:sz="4" w:space="0" w:color="AF272F"/>
            </w:tcBorders>
            <w:shd w:val="clear" w:color="auto" w:fill="EDCDCF"/>
          </w:tcPr>
          <w:p w14:paraId="5E2DA927" w14:textId="2A674C7B" w:rsidR="0064412C" w:rsidRPr="0064412C" w:rsidRDefault="0064412C" w:rsidP="00A44D67">
            <w:pPr>
              <w:pStyle w:val="DHHStablecolhead"/>
            </w:pPr>
            <w:r w:rsidRPr="00F768B7">
              <w:t>Unit of measure</w:t>
            </w:r>
          </w:p>
        </w:tc>
        <w:tc>
          <w:tcPr>
            <w:tcW w:w="1807" w:type="dxa"/>
            <w:tcBorders>
              <w:top w:val="nil"/>
              <w:bottom w:val="single" w:sz="4" w:space="0" w:color="AF272F"/>
            </w:tcBorders>
            <w:shd w:val="clear" w:color="auto" w:fill="EDCDCF"/>
            <w:noWrap/>
          </w:tcPr>
          <w:p w14:paraId="57EDC7E6" w14:textId="77777777" w:rsidR="0064412C" w:rsidRPr="00F768B7" w:rsidRDefault="0064412C" w:rsidP="00A44D67">
            <w:pPr>
              <w:pStyle w:val="DHHStablecolhead"/>
            </w:pPr>
            <w:r w:rsidRPr="00F768B7">
              <w:t>Baseline</w:t>
            </w:r>
          </w:p>
          <w:p w14:paraId="18BF2A57" w14:textId="581AABC1" w:rsidR="0064412C" w:rsidRPr="0064412C" w:rsidRDefault="0064412C" w:rsidP="00A44D67">
            <w:pPr>
              <w:pStyle w:val="DHHStablecolhead"/>
            </w:pPr>
            <w:r w:rsidRPr="00F768B7">
              <w:t>(year)</w:t>
            </w:r>
          </w:p>
        </w:tc>
        <w:tc>
          <w:tcPr>
            <w:tcW w:w="1807" w:type="dxa"/>
            <w:tcBorders>
              <w:top w:val="nil"/>
              <w:bottom w:val="single" w:sz="4" w:space="0" w:color="AF272F"/>
            </w:tcBorders>
            <w:shd w:val="clear" w:color="auto" w:fill="EDCDCF"/>
            <w:noWrap/>
          </w:tcPr>
          <w:p w14:paraId="123BE5DB" w14:textId="77777777" w:rsidR="0064412C" w:rsidRPr="00F768B7" w:rsidRDefault="0064412C" w:rsidP="00A44D67">
            <w:pPr>
              <w:pStyle w:val="DHHStablecolhead"/>
            </w:pPr>
            <w:r w:rsidRPr="00F768B7">
              <w:t>Most recent</w:t>
            </w:r>
          </w:p>
          <w:p w14:paraId="78C81807" w14:textId="1EEDB4C3" w:rsidR="0064412C" w:rsidRPr="0064412C" w:rsidRDefault="0064412C" w:rsidP="00A44D67">
            <w:pPr>
              <w:pStyle w:val="DHHStablecolhead"/>
            </w:pPr>
            <w:r w:rsidRPr="00F768B7">
              <w:t>(year)</w:t>
            </w:r>
          </w:p>
        </w:tc>
        <w:tc>
          <w:tcPr>
            <w:tcW w:w="1807" w:type="dxa"/>
            <w:tcBorders>
              <w:top w:val="nil"/>
              <w:bottom w:val="single" w:sz="4" w:space="0" w:color="AF272F"/>
            </w:tcBorders>
            <w:shd w:val="clear" w:color="auto" w:fill="EDCDCF"/>
            <w:noWrap/>
          </w:tcPr>
          <w:p w14:paraId="2F4ECF3D" w14:textId="203C6B24" w:rsidR="0064412C" w:rsidRPr="0064412C" w:rsidRDefault="0064412C" w:rsidP="00A44D67">
            <w:pPr>
              <w:pStyle w:val="DHHStablecolhead"/>
            </w:pPr>
            <w:r w:rsidRPr="00F768B7">
              <w:t>Target</w:t>
            </w:r>
          </w:p>
        </w:tc>
        <w:tc>
          <w:tcPr>
            <w:tcW w:w="1808" w:type="dxa"/>
            <w:tcBorders>
              <w:top w:val="nil"/>
              <w:bottom w:val="single" w:sz="4" w:space="0" w:color="AF272F"/>
            </w:tcBorders>
            <w:shd w:val="clear" w:color="auto" w:fill="EDCDCF"/>
          </w:tcPr>
          <w:p w14:paraId="7D711306" w14:textId="48E716CC" w:rsidR="0064412C" w:rsidRPr="0064412C" w:rsidRDefault="0064412C" w:rsidP="00A44D67">
            <w:pPr>
              <w:pStyle w:val="DHHStablecolhead"/>
            </w:pPr>
            <w:r w:rsidRPr="00F768B7">
              <w:t>Trend</w:t>
            </w:r>
          </w:p>
        </w:tc>
      </w:tr>
      <w:tr w:rsidR="0064412C" w:rsidRPr="00885FE2" w14:paraId="3F5C00E5" w14:textId="77777777" w:rsidTr="00D12913">
        <w:trPr>
          <w:trHeight w:val="666"/>
        </w:trPr>
        <w:tc>
          <w:tcPr>
            <w:tcW w:w="1413" w:type="dxa"/>
            <w:tcBorders>
              <w:top w:val="single" w:sz="4" w:space="0" w:color="AF272F"/>
            </w:tcBorders>
            <w:hideMark/>
          </w:tcPr>
          <w:p w14:paraId="2673CB3F" w14:textId="6D304AC5" w:rsidR="0064412C" w:rsidRPr="00C1114C" w:rsidRDefault="009D1534" w:rsidP="00C1114C">
            <w:pPr>
              <w:pStyle w:val="DHHStabletext"/>
            </w:pPr>
            <w:hyperlink w:anchor="_Measure_2.1_–" w:history="1">
              <w:r w:rsidR="0064412C" w:rsidRPr="00D03411">
                <w:rPr>
                  <w:rStyle w:val="Hyperlink"/>
                </w:rPr>
                <w:t>2.1</w:t>
              </w:r>
            </w:hyperlink>
          </w:p>
        </w:tc>
        <w:tc>
          <w:tcPr>
            <w:tcW w:w="3260" w:type="dxa"/>
            <w:tcBorders>
              <w:top w:val="single" w:sz="4" w:space="0" w:color="AF272F"/>
            </w:tcBorders>
          </w:tcPr>
          <w:p w14:paraId="43490694" w14:textId="77777777" w:rsidR="0064412C" w:rsidRPr="00C1114C" w:rsidRDefault="0064412C" w:rsidP="00C1114C">
            <w:pPr>
              <w:pStyle w:val="DHHStabletext"/>
            </w:pPr>
            <w:r w:rsidRPr="00C1114C">
              <w:t>Death rate due to cancer</w:t>
            </w:r>
          </w:p>
        </w:tc>
        <w:tc>
          <w:tcPr>
            <w:tcW w:w="2552" w:type="dxa"/>
            <w:tcBorders>
              <w:top w:val="single" w:sz="4" w:space="0" w:color="AF272F"/>
            </w:tcBorders>
          </w:tcPr>
          <w:p w14:paraId="62942281" w14:textId="0D255B0E" w:rsidR="0064412C" w:rsidRPr="00C1114C" w:rsidRDefault="0064412C" w:rsidP="00C1114C">
            <w:pPr>
              <w:pStyle w:val="DHHStabletext"/>
            </w:pPr>
            <w:r w:rsidRPr="00C1114C">
              <w:t>Rate (age-adjusted, per 100,000)</w:t>
            </w:r>
          </w:p>
        </w:tc>
        <w:tc>
          <w:tcPr>
            <w:tcW w:w="1807" w:type="dxa"/>
            <w:tcBorders>
              <w:top w:val="single" w:sz="4" w:space="0" w:color="AF272F"/>
            </w:tcBorders>
            <w:noWrap/>
          </w:tcPr>
          <w:p w14:paraId="67FC93B7" w14:textId="15C09BE9" w:rsidR="0064412C" w:rsidRPr="00C1114C" w:rsidRDefault="0064412C" w:rsidP="004976DA">
            <w:pPr>
              <w:pStyle w:val="DHHStabletext"/>
            </w:pPr>
            <w:r w:rsidRPr="00C1114C">
              <w:t>172</w:t>
            </w:r>
            <w:r w:rsidR="004976DA">
              <w:br/>
            </w:r>
            <w:r w:rsidRPr="00C1114C">
              <w:t>(2010)</w:t>
            </w:r>
          </w:p>
        </w:tc>
        <w:tc>
          <w:tcPr>
            <w:tcW w:w="1807" w:type="dxa"/>
            <w:tcBorders>
              <w:top w:val="single" w:sz="4" w:space="0" w:color="AF272F"/>
            </w:tcBorders>
            <w:noWrap/>
          </w:tcPr>
          <w:p w14:paraId="5FBBC00D" w14:textId="5EC6293F" w:rsidR="0064412C" w:rsidRPr="00C1114C" w:rsidRDefault="0064412C" w:rsidP="004976DA">
            <w:pPr>
              <w:pStyle w:val="DHHStabletext"/>
            </w:pPr>
            <w:r w:rsidRPr="00C1114C">
              <w:t>145</w:t>
            </w:r>
            <w:r w:rsidR="004976DA">
              <w:br/>
            </w:r>
            <w:r w:rsidRPr="00C1114C">
              <w:t>(2017)</w:t>
            </w:r>
          </w:p>
        </w:tc>
        <w:tc>
          <w:tcPr>
            <w:tcW w:w="1807" w:type="dxa"/>
            <w:tcBorders>
              <w:top w:val="single" w:sz="4" w:space="0" w:color="AF272F"/>
            </w:tcBorders>
            <w:noWrap/>
          </w:tcPr>
          <w:p w14:paraId="40C39421" w14:textId="77777777" w:rsidR="0064412C" w:rsidRPr="00C1114C" w:rsidRDefault="0064412C" w:rsidP="00C1114C">
            <w:pPr>
              <w:pStyle w:val="DHHStabletext"/>
            </w:pPr>
            <w:r w:rsidRPr="00C1114C">
              <w:t>N/S</w:t>
            </w:r>
          </w:p>
        </w:tc>
        <w:tc>
          <w:tcPr>
            <w:tcW w:w="1808" w:type="dxa"/>
            <w:tcBorders>
              <w:top w:val="single" w:sz="4" w:space="0" w:color="AF272F"/>
            </w:tcBorders>
          </w:tcPr>
          <w:p w14:paraId="2A1694ED" w14:textId="69565196" w:rsidR="0064412C" w:rsidRPr="00C1114C" w:rsidRDefault="0064412C" w:rsidP="00C1114C">
            <w:pPr>
              <w:pStyle w:val="DHHStabletext"/>
            </w:pPr>
            <w:r w:rsidRPr="00C1114C">
              <w:t>▼</w:t>
            </w:r>
            <w:r w:rsidRPr="00C1114C">
              <w:br/>
              <w:t>Downward</w:t>
            </w:r>
          </w:p>
        </w:tc>
      </w:tr>
      <w:tr w:rsidR="0064412C" w:rsidRPr="00885FE2" w14:paraId="65EE2935" w14:textId="77777777" w:rsidTr="00D12913">
        <w:trPr>
          <w:trHeight w:val="704"/>
        </w:trPr>
        <w:tc>
          <w:tcPr>
            <w:tcW w:w="1413" w:type="dxa"/>
            <w:tcBorders>
              <w:bottom w:val="single" w:sz="4" w:space="0" w:color="AF272F"/>
            </w:tcBorders>
            <w:hideMark/>
          </w:tcPr>
          <w:p w14:paraId="479B1EE4" w14:textId="71A4B627" w:rsidR="0064412C" w:rsidRPr="00C1114C" w:rsidRDefault="009D1534" w:rsidP="00C1114C">
            <w:pPr>
              <w:pStyle w:val="DHHStabletext"/>
            </w:pPr>
            <w:hyperlink w:anchor="_Measure_2.2_–" w:history="1">
              <w:r w:rsidR="0064412C" w:rsidRPr="00D03411">
                <w:rPr>
                  <w:rStyle w:val="Hyperlink"/>
                </w:rPr>
                <w:t>2.2</w:t>
              </w:r>
            </w:hyperlink>
          </w:p>
        </w:tc>
        <w:tc>
          <w:tcPr>
            <w:tcW w:w="3260" w:type="dxa"/>
            <w:tcBorders>
              <w:bottom w:val="single" w:sz="4" w:space="0" w:color="AF272F"/>
            </w:tcBorders>
          </w:tcPr>
          <w:p w14:paraId="24FCF888" w14:textId="77777777" w:rsidR="0064412C" w:rsidRPr="00C1114C" w:rsidRDefault="0064412C" w:rsidP="00C1114C">
            <w:pPr>
              <w:pStyle w:val="DHHStabletext"/>
            </w:pPr>
            <w:r w:rsidRPr="00C1114C">
              <w:t>Premature death rate due to cancer</w:t>
            </w:r>
          </w:p>
        </w:tc>
        <w:tc>
          <w:tcPr>
            <w:tcW w:w="2552" w:type="dxa"/>
            <w:tcBorders>
              <w:bottom w:val="single" w:sz="4" w:space="0" w:color="AF272F"/>
            </w:tcBorders>
          </w:tcPr>
          <w:p w14:paraId="372091E9" w14:textId="2493E149" w:rsidR="0064412C" w:rsidRPr="00C1114C" w:rsidRDefault="0064412C" w:rsidP="00C1114C">
            <w:pPr>
              <w:pStyle w:val="DHHStabletext"/>
            </w:pPr>
            <w:r w:rsidRPr="00C1114C">
              <w:t>Rate (age-adjusted, per 100,000)</w:t>
            </w:r>
          </w:p>
        </w:tc>
        <w:tc>
          <w:tcPr>
            <w:tcW w:w="1807" w:type="dxa"/>
            <w:tcBorders>
              <w:bottom w:val="single" w:sz="4" w:space="0" w:color="AF272F"/>
            </w:tcBorders>
            <w:noWrap/>
          </w:tcPr>
          <w:p w14:paraId="778A5E73" w14:textId="6BD5959C" w:rsidR="0064412C" w:rsidRPr="00C1114C" w:rsidRDefault="0064412C" w:rsidP="004976DA">
            <w:pPr>
              <w:pStyle w:val="DHHStabletext"/>
            </w:pPr>
            <w:r w:rsidRPr="00C1114C">
              <w:t>91</w:t>
            </w:r>
            <w:r w:rsidR="004976DA">
              <w:br/>
            </w:r>
            <w:r w:rsidRPr="00C1114C">
              <w:t>(2010)</w:t>
            </w:r>
          </w:p>
        </w:tc>
        <w:tc>
          <w:tcPr>
            <w:tcW w:w="1807" w:type="dxa"/>
            <w:tcBorders>
              <w:bottom w:val="single" w:sz="4" w:space="0" w:color="AF272F"/>
            </w:tcBorders>
            <w:noWrap/>
          </w:tcPr>
          <w:p w14:paraId="12565492" w14:textId="73293C76" w:rsidR="0064412C" w:rsidRPr="00C1114C" w:rsidRDefault="0064412C" w:rsidP="004976DA">
            <w:pPr>
              <w:pStyle w:val="DHHStabletext"/>
            </w:pPr>
            <w:r w:rsidRPr="00C1114C">
              <w:t>76</w:t>
            </w:r>
            <w:r w:rsidR="004976DA">
              <w:br/>
            </w:r>
            <w:r w:rsidRPr="00C1114C">
              <w:t>(2017)</w:t>
            </w:r>
          </w:p>
        </w:tc>
        <w:tc>
          <w:tcPr>
            <w:tcW w:w="1807" w:type="dxa"/>
            <w:tcBorders>
              <w:bottom w:val="single" w:sz="4" w:space="0" w:color="AF272F"/>
            </w:tcBorders>
            <w:noWrap/>
          </w:tcPr>
          <w:p w14:paraId="14F72302" w14:textId="5FA9AA37" w:rsidR="0064412C" w:rsidRPr="00C1114C" w:rsidRDefault="0064412C" w:rsidP="00C1114C">
            <w:pPr>
              <w:pStyle w:val="DHHStabletext"/>
            </w:pPr>
            <w:r w:rsidRPr="00C1114C">
              <w:t>25 per cent decrease (2025)</w:t>
            </w:r>
          </w:p>
        </w:tc>
        <w:tc>
          <w:tcPr>
            <w:tcW w:w="1808" w:type="dxa"/>
            <w:tcBorders>
              <w:bottom w:val="single" w:sz="4" w:space="0" w:color="AF272F"/>
            </w:tcBorders>
          </w:tcPr>
          <w:p w14:paraId="6806BF84" w14:textId="13C9D483" w:rsidR="0064412C" w:rsidRPr="00C1114C" w:rsidRDefault="0064412C" w:rsidP="00425C31">
            <w:pPr>
              <w:pStyle w:val="DHHStabletext"/>
            </w:pPr>
            <w:r w:rsidRPr="00C1114C">
              <w:t>▼</w:t>
            </w:r>
            <w:r w:rsidR="00425C31">
              <w:br/>
            </w:r>
            <w:r w:rsidRPr="00C1114C">
              <w:t>Downward</w:t>
            </w:r>
          </w:p>
        </w:tc>
      </w:tr>
      <w:tr w:rsidR="0064412C" w:rsidRPr="00885FE2" w14:paraId="116D9429" w14:textId="77777777" w:rsidTr="00D12913">
        <w:trPr>
          <w:trHeight w:val="544"/>
        </w:trPr>
        <w:tc>
          <w:tcPr>
            <w:tcW w:w="1413" w:type="dxa"/>
            <w:tcBorders>
              <w:top w:val="single" w:sz="4" w:space="0" w:color="AF272F"/>
              <w:bottom w:val="single" w:sz="4" w:space="0" w:color="AF272F"/>
            </w:tcBorders>
            <w:hideMark/>
          </w:tcPr>
          <w:p w14:paraId="7CAFB290" w14:textId="76AE715A" w:rsidR="0064412C" w:rsidRPr="00C1114C" w:rsidRDefault="009D1534" w:rsidP="00C1114C">
            <w:pPr>
              <w:pStyle w:val="DHHStabletext"/>
            </w:pPr>
            <w:hyperlink w:anchor="_Measure_2.3_–" w:history="1">
              <w:r w:rsidR="0064412C" w:rsidRPr="00D03411">
                <w:rPr>
                  <w:rStyle w:val="Hyperlink"/>
                </w:rPr>
                <w:t>2.3</w:t>
              </w:r>
            </w:hyperlink>
          </w:p>
        </w:tc>
        <w:tc>
          <w:tcPr>
            <w:tcW w:w="3260" w:type="dxa"/>
            <w:tcBorders>
              <w:top w:val="single" w:sz="4" w:space="0" w:color="AF272F"/>
              <w:bottom w:val="single" w:sz="4" w:space="0" w:color="AF272F"/>
            </w:tcBorders>
          </w:tcPr>
          <w:p w14:paraId="7B62361F" w14:textId="77777777" w:rsidR="0064412C" w:rsidRPr="00C1114C" w:rsidRDefault="0064412C" w:rsidP="00C1114C">
            <w:pPr>
              <w:pStyle w:val="DHHStabletext"/>
            </w:pPr>
            <w:r w:rsidRPr="00C1114C">
              <w:t>Number of deaths averted</w:t>
            </w:r>
          </w:p>
        </w:tc>
        <w:tc>
          <w:tcPr>
            <w:tcW w:w="2552" w:type="dxa"/>
            <w:tcBorders>
              <w:top w:val="single" w:sz="4" w:space="0" w:color="AF272F"/>
              <w:bottom w:val="single" w:sz="4" w:space="0" w:color="AF272F"/>
            </w:tcBorders>
          </w:tcPr>
          <w:p w14:paraId="01C32E30" w14:textId="77777777" w:rsidR="0064412C" w:rsidRPr="00C1114C" w:rsidRDefault="0064412C" w:rsidP="00C1114C">
            <w:pPr>
              <w:pStyle w:val="DHHStabletext"/>
            </w:pPr>
            <w:r w:rsidRPr="00C1114C">
              <w:t>Number (’000)</w:t>
            </w:r>
          </w:p>
        </w:tc>
        <w:tc>
          <w:tcPr>
            <w:tcW w:w="1807" w:type="dxa"/>
            <w:tcBorders>
              <w:top w:val="single" w:sz="4" w:space="0" w:color="AF272F"/>
              <w:bottom w:val="single" w:sz="4" w:space="0" w:color="AF272F"/>
            </w:tcBorders>
            <w:noWrap/>
          </w:tcPr>
          <w:p w14:paraId="37CFA2B5" w14:textId="11E8D674" w:rsidR="0064412C" w:rsidRPr="00C1114C" w:rsidRDefault="0018796E" w:rsidP="004976DA">
            <w:pPr>
              <w:pStyle w:val="DHHStabletext"/>
            </w:pPr>
            <w:r>
              <w:t>N/A</w:t>
            </w:r>
          </w:p>
        </w:tc>
        <w:tc>
          <w:tcPr>
            <w:tcW w:w="1807" w:type="dxa"/>
            <w:tcBorders>
              <w:top w:val="single" w:sz="4" w:space="0" w:color="AF272F"/>
              <w:bottom w:val="single" w:sz="4" w:space="0" w:color="AF272F"/>
            </w:tcBorders>
            <w:noWrap/>
          </w:tcPr>
          <w:p w14:paraId="33A1C73C" w14:textId="749D3EC5" w:rsidR="0064412C" w:rsidRPr="00C1114C" w:rsidRDefault="0018796E" w:rsidP="004976DA">
            <w:pPr>
              <w:pStyle w:val="DHHStabletext"/>
            </w:pPr>
            <w:r>
              <w:t>2,815</w:t>
            </w:r>
            <w:r w:rsidR="004976DA">
              <w:br/>
            </w:r>
            <w:r w:rsidR="0064412C" w:rsidRPr="00C1114C">
              <w:t>(</w:t>
            </w:r>
            <w:r>
              <w:t>2015-</w:t>
            </w:r>
            <w:r w:rsidR="0064412C" w:rsidRPr="00C1114C">
              <w:t>2017)</w:t>
            </w:r>
          </w:p>
        </w:tc>
        <w:tc>
          <w:tcPr>
            <w:tcW w:w="1807" w:type="dxa"/>
            <w:tcBorders>
              <w:top w:val="single" w:sz="4" w:space="0" w:color="AF272F"/>
              <w:bottom w:val="single" w:sz="4" w:space="0" w:color="AF272F"/>
            </w:tcBorders>
            <w:noWrap/>
          </w:tcPr>
          <w:p w14:paraId="1F931F8F" w14:textId="21EFA954" w:rsidR="0064412C" w:rsidRPr="00C1114C" w:rsidRDefault="0064412C" w:rsidP="004976DA">
            <w:pPr>
              <w:pStyle w:val="DHHStabletext"/>
            </w:pPr>
            <w:r w:rsidRPr="00C1114C">
              <w:t xml:space="preserve">10,000 lives saved </w:t>
            </w:r>
            <w:r w:rsidR="004976DA">
              <w:br/>
            </w:r>
            <w:r w:rsidRPr="00C1114C">
              <w:t>(2025)</w:t>
            </w:r>
          </w:p>
        </w:tc>
        <w:tc>
          <w:tcPr>
            <w:tcW w:w="1808" w:type="dxa"/>
            <w:tcBorders>
              <w:top w:val="single" w:sz="4" w:space="0" w:color="AF272F"/>
              <w:bottom w:val="single" w:sz="4" w:space="0" w:color="AF272F"/>
            </w:tcBorders>
          </w:tcPr>
          <w:p w14:paraId="6A2E688B" w14:textId="7853BF43" w:rsidR="0064412C" w:rsidRPr="00C1114C" w:rsidRDefault="0064412C" w:rsidP="00425C31">
            <w:pPr>
              <w:pStyle w:val="DHHStabletext"/>
            </w:pPr>
            <w:r w:rsidRPr="00C1114C">
              <w:t>▲</w:t>
            </w:r>
            <w:r w:rsidR="00425C31">
              <w:br/>
            </w:r>
            <w:r w:rsidRPr="00C1114C">
              <w:t>Upward</w:t>
            </w:r>
          </w:p>
        </w:tc>
      </w:tr>
    </w:tbl>
    <w:p w14:paraId="673D5C7F" w14:textId="3C8EB1C8" w:rsidR="0064412C" w:rsidRDefault="0064412C" w:rsidP="00C1114C">
      <w:pPr>
        <w:pStyle w:val="Heading5"/>
      </w:pPr>
      <w:r w:rsidRPr="00CD7A1C">
        <w:t>Key result: I</w:t>
      </w:r>
      <w:r>
        <w:t>ncrease</w:t>
      </w:r>
      <w:r w:rsidRPr="00CD7A1C">
        <w:t xml:space="preserve"> survivorship quality of life</w:t>
      </w:r>
    </w:p>
    <w:tbl>
      <w:tblPr>
        <w:tblStyle w:val="TableGrid"/>
        <w:tblW w:w="14454"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37"/>
        <w:gridCol w:w="1843"/>
        <w:gridCol w:w="1706"/>
        <w:gridCol w:w="1838"/>
      </w:tblGrid>
      <w:tr w:rsidR="00C1114C" w:rsidRPr="00885FE2" w14:paraId="62AFF9F8" w14:textId="77777777" w:rsidTr="00957CB6">
        <w:trPr>
          <w:trHeight w:val="587"/>
        </w:trPr>
        <w:tc>
          <w:tcPr>
            <w:tcW w:w="1418" w:type="dxa"/>
            <w:tcBorders>
              <w:top w:val="nil"/>
            </w:tcBorders>
            <w:shd w:val="clear" w:color="auto" w:fill="EDCDCF"/>
          </w:tcPr>
          <w:p w14:paraId="5A445828" w14:textId="08D9AF0D" w:rsidR="00C1114C" w:rsidRPr="00885FE2" w:rsidRDefault="00C1114C" w:rsidP="00727B64">
            <w:pPr>
              <w:pStyle w:val="DHHStablecolhead"/>
              <w:rPr>
                <w:rFonts w:cs="Arial"/>
                <w:sz w:val="18"/>
                <w:szCs w:val="18"/>
              </w:rPr>
            </w:pPr>
            <w:r w:rsidRPr="00F768B7">
              <w:t>Measure #</w:t>
            </w:r>
          </w:p>
        </w:tc>
        <w:tc>
          <w:tcPr>
            <w:tcW w:w="3260" w:type="dxa"/>
            <w:tcBorders>
              <w:top w:val="nil"/>
            </w:tcBorders>
            <w:shd w:val="clear" w:color="auto" w:fill="EDCDCF"/>
          </w:tcPr>
          <w:p w14:paraId="0AF6EEB8" w14:textId="2F7FC74A" w:rsidR="00C1114C" w:rsidRDefault="00C1114C" w:rsidP="00727B64">
            <w:pPr>
              <w:pStyle w:val="DHHStablecolhead"/>
              <w:rPr>
                <w:rFonts w:cs="Arial"/>
                <w:sz w:val="18"/>
                <w:szCs w:val="18"/>
              </w:rPr>
            </w:pPr>
            <w:r w:rsidRPr="00F768B7">
              <w:t>Description</w:t>
            </w:r>
          </w:p>
        </w:tc>
        <w:tc>
          <w:tcPr>
            <w:tcW w:w="2552" w:type="dxa"/>
            <w:tcBorders>
              <w:top w:val="nil"/>
            </w:tcBorders>
            <w:shd w:val="clear" w:color="auto" w:fill="EDCDCF"/>
          </w:tcPr>
          <w:p w14:paraId="3E30C9CF" w14:textId="540D2F5C" w:rsidR="00C1114C" w:rsidRPr="00ED07CC" w:rsidRDefault="00C1114C" w:rsidP="00727B64">
            <w:pPr>
              <w:pStyle w:val="DHHStablecolhead"/>
              <w:rPr>
                <w:rFonts w:cs="Arial"/>
                <w:color w:val="00B0F0"/>
                <w:sz w:val="18"/>
                <w:szCs w:val="18"/>
              </w:rPr>
            </w:pPr>
            <w:r w:rsidRPr="00F768B7">
              <w:t>Unit of measure</w:t>
            </w:r>
          </w:p>
        </w:tc>
        <w:tc>
          <w:tcPr>
            <w:tcW w:w="1837" w:type="dxa"/>
            <w:tcBorders>
              <w:top w:val="nil"/>
            </w:tcBorders>
            <w:shd w:val="clear" w:color="auto" w:fill="EDCDCF"/>
            <w:noWrap/>
          </w:tcPr>
          <w:p w14:paraId="18DEAF38" w14:textId="77777777" w:rsidR="00C1114C" w:rsidRPr="00F768B7" w:rsidRDefault="00C1114C" w:rsidP="00727B64">
            <w:pPr>
              <w:pStyle w:val="DHHStablecolhead"/>
            </w:pPr>
            <w:r w:rsidRPr="00F768B7">
              <w:t>Baseline</w:t>
            </w:r>
          </w:p>
          <w:p w14:paraId="70BAD02E" w14:textId="31F4C62B" w:rsidR="00C1114C" w:rsidRPr="00E222FE" w:rsidRDefault="00C1114C" w:rsidP="00727B64">
            <w:pPr>
              <w:pStyle w:val="DHHStablecolhead"/>
              <w:rPr>
                <w:rFonts w:cs="Arial"/>
                <w:sz w:val="18"/>
                <w:szCs w:val="18"/>
              </w:rPr>
            </w:pPr>
            <w:r w:rsidRPr="00F768B7">
              <w:t>(year)</w:t>
            </w:r>
          </w:p>
        </w:tc>
        <w:tc>
          <w:tcPr>
            <w:tcW w:w="1843" w:type="dxa"/>
            <w:tcBorders>
              <w:top w:val="nil"/>
            </w:tcBorders>
            <w:shd w:val="clear" w:color="auto" w:fill="EDCDCF"/>
            <w:noWrap/>
          </w:tcPr>
          <w:p w14:paraId="16633CC3" w14:textId="77777777" w:rsidR="00C1114C" w:rsidRPr="00F768B7" w:rsidRDefault="00C1114C" w:rsidP="00727B64">
            <w:pPr>
              <w:pStyle w:val="DHHStablecolhead"/>
            </w:pPr>
            <w:r w:rsidRPr="00F768B7">
              <w:t>Most recent</w:t>
            </w:r>
          </w:p>
          <w:p w14:paraId="49D16793" w14:textId="781EAFD8" w:rsidR="00C1114C" w:rsidRPr="00E222FE" w:rsidRDefault="00C1114C" w:rsidP="00727B64">
            <w:pPr>
              <w:pStyle w:val="DHHStablecolhead"/>
              <w:rPr>
                <w:rFonts w:cs="Arial"/>
                <w:sz w:val="18"/>
                <w:szCs w:val="18"/>
              </w:rPr>
            </w:pPr>
            <w:r w:rsidRPr="00F768B7">
              <w:t>(year)</w:t>
            </w:r>
          </w:p>
        </w:tc>
        <w:tc>
          <w:tcPr>
            <w:tcW w:w="1706" w:type="dxa"/>
            <w:tcBorders>
              <w:top w:val="nil"/>
            </w:tcBorders>
            <w:shd w:val="clear" w:color="auto" w:fill="EDCDCF"/>
            <w:noWrap/>
          </w:tcPr>
          <w:p w14:paraId="017F5DC7" w14:textId="4C4CFBB6" w:rsidR="00C1114C" w:rsidRPr="00A57D2E" w:rsidRDefault="00C1114C" w:rsidP="00727B64">
            <w:pPr>
              <w:pStyle w:val="DHHStablecolhead"/>
              <w:rPr>
                <w:rFonts w:cs="Arial"/>
                <w:sz w:val="18"/>
                <w:szCs w:val="18"/>
              </w:rPr>
            </w:pPr>
            <w:r w:rsidRPr="00F768B7">
              <w:t>Target</w:t>
            </w:r>
          </w:p>
        </w:tc>
        <w:tc>
          <w:tcPr>
            <w:tcW w:w="1838" w:type="dxa"/>
            <w:tcBorders>
              <w:top w:val="nil"/>
            </w:tcBorders>
            <w:shd w:val="clear" w:color="auto" w:fill="EDCDCF"/>
          </w:tcPr>
          <w:p w14:paraId="0E3D59F0" w14:textId="406153E7" w:rsidR="00C1114C" w:rsidRDefault="00C1114C" w:rsidP="00727B64">
            <w:pPr>
              <w:pStyle w:val="DHHStablecolhead"/>
              <w:rPr>
                <w:rFonts w:cs="Arial"/>
                <w:sz w:val="18"/>
                <w:szCs w:val="18"/>
              </w:rPr>
            </w:pPr>
            <w:r w:rsidRPr="00F768B7">
              <w:t>Trend</w:t>
            </w:r>
          </w:p>
        </w:tc>
      </w:tr>
      <w:tr w:rsidR="00C1114C" w:rsidRPr="00885FE2" w14:paraId="5A36F41A" w14:textId="77777777" w:rsidTr="00957CB6">
        <w:trPr>
          <w:trHeight w:val="587"/>
        </w:trPr>
        <w:tc>
          <w:tcPr>
            <w:tcW w:w="1418" w:type="dxa"/>
            <w:hideMark/>
          </w:tcPr>
          <w:p w14:paraId="702CB614" w14:textId="240EF907" w:rsidR="00C1114C" w:rsidRPr="00876FD6" w:rsidRDefault="009D1534" w:rsidP="00876FD6">
            <w:pPr>
              <w:pStyle w:val="DHHStabletext"/>
            </w:pPr>
            <w:hyperlink w:anchor="_Appendix_1:_Measures" w:history="1">
              <w:r w:rsidR="00C1114C" w:rsidRPr="00D03411">
                <w:rPr>
                  <w:rStyle w:val="Hyperlink"/>
                </w:rPr>
                <w:t>3.1</w:t>
              </w:r>
            </w:hyperlink>
          </w:p>
        </w:tc>
        <w:tc>
          <w:tcPr>
            <w:tcW w:w="3260" w:type="dxa"/>
          </w:tcPr>
          <w:p w14:paraId="7E52161F" w14:textId="14E287A0" w:rsidR="00C1114C" w:rsidRPr="00876FD6" w:rsidRDefault="00C1114C" w:rsidP="00876FD6">
            <w:pPr>
              <w:pStyle w:val="DHHStabletext"/>
            </w:pPr>
            <w:r w:rsidRPr="00876FD6">
              <w:t>Long-term quality of life</w:t>
            </w:r>
          </w:p>
        </w:tc>
        <w:tc>
          <w:tcPr>
            <w:tcW w:w="2552" w:type="dxa"/>
          </w:tcPr>
          <w:p w14:paraId="2E27A304" w14:textId="58DD76E8" w:rsidR="00C1114C" w:rsidRPr="00876FD6" w:rsidRDefault="00D011BD" w:rsidP="00876FD6">
            <w:pPr>
              <w:pStyle w:val="DHHStabletext"/>
            </w:pPr>
            <w:r w:rsidRPr="006053E7">
              <w:rPr>
                <w:b/>
                <w:color w:val="004EA8"/>
              </w:rPr>
              <w:t>Measure not define</w:t>
            </w:r>
            <w:r>
              <w:rPr>
                <w:b/>
                <w:color w:val="004EA8"/>
              </w:rPr>
              <w:t>d (refer to Appendix 1)</w:t>
            </w:r>
          </w:p>
        </w:tc>
        <w:tc>
          <w:tcPr>
            <w:tcW w:w="1837" w:type="dxa"/>
            <w:noWrap/>
          </w:tcPr>
          <w:p w14:paraId="41A59EC1" w14:textId="77777777" w:rsidR="00C1114C" w:rsidRPr="00876FD6" w:rsidRDefault="00C1114C" w:rsidP="00876FD6">
            <w:pPr>
              <w:pStyle w:val="DHHStabletext"/>
            </w:pPr>
            <w:r w:rsidRPr="00876FD6">
              <w:t>N/A</w:t>
            </w:r>
          </w:p>
        </w:tc>
        <w:tc>
          <w:tcPr>
            <w:tcW w:w="1843" w:type="dxa"/>
            <w:noWrap/>
          </w:tcPr>
          <w:p w14:paraId="09C824D6" w14:textId="77777777" w:rsidR="00C1114C" w:rsidRPr="00876FD6" w:rsidRDefault="00C1114C" w:rsidP="00876FD6">
            <w:pPr>
              <w:pStyle w:val="DHHStabletext"/>
            </w:pPr>
            <w:r w:rsidRPr="00876FD6">
              <w:t>N/A</w:t>
            </w:r>
          </w:p>
        </w:tc>
        <w:tc>
          <w:tcPr>
            <w:tcW w:w="1706" w:type="dxa"/>
            <w:noWrap/>
          </w:tcPr>
          <w:p w14:paraId="5E39ED99" w14:textId="77777777" w:rsidR="00C1114C" w:rsidRPr="00876FD6" w:rsidRDefault="00C1114C" w:rsidP="00876FD6">
            <w:pPr>
              <w:pStyle w:val="DHHStabletext"/>
            </w:pPr>
            <w:r w:rsidRPr="00876FD6">
              <w:t>N/S</w:t>
            </w:r>
          </w:p>
        </w:tc>
        <w:tc>
          <w:tcPr>
            <w:tcW w:w="1838" w:type="dxa"/>
          </w:tcPr>
          <w:p w14:paraId="6F5CE7D6" w14:textId="77777777" w:rsidR="00C1114C" w:rsidRPr="00876FD6" w:rsidRDefault="00C1114C" w:rsidP="00876FD6">
            <w:pPr>
              <w:pStyle w:val="DHHStabletext"/>
            </w:pPr>
            <w:r w:rsidRPr="00876FD6">
              <w:t>N/A</w:t>
            </w:r>
          </w:p>
        </w:tc>
      </w:tr>
    </w:tbl>
    <w:p w14:paraId="4B6A5B4F" w14:textId="77777777" w:rsidR="00C1114C" w:rsidRDefault="00C1114C" w:rsidP="00C1114C">
      <w:pPr>
        <w:pStyle w:val="Heading4"/>
      </w:pPr>
      <w:r w:rsidRPr="00854D56">
        <w:t xml:space="preserve">Outcome: </w:t>
      </w:r>
      <w:r>
        <w:t xml:space="preserve">Equitable outcomes for all Victorians </w:t>
      </w:r>
    </w:p>
    <w:p w14:paraId="3A72B89A" w14:textId="54E76068" w:rsidR="00C1114C" w:rsidRDefault="00C1114C" w:rsidP="00C1114C">
      <w:pPr>
        <w:pStyle w:val="Heading5"/>
      </w:pPr>
      <w:r>
        <w:t>Key result: Equitably reduce cancer incidence</w:t>
      </w:r>
      <w:r w:rsidRPr="00854D56">
        <w:t xml:space="preserve"> </w:t>
      </w:r>
    </w:p>
    <w:tbl>
      <w:tblPr>
        <w:tblStyle w:val="TableGrid"/>
        <w:tblW w:w="14454" w:type="dxa"/>
        <w:tblInd w:w="0" w:type="dxa"/>
        <w:tblBorders>
          <w:top w:val="single" w:sz="4" w:space="0" w:color="C00000"/>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42"/>
        <w:gridCol w:w="1843"/>
        <w:gridCol w:w="1701"/>
        <w:gridCol w:w="1838"/>
      </w:tblGrid>
      <w:tr w:rsidR="00727B64" w:rsidRPr="00885FE2" w14:paraId="4005C930" w14:textId="77777777" w:rsidTr="00957CB6">
        <w:trPr>
          <w:trHeight w:val="587"/>
          <w:tblHeader/>
        </w:trPr>
        <w:tc>
          <w:tcPr>
            <w:tcW w:w="1418" w:type="dxa"/>
            <w:tcBorders>
              <w:top w:val="nil"/>
            </w:tcBorders>
            <w:shd w:val="clear" w:color="auto" w:fill="EDCDCF"/>
          </w:tcPr>
          <w:p w14:paraId="10F28B01" w14:textId="52CDC1C6" w:rsidR="00727B64" w:rsidRDefault="00727B64" w:rsidP="00425C31">
            <w:pPr>
              <w:pStyle w:val="DHHStablecolhead"/>
            </w:pPr>
            <w:r>
              <w:t>Measure #</w:t>
            </w:r>
          </w:p>
        </w:tc>
        <w:tc>
          <w:tcPr>
            <w:tcW w:w="3260" w:type="dxa"/>
            <w:tcBorders>
              <w:top w:val="nil"/>
            </w:tcBorders>
            <w:shd w:val="clear" w:color="auto" w:fill="EDCDCF"/>
          </w:tcPr>
          <w:p w14:paraId="43CB6D12" w14:textId="3A8FAB29" w:rsidR="00727B64" w:rsidRDefault="00727B64" w:rsidP="00425C31">
            <w:pPr>
              <w:pStyle w:val="DHHStablecolhead"/>
            </w:pPr>
            <w:r w:rsidRPr="00506B14">
              <w:t>Description</w:t>
            </w:r>
          </w:p>
        </w:tc>
        <w:tc>
          <w:tcPr>
            <w:tcW w:w="2552" w:type="dxa"/>
            <w:tcBorders>
              <w:top w:val="nil"/>
            </w:tcBorders>
            <w:shd w:val="clear" w:color="auto" w:fill="EDCDCF"/>
          </w:tcPr>
          <w:p w14:paraId="6E241EDB" w14:textId="0DA5AAEB" w:rsidR="00727B64" w:rsidRDefault="00727B64" w:rsidP="00425C31">
            <w:pPr>
              <w:pStyle w:val="DHHStablecolhead"/>
            </w:pPr>
            <w:r w:rsidRPr="00F768B7">
              <w:t>Unit of measure</w:t>
            </w:r>
          </w:p>
        </w:tc>
        <w:tc>
          <w:tcPr>
            <w:tcW w:w="1842" w:type="dxa"/>
            <w:tcBorders>
              <w:top w:val="nil"/>
            </w:tcBorders>
            <w:shd w:val="clear" w:color="auto" w:fill="EDCDCF"/>
            <w:noWrap/>
          </w:tcPr>
          <w:p w14:paraId="279AB384" w14:textId="77777777" w:rsidR="00727B64" w:rsidRPr="00F768B7" w:rsidRDefault="00727B64" w:rsidP="00425C31">
            <w:pPr>
              <w:pStyle w:val="DHHStablecolhead"/>
            </w:pPr>
            <w:r w:rsidRPr="00F768B7">
              <w:t>Baseline</w:t>
            </w:r>
          </w:p>
          <w:p w14:paraId="7AC0B729" w14:textId="74E5A6FE" w:rsidR="00727B64" w:rsidRDefault="00727B64" w:rsidP="00425C31">
            <w:pPr>
              <w:pStyle w:val="DHHStablecolhead"/>
            </w:pPr>
            <w:r w:rsidRPr="00F768B7">
              <w:t>(year)</w:t>
            </w:r>
          </w:p>
        </w:tc>
        <w:tc>
          <w:tcPr>
            <w:tcW w:w="1843" w:type="dxa"/>
            <w:tcBorders>
              <w:top w:val="nil"/>
            </w:tcBorders>
            <w:shd w:val="clear" w:color="auto" w:fill="EDCDCF"/>
            <w:noWrap/>
          </w:tcPr>
          <w:p w14:paraId="29444886" w14:textId="77777777" w:rsidR="00727B64" w:rsidRPr="00F768B7" w:rsidRDefault="00727B64" w:rsidP="00425C31">
            <w:pPr>
              <w:pStyle w:val="DHHStablecolhead"/>
            </w:pPr>
            <w:r w:rsidRPr="00F768B7">
              <w:t>Most recent</w:t>
            </w:r>
          </w:p>
          <w:p w14:paraId="4E3F869F" w14:textId="3B9F0609" w:rsidR="00727B64" w:rsidRDefault="00727B64" w:rsidP="00425C31">
            <w:pPr>
              <w:pStyle w:val="DHHStablecolhead"/>
            </w:pPr>
            <w:r w:rsidRPr="00F768B7">
              <w:t>(year)</w:t>
            </w:r>
          </w:p>
        </w:tc>
        <w:tc>
          <w:tcPr>
            <w:tcW w:w="1701" w:type="dxa"/>
            <w:tcBorders>
              <w:top w:val="nil"/>
            </w:tcBorders>
            <w:shd w:val="clear" w:color="auto" w:fill="EDCDCF"/>
            <w:noWrap/>
          </w:tcPr>
          <w:p w14:paraId="761C5CCC" w14:textId="5EB75A70" w:rsidR="00727B64" w:rsidRPr="00A57D2E" w:rsidRDefault="00727B64" w:rsidP="00425C31">
            <w:pPr>
              <w:pStyle w:val="DHHStablecolhead"/>
            </w:pPr>
            <w:r w:rsidRPr="00F768B7">
              <w:t>Target</w:t>
            </w:r>
          </w:p>
        </w:tc>
        <w:tc>
          <w:tcPr>
            <w:tcW w:w="1838" w:type="dxa"/>
            <w:tcBorders>
              <w:top w:val="nil"/>
            </w:tcBorders>
            <w:shd w:val="clear" w:color="auto" w:fill="EDCDCF"/>
          </w:tcPr>
          <w:p w14:paraId="3920F28C" w14:textId="3B156C5B" w:rsidR="00727B64" w:rsidRPr="00AD1B27" w:rsidRDefault="00727B64" w:rsidP="00425C31">
            <w:pPr>
              <w:pStyle w:val="DHHStablecolhead"/>
            </w:pPr>
            <w:r w:rsidRPr="00F768B7">
              <w:t>Trend</w:t>
            </w:r>
          </w:p>
        </w:tc>
      </w:tr>
      <w:tr w:rsidR="0064412C" w:rsidRPr="00885FE2" w14:paraId="52FC87A4" w14:textId="77777777" w:rsidTr="00957CB6">
        <w:trPr>
          <w:trHeight w:val="587"/>
        </w:trPr>
        <w:tc>
          <w:tcPr>
            <w:tcW w:w="1418" w:type="dxa"/>
          </w:tcPr>
          <w:p w14:paraId="0A65F147" w14:textId="0D89391B" w:rsidR="0064412C" w:rsidRPr="00885FE2" w:rsidRDefault="009D1534" w:rsidP="00087F40">
            <w:pPr>
              <w:pStyle w:val="DHHStabletext"/>
            </w:pPr>
            <w:hyperlink w:anchor="_Measure_4.1_–" w:history="1">
              <w:r w:rsidR="0064412C" w:rsidRPr="00D03411">
                <w:rPr>
                  <w:rStyle w:val="Hyperlink"/>
                </w:rPr>
                <w:t>4.1</w:t>
              </w:r>
            </w:hyperlink>
          </w:p>
        </w:tc>
        <w:tc>
          <w:tcPr>
            <w:tcW w:w="3260" w:type="dxa"/>
          </w:tcPr>
          <w:p w14:paraId="03E5F62E" w14:textId="40286E7C" w:rsidR="0064412C" w:rsidRDefault="0064412C" w:rsidP="00087F40">
            <w:pPr>
              <w:pStyle w:val="DHHStabletext"/>
            </w:pPr>
            <w:r>
              <w:t>Rate ratio of preventable cancer incidence between Integrated Cancer Services</w:t>
            </w:r>
          </w:p>
        </w:tc>
        <w:tc>
          <w:tcPr>
            <w:tcW w:w="2552" w:type="dxa"/>
          </w:tcPr>
          <w:p w14:paraId="1E4DCDE9" w14:textId="77777777" w:rsidR="0064412C" w:rsidRDefault="0064412C" w:rsidP="00087F40">
            <w:pPr>
              <w:pStyle w:val="DHHStabletext"/>
            </w:pPr>
            <w:r>
              <w:t>Rate ratio</w:t>
            </w:r>
          </w:p>
          <w:p w14:paraId="2821FDD5" w14:textId="036C825A" w:rsidR="0064412C" w:rsidRDefault="0064412C" w:rsidP="00087F40">
            <w:pPr>
              <w:pStyle w:val="DHHStabletext"/>
            </w:pPr>
            <w:r>
              <w:t>(maximum)</w:t>
            </w:r>
          </w:p>
        </w:tc>
        <w:tc>
          <w:tcPr>
            <w:tcW w:w="1842" w:type="dxa"/>
            <w:noWrap/>
          </w:tcPr>
          <w:p w14:paraId="090D7043" w14:textId="40D209A9" w:rsidR="0064412C" w:rsidRDefault="0064412C" w:rsidP="00087F40">
            <w:pPr>
              <w:pStyle w:val="DHHStabletext"/>
            </w:pPr>
            <w:r>
              <w:t>1.1</w:t>
            </w:r>
          </w:p>
          <w:p w14:paraId="3B1393EB" w14:textId="2DA1CBA5" w:rsidR="0064412C" w:rsidRPr="008C5666" w:rsidRDefault="0064412C" w:rsidP="00087F40">
            <w:pPr>
              <w:pStyle w:val="DHHStabletext"/>
            </w:pPr>
            <w:r w:rsidRPr="008C5666">
              <w:t>(201</w:t>
            </w:r>
            <w:r w:rsidR="00546C05">
              <w:t>4</w:t>
            </w:r>
            <w:r w:rsidRPr="008C5666">
              <w:t>)</w:t>
            </w:r>
          </w:p>
        </w:tc>
        <w:tc>
          <w:tcPr>
            <w:tcW w:w="1843" w:type="dxa"/>
            <w:noWrap/>
          </w:tcPr>
          <w:p w14:paraId="4E1F25C1" w14:textId="7590C9A0" w:rsidR="0064412C" w:rsidRDefault="0064412C" w:rsidP="00087F40">
            <w:pPr>
              <w:pStyle w:val="DHHStabletext"/>
            </w:pPr>
            <w:r>
              <w:t>1.2</w:t>
            </w:r>
          </w:p>
          <w:p w14:paraId="791E7968" w14:textId="54C96B1D" w:rsidR="0064412C" w:rsidRPr="008C5666" w:rsidRDefault="0064412C" w:rsidP="00087F40">
            <w:pPr>
              <w:pStyle w:val="DHHStabletext"/>
            </w:pPr>
            <w:r w:rsidRPr="008C5666">
              <w:t>(2017)</w:t>
            </w:r>
          </w:p>
        </w:tc>
        <w:tc>
          <w:tcPr>
            <w:tcW w:w="1701" w:type="dxa"/>
            <w:noWrap/>
          </w:tcPr>
          <w:p w14:paraId="21247F39" w14:textId="74500B27" w:rsidR="0064412C" w:rsidRPr="0076384D" w:rsidRDefault="0064412C" w:rsidP="00087F40">
            <w:pPr>
              <w:pStyle w:val="DHHStabletext"/>
            </w:pPr>
            <w:r w:rsidRPr="00A57D2E">
              <w:t>N/S</w:t>
            </w:r>
          </w:p>
        </w:tc>
        <w:tc>
          <w:tcPr>
            <w:tcW w:w="1838" w:type="dxa"/>
          </w:tcPr>
          <w:p w14:paraId="10316BAD" w14:textId="6ED0AA21" w:rsidR="00087F40" w:rsidRPr="00AD1B27" w:rsidRDefault="0064412C" w:rsidP="00087F40">
            <w:pPr>
              <w:pStyle w:val="DHHStabletext"/>
            </w:pPr>
            <w:r w:rsidRPr="00AD1B27">
              <w:t>■</w:t>
            </w:r>
            <w:r w:rsidR="00425C31">
              <w:br/>
              <w:t>No change</w:t>
            </w:r>
          </w:p>
        </w:tc>
      </w:tr>
      <w:tr w:rsidR="0064412C" w:rsidRPr="00885FE2" w14:paraId="12002397" w14:textId="77777777" w:rsidTr="00957CB6">
        <w:trPr>
          <w:trHeight w:val="587"/>
        </w:trPr>
        <w:tc>
          <w:tcPr>
            <w:tcW w:w="1418" w:type="dxa"/>
            <w:tcBorders>
              <w:bottom w:val="nil"/>
            </w:tcBorders>
          </w:tcPr>
          <w:p w14:paraId="3CEC7678" w14:textId="7E0A099D" w:rsidR="0064412C" w:rsidRPr="00885FE2" w:rsidRDefault="009D1534" w:rsidP="00087F40">
            <w:pPr>
              <w:pStyle w:val="DHHStabletext"/>
            </w:pPr>
            <w:hyperlink w:anchor="_Measure_4.2_–" w:history="1">
              <w:r w:rsidR="0064412C" w:rsidRPr="00D03411">
                <w:rPr>
                  <w:rStyle w:val="Hyperlink"/>
                </w:rPr>
                <w:t>4.2</w:t>
              </w:r>
            </w:hyperlink>
          </w:p>
        </w:tc>
        <w:tc>
          <w:tcPr>
            <w:tcW w:w="3260" w:type="dxa"/>
            <w:tcBorders>
              <w:bottom w:val="nil"/>
            </w:tcBorders>
          </w:tcPr>
          <w:p w14:paraId="5689B5E8" w14:textId="39204B30" w:rsidR="0064412C" w:rsidRDefault="0064412C" w:rsidP="00087F40">
            <w:pPr>
              <w:pStyle w:val="DHHStabletext"/>
            </w:pPr>
            <w:r>
              <w:t>Rate ratio of preventable cancer incidence between socioeconomic quintiles</w:t>
            </w:r>
          </w:p>
        </w:tc>
        <w:tc>
          <w:tcPr>
            <w:tcW w:w="2552" w:type="dxa"/>
            <w:tcBorders>
              <w:bottom w:val="nil"/>
            </w:tcBorders>
          </w:tcPr>
          <w:p w14:paraId="318399C2" w14:textId="77777777" w:rsidR="0064412C" w:rsidRDefault="0064412C" w:rsidP="00087F40">
            <w:pPr>
              <w:pStyle w:val="DHHStabletext"/>
            </w:pPr>
            <w:r>
              <w:t xml:space="preserve">Rate ratio </w:t>
            </w:r>
          </w:p>
          <w:p w14:paraId="7C1456BA" w14:textId="228978A6" w:rsidR="0064412C" w:rsidRDefault="0064412C" w:rsidP="00087F40">
            <w:pPr>
              <w:pStyle w:val="DHHStabletext"/>
            </w:pPr>
            <w:r>
              <w:t>(maximum)</w:t>
            </w:r>
          </w:p>
        </w:tc>
        <w:tc>
          <w:tcPr>
            <w:tcW w:w="1842" w:type="dxa"/>
            <w:tcBorders>
              <w:bottom w:val="nil"/>
            </w:tcBorders>
            <w:noWrap/>
          </w:tcPr>
          <w:p w14:paraId="1CC8A182" w14:textId="569E2B03" w:rsidR="0064412C" w:rsidRDefault="0064412C" w:rsidP="00087F40">
            <w:pPr>
              <w:pStyle w:val="DHHStabletext"/>
            </w:pPr>
            <w:r>
              <w:t>1.1</w:t>
            </w:r>
          </w:p>
          <w:p w14:paraId="3350086B" w14:textId="0CD4934A" w:rsidR="0064412C" w:rsidRPr="008C5666" w:rsidRDefault="0064412C" w:rsidP="00087F40">
            <w:pPr>
              <w:pStyle w:val="DHHStabletext"/>
            </w:pPr>
            <w:r w:rsidRPr="008C5666">
              <w:t>(201</w:t>
            </w:r>
            <w:r w:rsidR="00546C05">
              <w:t>4</w:t>
            </w:r>
            <w:r w:rsidRPr="008C5666">
              <w:t>)</w:t>
            </w:r>
          </w:p>
        </w:tc>
        <w:tc>
          <w:tcPr>
            <w:tcW w:w="1843" w:type="dxa"/>
            <w:tcBorders>
              <w:bottom w:val="nil"/>
            </w:tcBorders>
            <w:noWrap/>
          </w:tcPr>
          <w:p w14:paraId="44D45FCA" w14:textId="184764B9" w:rsidR="0064412C" w:rsidRDefault="0064412C" w:rsidP="00087F40">
            <w:pPr>
              <w:pStyle w:val="DHHStabletext"/>
            </w:pPr>
            <w:r>
              <w:t>1.1</w:t>
            </w:r>
          </w:p>
          <w:p w14:paraId="205FCB9D" w14:textId="0CE4E93C" w:rsidR="0064412C" w:rsidRPr="008C5666" w:rsidRDefault="0064412C" w:rsidP="00087F40">
            <w:pPr>
              <w:pStyle w:val="DHHStabletext"/>
            </w:pPr>
            <w:r w:rsidRPr="008C5666">
              <w:t>(2017)</w:t>
            </w:r>
          </w:p>
        </w:tc>
        <w:tc>
          <w:tcPr>
            <w:tcW w:w="1701" w:type="dxa"/>
            <w:tcBorders>
              <w:bottom w:val="nil"/>
            </w:tcBorders>
            <w:noWrap/>
          </w:tcPr>
          <w:p w14:paraId="1612F83D" w14:textId="3DC8CEFB" w:rsidR="0064412C" w:rsidRPr="0076384D" w:rsidRDefault="0064412C" w:rsidP="00087F40">
            <w:pPr>
              <w:pStyle w:val="DHHStabletext"/>
            </w:pPr>
            <w:r w:rsidRPr="00A57D2E">
              <w:t>N/S</w:t>
            </w:r>
          </w:p>
        </w:tc>
        <w:tc>
          <w:tcPr>
            <w:tcW w:w="1838" w:type="dxa"/>
            <w:tcBorders>
              <w:bottom w:val="nil"/>
            </w:tcBorders>
          </w:tcPr>
          <w:p w14:paraId="70CA0A75" w14:textId="482837C8" w:rsidR="0064412C" w:rsidRPr="00AD1B27" w:rsidRDefault="0064412C" w:rsidP="00087F40">
            <w:pPr>
              <w:pStyle w:val="DHHStabletext"/>
            </w:pPr>
            <w:r w:rsidRPr="00AD1B27">
              <w:t>■</w:t>
            </w:r>
            <w:r w:rsidR="00425C31">
              <w:t xml:space="preserve"> </w:t>
            </w:r>
            <w:r w:rsidR="00425C31">
              <w:br/>
              <w:t>No change</w:t>
            </w:r>
          </w:p>
        </w:tc>
      </w:tr>
      <w:tr w:rsidR="0064412C" w:rsidRPr="00885FE2" w14:paraId="1DA21177" w14:textId="77777777" w:rsidTr="00957CB6">
        <w:trPr>
          <w:trHeight w:val="587"/>
        </w:trPr>
        <w:tc>
          <w:tcPr>
            <w:tcW w:w="1418" w:type="dxa"/>
            <w:tcBorders>
              <w:top w:val="nil"/>
            </w:tcBorders>
          </w:tcPr>
          <w:p w14:paraId="2A621FB7" w14:textId="5A44627C" w:rsidR="0064412C" w:rsidRPr="00885FE2" w:rsidRDefault="009D1534" w:rsidP="00087F40">
            <w:pPr>
              <w:pStyle w:val="DHHStabletext"/>
            </w:pPr>
            <w:hyperlink w:anchor="_Measure_4.3_–" w:history="1">
              <w:r w:rsidR="0064412C" w:rsidRPr="00D03411">
                <w:rPr>
                  <w:rStyle w:val="Hyperlink"/>
                </w:rPr>
                <w:t>4.3</w:t>
              </w:r>
            </w:hyperlink>
          </w:p>
        </w:tc>
        <w:tc>
          <w:tcPr>
            <w:tcW w:w="3260" w:type="dxa"/>
            <w:tcBorders>
              <w:top w:val="nil"/>
            </w:tcBorders>
          </w:tcPr>
          <w:p w14:paraId="11676A61" w14:textId="1EC4A6F8" w:rsidR="0064412C" w:rsidRDefault="0064412C" w:rsidP="00087F40">
            <w:pPr>
              <w:pStyle w:val="DHHStabletext"/>
            </w:pPr>
            <w:r>
              <w:t>Rate ratio of preventable cancer incidence between Aboriginal and non-Aboriginal Victorians</w:t>
            </w:r>
          </w:p>
        </w:tc>
        <w:tc>
          <w:tcPr>
            <w:tcW w:w="2552" w:type="dxa"/>
            <w:tcBorders>
              <w:top w:val="nil"/>
            </w:tcBorders>
          </w:tcPr>
          <w:p w14:paraId="4768B5DF" w14:textId="5655D2C7" w:rsidR="0064412C" w:rsidRDefault="0064412C" w:rsidP="00087F40">
            <w:pPr>
              <w:pStyle w:val="DHHStabletext"/>
            </w:pPr>
            <w:r>
              <w:t>Rate ratio</w:t>
            </w:r>
          </w:p>
        </w:tc>
        <w:tc>
          <w:tcPr>
            <w:tcW w:w="1842" w:type="dxa"/>
            <w:tcBorders>
              <w:top w:val="nil"/>
            </w:tcBorders>
            <w:noWrap/>
          </w:tcPr>
          <w:p w14:paraId="00A77352" w14:textId="3286AB9B" w:rsidR="0064412C" w:rsidRDefault="0064412C" w:rsidP="00087F40">
            <w:pPr>
              <w:pStyle w:val="DHHStabletext"/>
            </w:pPr>
            <w:r>
              <w:t>1.5</w:t>
            </w:r>
          </w:p>
          <w:p w14:paraId="1716136A" w14:textId="54612CF0" w:rsidR="0064412C" w:rsidRPr="0076384D" w:rsidRDefault="0064412C" w:rsidP="00087F40">
            <w:pPr>
              <w:pStyle w:val="DHHStabletext"/>
            </w:pPr>
            <w:r>
              <w:t>(201</w:t>
            </w:r>
            <w:r w:rsidR="00095A40">
              <w:t>4</w:t>
            </w:r>
            <w:r>
              <w:t>)</w:t>
            </w:r>
          </w:p>
        </w:tc>
        <w:tc>
          <w:tcPr>
            <w:tcW w:w="1843" w:type="dxa"/>
            <w:tcBorders>
              <w:top w:val="nil"/>
            </w:tcBorders>
            <w:noWrap/>
          </w:tcPr>
          <w:p w14:paraId="0047AD3A" w14:textId="27B44344" w:rsidR="0064412C" w:rsidRDefault="0064412C" w:rsidP="00087F40">
            <w:pPr>
              <w:pStyle w:val="DHHStabletext"/>
            </w:pPr>
            <w:r>
              <w:t>1.8</w:t>
            </w:r>
          </w:p>
          <w:p w14:paraId="44F39676" w14:textId="73723AD3" w:rsidR="0064412C" w:rsidRPr="0076384D" w:rsidRDefault="0064412C" w:rsidP="00087F40">
            <w:pPr>
              <w:pStyle w:val="DHHStabletext"/>
            </w:pPr>
            <w:r>
              <w:t>(2017)</w:t>
            </w:r>
          </w:p>
        </w:tc>
        <w:tc>
          <w:tcPr>
            <w:tcW w:w="1701" w:type="dxa"/>
            <w:tcBorders>
              <w:top w:val="nil"/>
            </w:tcBorders>
            <w:noWrap/>
          </w:tcPr>
          <w:p w14:paraId="4FDFF53F" w14:textId="5BB937BE" w:rsidR="0064412C" w:rsidRPr="0076384D" w:rsidRDefault="0064412C" w:rsidP="00087F40">
            <w:pPr>
              <w:pStyle w:val="DHHStabletext"/>
            </w:pPr>
            <w:r w:rsidRPr="00A57D2E">
              <w:t>N/S</w:t>
            </w:r>
          </w:p>
        </w:tc>
        <w:tc>
          <w:tcPr>
            <w:tcW w:w="1838" w:type="dxa"/>
            <w:tcBorders>
              <w:top w:val="nil"/>
            </w:tcBorders>
          </w:tcPr>
          <w:p w14:paraId="5DD05D8F" w14:textId="5AACD689" w:rsidR="00425C31" w:rsidRPr="00AD1B27" w:rsidRDefault="00584FEB" w:rsidP="00425C31">
            <w:pPr>
              <w:pStyle w:val="DHHStabletext"/>
            </w:pPr>
            <w:r w:rsidRPr="00584FEB">
              <w:rPr>
                <w:b/>
              </w:rPr>
              <w:sym w:font="Symbol" w:char="F0F0"/>
            </w:r>
            <w:r w:rsidR="00425C31">
              <w:br/>
            </w:r>
            <w:r w:rsidR="00A82CBA">
              <w:t>No change</w:t>
            </w:r>
          </w:p>
        </w:tc>
      </w:tr>
    </w:tbl>
    <w:p w14:paraId="06A76A4E" w14:textId="72778FFA" w:rsidR="00087F40" w:rsidRDefault="00087F40" w:rsidP="00087F40">
      <w:pPr>
        <w:pStyle w:val="Heading5"/>
      </w:pPr>
      <w:r w:rsidRPr="00CD7A1C">
        <w:t>Key result: Equitably reduce cancer deaths</w:t>
      </w:r>
    </w:p>
    <w:tbl>
      <w:tblPr>
        <w:tblStyle w:val="TableGrid"/>
        <w:tblW w:w="14459"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42"/>
        <w:gridCol w:w="1843"/>
        <w:gridCol w:w="1701"/>
        <w:gridCol w:w="1843"/>
      </w:tblGrid>
      <w:tr w:rsidR="00727B64" w:rsidRPr="00885FE2" w14:paraId="6E9FABE4" w14:textId="77777777" w:rsidTr="00957CB6">
        <w:trPr>
          <w:trHeight w:val="587"/>
        </w:trPr>
        <w:tc>
          <w:tcPr>
            <w:tcW w:w="1418" w:type="dxa"/>
            <w:shd w:val="clear" w:color="auto" w:fill="EDCDCF"/>
          </w:tcPr>
          <w:p w14:paraId="7A2BEB81" w14:textId="3AE6582C" w:rsidR="00727B64" w:rsidRPr="00D6450C" w:rsidRDefault="00727B64" w:rsidP="00D6450C">
            <w:pPr>
              <w:pStyle w:val="DHHStablecolhead"/>
            </w:pPr>
            <w:r w:rsidRPr="00D6450C">
              <w:t>Measure #</w:t>
            </w:r>
          </w:p>
        </w:tc>
        <w:tc>
          <w:tcPr>
            <w:tcW w:w="3260" w:type="dxa"/>
            <w:shd w:val="clear" w:color="auto" w:fill="EDCDCF"/>
          </w:tcPr>
          <w:p w14:paraId="01F6B3D8" w14:textId="31D16CBF" w:rsidR="00727B64" w:rsidRPr="00D6450C" w:rsidRDefault="00727B64" w:rsidP="00D6450C">
            <w:pPr>
              <w:pStyle w:val="DHHStablecolhead"/>
            </w:pPr>
            <w:r w:rsidRPr="00D6450C">
              <w:t>Description</w:t>
            </w:r>
          </w:p>
        </w:tc>
        <w:tc>
          <w:tcPr>
            <w:tcW w:w="2552" w:type="dxa"/>
            <w:shd w:val="clear" w:color="auto" w:fill="EDCDCF"/>
          </w:tcPr>
          <w:p w14:paraId="705E223C" w14:textId="710103CC" w:rsidR="00727B64" w:rsidRPr="00D6450C" w:rsidRDefault="00727B64" w:rsidP="00D6450C">
            <w:pPr>
              <w:pStyle w:val="DHHStablecolhead"/>
            </w:pPr>
            <w:r w:rsidRPr="00D6450C">
              <w:t>Unit of measure</w:t>
            </w:r>
          </w:p>
        </w:tc>
        <w:tc>
          <w:tcPr>
            <w:tcW w:w="1842" w:type="dxa"/>
            <w:shd w:val="clear" w:color="auto" w:fill="EDCDCF"/>
            <w:noWrap/>
          </w:tcPr>
          <w:p w14:paraId="4EFB9F6C" w14:textId="77777777" w:rsidR="00727B64" w:rsidRPr="00D6450C" w:rsidRDefault="00727B64" w:rsidP="00D6450C">
            <w:pPr>
              <w:pStyle w:val="DHHStablecolhead"/>
            </w:pPr>
            <w:r w:rsidRPr="00D6450C">
              <w:t>Baseline</w:t>
            </w:r>
          </w:p>
          <w:p w14:paraId="66543D8D" w14:textId="261FC4E2" w:rsidR="00727B64" w:rsidRPr="00D6450C" w:rsidRDefault="00727B64" w:rsidP="00D6450C">
            <w:pPr>
              <w:pStyle w:val="DHHStablecolhead"/>
            </w:pPr>
            <w:r w:rsidRPr="00D6450C">
              <w:t>(year)</w:t>
            </w:r>
          </w:p>
        </w:tc>
        <w:tc>
          <w:tcPr>
            <w:tcW w:w="1843" w:type="dxa"/>
            <w:shd w:val="clear" w:color="auto" w:fill="EDCDCF"/>
            <w:noWrap/>
          </w:tcPr>
          <w:p w14:paraId="2BD0D2FE" w14:textId="77777777" w:rsidR="00727B64" w:rsidRPr="00D6450C" w:rsidRDefault="00727B64" w:rsidP="00D6450C">
            <w:pPr>
              <w:pStyle w:val="DHHStablecolhead"/>
            </w:pPr>
            <w:r w:rsidRPr="00D6450C">
              <w:t>Most recent</w:t>
            </w:r>
          </w:p>
          <w:p w14:paraId="48CA2E67" w14:textId="053B194B" w:rsidR="00727B64" w:rsidRPr="00D6450C" w:rsidRDefault="00727B64" w:rsidP="00D6450C">
            <w:pPr>
              <w:pStyle w:val="DHHStablecolhead"/>
            </w:pPr>
            <w:r w:rsidRPr="00D6450C">
              <w:t>(year)</w:t>
            </w:r>
          </w:p>
        </w:tc>
        <w:tc>
          <w:tcPr>
            <w:tcW w:w="1701" w:type="dxa"/>
            <w:shd w:val="clear" w:color="auto" w:fill="EDCDCF"/>
            <w:noWrap/>
          </w:tcPr>
          <w:p w14:paraId="0F62F9A4" w14:textId="4745FC81" w:rsidR="00727B64" w:rsidRPr="00D6450C" w:rsidRDefault="00727B64" w:rsidP="00D6450C">
            <w:pPr>
              <w:pStyle w:val="DHHStablecolhead"/>
            </w:pPr>
            <w:r w:rsidRPr="00D6450C">
              <w:t>Target</w:t>
            </w:r>
          </w:p>
        </w:tc>
        <w:tc>
          <w:tcPr>
            <w:tcW w:w="1843" w:type="dxa"/>
            <w:shd w:val="clear" w:color="auto" w:fill="EDCDCF"/>
          </w:tcPr>
          <w:p w14:paraId="630FC259" w14:textId="62F4CBC9" w:rsidR="00727B64" w:rsidRPr="00D6450C" w:rsidRDefault="00727B64" w:rsidP="00D6450C">
            <w:pPr>
              <w:pStyle w:val="DHHStablecolhead"/>
            </w:pPr>
            <w:r w:rsidRPr="00D6450C">
              <w:t>Trend</w:t>
            </w:r>
          </w:p>
        </w:tc>
      </w:tr>
      <w:tr w:rsidR="0064412C" w:rsidRPr="00885FE2" w14:paraId="6B538DA8" w14:textId="77777777" w:rsidTr="00957CB6">
        <w:trPr>
          <w:trHeight w:val="587"/>
        </w:trPr>
        <w:tc>
          <w:tcPr>
            <w:tcW w:w="1418" w:type="dxa"/>
          </w:tcPr>
          <w:p w14:paraId="27BF05E4" w14:textId="30A4A9D7" w:rsidR="0064412C" w:rsidRPr="00885FE2" w:rsidRDefault="009D1534" w:rsidP="00425C31">
            <w:pPr>
              <w:pStyle w:val="DHHStabletext"/>
            </w:pPr>
            <w:hyperlink w:anchor="_Measure_5.1_–" w:history="1">
              <w:r w:rsidR="0064412C" w:rsidRPr="00EE37EA">
                <w:rPr>
                  <w:rStyle w:val="Hyperlink"/>
                </w:rPr>
                <w:t>5.1</w:t>
              </w:r>
            </w:hyperlink>
          </w:p>
        </w:tc>
        <w:tc>
          <w:tcPr>
            <w:tcW w:w="3260" w:type="dxa"/>
          </w:tcPr>
          <w:p w14:paraId="6651B299" w14:textId="77777777" w:rsidR="0064412C" w:rsidRDefault="0064412C" w:rsidP="00425C31">
            <w:pPr>
              <w:pStyle w:val="DHHStabletext"/>
            </w:pPr>
            <w:r>
              <w:t>Rate ratio of premature death rate due to cancer between Integrated Cancer Services</w:t>
            </w:r>
          </w:p>
        </w:tc>
        <w:tc>
          <w:tcPr>
            <w:tcW w:w="2552" w:type="dxa"/>
          </w:tcPr>
          <w:p w14:paraId="6320EFDD" w14:textId="77777777" w:rsidR="0064412C" w:rsidRPr="009D32A0" w:rsidRDefault="0064412C" w:rsidP="00425C31">
            <w:pPr>
              <w:pStyle w:val="DHHStabletext"/>
            </w:pPr>
            <w:r w:rsidRPr="009D32A0">
              <w:t>Rate ratio</w:t>
            </w:r>
          </w:p>
          <w:p w14:paraId="673D8F51" w14:textId="2A147CAE" w:rsidR="0064412C" w:rsidRPr="0077769F" w:rsidRDefault="0064412C" w:rsidP="00425C31">
            <w:pPr>
              <w:pStyle w:val="DHHStabletext"/>
            </w:pPr>
            <w:r w:rsidRPr="009D32A0">
              <w:t>(</w:t>
            </w:r>
            <w:r>
              <w:t>m</w:t>
            </w:r>
            <w:r w:rsidRPr="009D32A0">
              <w:t>aximum)</w:t>
            </w:r>
          </w:p>
        </w:tc>
        <w:tc>
          <w:tcPr>
            <w:tcW w:w="1842" w:type="dxa"/>
            <w:noWrap/>
          </w:tcPr>
          <w:p w14:paraId="617F4025" w14:textId="43527CA3" w:rsidR="0064412C" w:rsidRDefault="0064412C" w:rsidP="00425C31">
            <w:pPr>
              <w:pStyle w:val="DHHStabletext"/>
            </w:pPr>
            <w:r>
              <w:t>1.2</w:t>
            </w:r>
          </w:p>
          <w:p w14:paraId="3FAFFA4E" w14:textId="046A0BD4" w:rsidR="0064412C" w:rsidRPr="008C5666" w:rsidRDefault="0064412C" w:rsidP="00425C31">
            <w:pPr>
              <w:pStyle w:val="DHHStabletext"/>
            </w:pPr>
            <w:r w:rsidRPr="008C5666">
              <w:t>(201</w:t>
            </w:r>
            <w:r w:rsidR="00546C05">
              <w:t>4</w:t>
            </w:r>
            <w:r w:rsidRPr="008C5666">
              <w:t>)</w:t>
            </w:r>
          </w:p>
        </w:tc>
        <w:tc>
          <w:tcPr>
            <w:tcW w:w="1843" w:type="dxa"/>
            <w:noWrap/>
          </w:tcPr>
          <w:p w14:paraId="6E55A697" w14:textId="4F5234DD" w:rsidR="0064412C" w:rsidRDefault="0064412C" w:rsidP="00425C31">
            <w:pPr>
              <w:pStyle w:val="DHHStabletext"/>
            </w:pPr>
            <w:r>
              <w:t>1.4</w:t>
            </w:r>
          </w:p>
          <w:p w14:paraId="5D22610B" w14:textId="7440A061" w:rsidR="0064412C" w:rsidRPr="008C5666" w:rsidRDefault="0064412C" w:rsidP="00425C31">
            <w:pPr>
              <w:pStyle w:val="DHHStabletext"/>
            </w:pPr>
            <w:r w:rsidRPr="008C5666">
              <w:t>(2017)</w:t>
            </w:r>
          </w:p>
        </w:tc>
        <w:tc>
          <w:tcPr>
            <w:tcW w:w="1701" w:type="dxa"/>
            <w:noWrap/>
          </w:tcPr>
          <w:p w14:paraId="0AF1D39E" w14:textId="6B9C5594" w:rsidR="0064412C" w:rsidRPr="0076384D" w:rsidRDefault="0064412C" w:rsidP="00425C31">
            <w:pPr>
              <w:pStyle w:val="DHHStabletext"/>
            </w:pPr>
            <w:r w:rsidRPr="00A57D2E">
              <w:t>N/S</w:t>
            </w:r>
          </w:p>
        </w:tc>
        <w:tc>
          <w:tcPr>
            <w:tcW w:w="1843" w:type="dxa"/>
          </w:tcPr>
          <w:p w14:paraId="7A500819" w14:textId="5C467D21" w:rsidR="00425C31" w:rsidRPr="0076384D" w:rsidRDefault="0064412C" w:rsidP="00425C31">
            <w:pPr>
              <w:pStyle w:val="DHHStabletext"/>
            </w:pPr>
            <w:r w:rsidRPr="0010585A">
              <w:t>▲</w:t>
            </w:r>
            <w:r w:rsidR="00425C31">
              <w:br/>
              <w:t>Upward</w:t>
            </w:r>
          </w:p>
        </w:tc>
      </w:tr>
      <w:tr w:rsidR="0064412C" w:rsidRPr="00885FE2" w14:paraId="049D4277" w14:textId="77777777" w:rsidTr="00957CB6">
        <w:trPr>
          <w:trHeight w:val="587"/>
        </w:trPr>
        <w:tc>
          <w:tcPr>
            <w:tcW w:w="1418" w:type="dxa"/>
          </w:tcPr>
          <w:p w14:paraId="7F6E597E" w14:textId="611A46DB" w:rsidR="0064412C" w:rsidRPr="00885FE2" w:rsidRDefault="009D1534" w:rsidP="00425C31">
            <w:pPr>
              <w:pStyle w:val="DHHStabletext"/>
            </w:pPr>
            <w:hyperlink w:anchor="_Measure_5.2_–" w:history="1">
              <w:r w:rsidR="0064412C" w:rsidRPr="00EE37EA">
                <w:rPr>
                  <w:rStyle w:val="Hyperlink"/>
                </w:rPr>
                <w:t>5.2</w:t>
              </w:r>
            </w:hyperlink>
          </w:p>
        </w:tc>
        <w:tc>
          <w:tcPr>
            <w:tcW w:w="3260" w:type="dxa"/>
          </w:tcPr>
          <w:p w14:paraId="476C3387" w14:textId="12F1EB38" w:rsidR="0064412C" w:rsidRDefault="0064412C" w:rsidP="00425C31">
            <w:pPr>
              <w:pStyle w:val="DHHStabletext"/>
            </w:pPr>
            <w:r>
              <w:t>Rate ratio of premature death rate due to cancer between socioeconomic quintiles</w:t>
            </w:r>
          </w:p>
        </w:tc>
        <w:tc>
          <w:tcPr>
            <w:tcW w:w="2552" w:type="dxa"/>
          </w:tcPr>
          <w:p w14:paraId="2DE2E291" w14:textId="77777777" w:rsidR="0064412C" w:rsidRPr="009D32A0" w:rsidRDefault="0064412C" w:rsidP="00425C31">
            <w:pPr>
              <w:pStyle w:val="DHHStabletext"/>
            </w:pPr>
            <w:r w:rsidRPr="009D32A0">
              <w:t>Rate ratio</w:t>
            </w:r>
          </w:p>
          <w:p w14:paraId="1D01AC85" w14:textId="2BF1F1BB" w:rsidR="0064412C" w:rsidRPr="0077769F" w:rsidRDefault="0064412C" w:rsidP="00425C31">
            <w:pPr>
              <w:pStyle w:val="DHHStabletext"/>
            </w:pPr>
            <w:r w:rsidRPr="009D32A0">
              <w:t>(</w:t>
            </w:r>
            <w:r w:rsidR="0078246F">
              <w:t>extreme quintile i.e. lowest to highest</w:t>
            </w:r>
            <w:r w:rsidRPr="009D32A0">
              <w:t>)</w:t>
            </w:r>
          </w:p>
        </w:tc>
        <w:tc>
          <w:tcPr>
            <w:tcW w:w="1842" w:type="dxa"/>
            <w:noWrap/>
          </w:tcPr>
          <w:p w14:paraId="47EB754E" w14:textId="62BFD44E" w:rsidR="0064412C" w:rsidRDefault="0064412C" w:rsidP="00425C31">
            <w:pPr>
              <w:pStyle w:val="DHHStabletext"/>
            </w:pPr>
            <w:r>
              <w:t>1.5</w:t>
            </w:r>
          </w:p>
          <w:p w14:paraId="64442210" w14:textId="654FB66F" w:rsidR="0064412C" w:rsidRPr="008C5666" w:rsidRDefault="0064412C" w:rsidP="00425C31">
            <w:pPr>
              <w:pStyle w:val="DHHStabletext"/>
            </w:pPr>
            <w:r w:rsidRPr="008C5666">
              <w:t>(201</w:t>
            </w:r>
            <w:r w:rsidR="00546C05">
              <w:t>4</w:t>
            </w:r>
            <w:r w:rsidRPr="008C5666">
              <w:t>)</w:t>
            </w:r>
          </w:p>
        </w:tc>
        <w:tc>
          <w:tcPr>
            <w:tcW w:w="1843" w:type="dxa"/>
            <w:noWrap/>
          </w:tcPr>
          <w:p w14:paraId="11A607C0" w14:textId="5884FD40" w:rsidR="0064412C" w:rsidRDefault="0064412C" w:rsidP="00425C31">
            <w:pPr>
              <w:pStyle w:val="DHHStabletext"/>
            </w:pPr>
            <w:r>
              <w:t>1.7</w:t>
            </w:r>
          </w:p>
          <w:p w14:paraId="24DB9F0C" w14:textId="1FC2DD07" w:rsidR="0064412C" w:rsidRPr="008C5666" w:rsidRDefault="0064412C" w:rsidP="00425C31">
            <w:pPr>
              <w:pStyle w:val="DHHStabletext"/>
            </w:pPr>
            <w:r w:rsidRPr="008C5666">
              <w:t>(2017)</w:t>
            </w:r>
          </w:p>
        </w:tc>
        <w:tc>
          <w:tcPr>
            <w:tcW w:w="1701" w:type="dxa"/>
            <w:noWrap/>
          </w:tcPr>
          <w:p w14:paraId="18716408" w14:textId="678BFBA2" w:rsidR="0064412C" w:rsidRPr="0076384D" w:rsidRDefault="0064412C" w:rsidP="00425C31">
            <w:pPr>
              <w:pStyle w:val="DHHStabletext"/>
            </w:pPr>
            <w:r w:rsidRPr="00A57D2E">
              <w:t>N/S</w:t>
            </w:r>
          </w:p>
        </w:tc>
        <w:tc>
          <w:tcPr>
            <w:tcW w:w="1843" w:type="dxa"/>
          </w:tcPr>
          <w:p w14:paraId="5117441F" w14:textId="482A062B" w:rsidR="00D95BD6" w:rsidRPr="0076384D" w:rsidRDefault="00D95BD6" w:rsidP="00425C31">
            <w:pPr>
              <w:pStyle w:val="DHHStabletext"/>
            </w:pPr>
            <w:r w:rsidRPr="00AD1B27">
              <w:t>■</w:t>
            </w:r>
            <w:r w:rsidR="00425C31">
              <w:br/>
            </w:r>
            <w:r>
              <w:t>No change</w:t>
            </w:r>
          </w:p>
        </w:tc>
      </w:tr>
      <w:tr w:rsidR="0064412C" w:rsidRPr="00885FE2" w14:paraId="6B14B3B3" w14:textId="77777777" w:rsidTr="00957CB6">
        <w:trPr>
          <w:trHeight w:val="587"/>
        </w:trPr>
        <w:tc>
          <w:tcPr>
            <w:tcW w:w="1418" w:type="dxa"/>
          </w:tcPr>
          <w:p w14:paraId="200B839C" w14:textId="20E3BF82" w:rsidR="0064412C" w:rsidRDefault="009D1534" w:rsidP="00425C31">
            <w:pPr>
              <w:pStyle w:val="DHHStabletext"/>
            </w:pPr>
            <w:hyperlink w:anchor="_Measure_5.3_–" w:history="1">
              <w:r w:rsidR="0064412C" w:rsidRPr="00EE37EA">
                <w:rPr>
                  <w:rStyle w:val="Hyperlink"/>
                </w:rPr>
                <w:t>5.3</w:t>
              </w:r>
            </w:hyperlink>
          </w:p>
        </w:tc>
        <w:tc>
          <w:tcPr>
            <w:tcW w:w="3260" w:type="dxa"/>
          </w:tcPr>
          <w:p w14:paraId="74C4A9DF" w14:textId="77777777" w:rsidR="0064412C" w:rsidRDefault="0064412C" w:rsidP="00425C31">
            <w:pPr>
              <w:pStyle w:val="DHHStabletext"/>
            </w:pPr>
            <w:r>
              <w:t>Rate ratio of premature death between Aboriginal and non-Aboriginal Victorians</w:t>
            </w:r>
          </w:p>
        </w:tc>
        <w:tc>
          <w:tcPr>
            <w:tcW w:w="2552" w:type="dxa"/>
          </w:tcPr>
          <w:p w14:paraId="37B5C4AD" w14:textId="69A4121A" w:rsidR="0064412C" w:rsidRDefault="0064412C" w:rsidP="00425C31">
            <w:pPr>
              <w:pStyle w:val="DHHStabletext"/>
            </w:pPr>
            <w:r>
              <w:t>Rate ratio</w:t>
            </w:r>
          </w:p>
        </w:tc>
        <w:tc>
          <w:tcPr>
            <w:tcW w:w="1842" w:type="dxa"/>
            <w:noWrap/>
          </w:tcPr>
          <w:p w14:paraId="13118F3C" w14:textId="28C21D60" w:rsidR="0064412C" w:rsidRDefault="00546C05" w:rsidP="00425C31">
            <w:pPr>
              <w:pStyle w:val="DHHStabletext"/>
            </w:pPr>
            <w:r>
              <w:t>3.0</w:t>
            </w:r>
          </w:p>
          <w:p w14:paraId="5346F3A4" w14:textId="19E14757" w:rsidR="0064412C" w:rsidRPr="0076384D" w:rsidRDefault="0064412C" w:rsidP="00425C31">
            <w:pPr>
              <w:pStyle w:val="DHHStabletext"/>
            </w:pPr>
            <w:r>
              <w:t>(201</w:t>
            </w:r>
            <w:r w:rsidR="00546C05">
              <w:t>4</w:t>
            </w:r>
            <w:r>
              <w:t>)</w:t>
            </w:r>
          </w:p>
        </w:tc>
        <w:tc>
          <w:tcPr>
            <w:tcW w:w="1843" w:type="dxa"/>
            <w:noWrap/>
          </w:tcPr>
          <w:p w14:paraId="75FDA191" w14:textId="323A0EAE" w:rsidR="0064412C" w:rsidRDefault="0064412C" w:rsidP="00425C31">
            <w:pPr>
              <w:pStyle w:val="DHHStabletext"/>
            </w:pPr>
            <w:r>
              <w:t>3.1</w:t>
            </w:r>
          </w:p>
          <w:p w14:paraId="63FDCFC4" w14:textId="2AE388A3" w:rsidR="0064412C" w:rsidRPr="0076384D" w:rsidRDefault="0064412C" w:rsidP="00425C31">
            <w:pPr>
              <w:pStyle w:val="DHHStabletext"/>
            </w:pPr>
            <w:r>
              <w:t>(2017)</w:t>
            </w:r>
          </w:p>
        </w:tc>
        <w:tc>
          <w:tcPr>
            <w:tcW w:w="1701" w:type="dxa"/>
            <w:noWrap/>
          </w:tcPr>
          <w:p w14:paraId="1B186F57" w14:textId="00417336" w:rsidR="0064412C" w:rsidRPr="0076384D" w:rsidRDefault="0064412C" w:rsidP="00425C31">
            <w:pPr>
              <w:pStyle w:val="DHHStabletext"/>
            </w:pPr>
            <w:r w:rsidRPr="00A57D2E">
              <w:t>N/S</w:t>
            </w:r>
          </w:p>
        </w:tc>
        <w:tc>
          <w:tcPr>
            <w:tcW w:w="1843" w:type="dxa"/>
          </w:tcPr>
          <w:p w14:paraId="13742DFB" w14:textId="56AAA0D9" w:rsidR="00425C31" w:rsidRPr="0076384D" w:rsidRDefault="00546C05" w:rsidP="00425C31">
            <w:pPr>
              <w:pStyle w:val="DHHStabletext"/>
            </w:pPr>
            <w:r w:rsidRPr="00AD1B27">
              <w:t>■</w:t>
            </w:r>
            <w:r w:rsidR="00425C31">
              <w:br/>
            </w:r>
            <w:r>
              <w:t>No change</w:t>
            </w:r>
          </w:p>
        </w:tc>
      </w:tr>
    </w:tbl>
    <w:p w14:paraId="2405BB38" w14:textId="5B9527B7" w:rsidR="00087F40" w:rsidRDefault="00087F40" w:rsidP="00087F40">
      <w:pPr>
        <w:pStyle w:val="Heading4"/>
      </w:pPr>
      <w:r w:rsidRPr="00CD7A1C">
        <w:t>Outcome: Prevent cancers</w:t>
      </w:r>
    </w:p>
    <w:p w14:paraId="04218242" w14:textId="148ECB3C" w:rsidR="00425C31" w:rsidRPr="00425C31" w:rsidRDefault="00425C31" w:rsidP="00425C31">
      <w:pPr>
        <w:pStyle w:val="Heading5"/>
      </w:pPr>
      <w:r w:rsidRPr="00CD7A1C">
        <w:t>Key result: Decrease smoking and harmful alcohol consumption</w:t>
      </w:r>
    </w:p>
    <w:tbl>
      <w:tblPr>
        <w:tblStyle w:val="TableGrid"/>
        <w:tblW w:w="14459"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42"/>
        <w:gridCol w:w="1843"/>
        <w:gridCol w:w="1701"/>
        <w:gridCol w:w="1843"/>
      </w:tblGrid>
      <w:tr w:rsidR="00087F40" w:rsidRPr="00885FE2" w14:paraId="59F44419" w14:textId="77777777" w:rsidTr="000970D5">
        <w:trPr>
          <w:trHeight w:val="583"/>
          <w:tblHeader/>
        </w:trPr>
        <w:tc>
          <w:tcPr>
            <w:tcW w:w="1418" w:type="dxa"/>
            <w:shd w:val="clear" w:color="auto" w:fill="EDCDCF"/>
          </w:tcPr>
          <w:p w14:paraId="634CB809" w14:textId="0E8D5D29" w:rsidR="00087F40" w:rsidRPr="00D6450C" w:rsidRDefault="00087F40" w:rsidP="00D6450C">
            <w:pPr>
              <w:pStyle w:val="DHHStablecolhead"/>
            </w:pPr>
            <w:r w:rsidRPr="00D6450C">
              <w:t>Measure #</w:t>
            </w:r>
          </w:p>
        </w:tc>
        <w:tc>
          <w:tcPr>
            <w:tcW w:w="3260" w:type="dxa"/>
            <w:shd w:val="clear" w:color="auto" w:fill="EDCDCF"/>
          </w:tcPr>
          <w:p w14:paraId="113D0DE2" w14:textId="603BA1F8" w:rsidR="00087F40" w:rsidRPr="00D6450C" w:rsidRDefault="00087F40" w:rsidP="00D6450C">
            <w:pPr>
              <w:pStyle w:val="DHHStablecolhead"/>
            </w:pPr>
            <w:r w:rsidRPr="00D6450C">
              <w:t>Description</w:t>
            </w:r>
          </w:p>
        </w:tc>
        <w:tc>
          <w:tcPr>
            <w:tcW w:w="2552" w:type="dxa"/>
            <w:shd w:val="clear" w:color="auto" w:fill="EDCDCF"/>
          </w:tcPr>
          <w:p w14:paraId="6E4A5E0E" w14:textId="25E25CC2" w:rsidR="00087F40" w:rsidRPr="00D6450C" w:rsidRDefault="00087F40" w:rsidP="00D6450C">
            <w:pPr>
              <w:pStyle w:val="DHHStablecolhead"/>
            </w:pPr>
            <w:r w:rsidRPr="00D6450C">
              <w:t>Unit of measure</w:t>
            </w:r>
          </w:p>
        </w:tc>
        <w:tc>
          <w:tcPr>
            <w:tcW w:w="1842" w:type="dxa"/>
            <w:shd w:val="clear" w:color="auto" w:fill="EDCDCF"/>
            <w:noWrap/>
          </w:tcPr>
          <w:p w14:paraId="780D3D57" w14:textId="77777777" w:rsidR="00087F40" w:rsidRPr="00D6450C" w:rsidRDefault="00087F40" w:rsidP="00D6450C">
            <w:pPr>
              <w:pStyle w:val="DHHStablecolhead"/>
            </w:pPr>
            <w:r w:rsidRPr="00D6450C">
              <w:t>Baseline</w:t>
            </w:r>
          </w:p>
          <w:p w14:paraId="36073FD0" w14:textId="2EF71BA8" w:rsidR="00087F40" w:rsidRPr="00D6450C" w:rsidRDefault="00087F40" w:rsidP="00D6450C">
            <w:pPr>
              <w:pStyle w:val="DHHStablecolhead"/>
            </w:pPr>
            <w:r w:rsidRPr="00D6450C">
              <w:t>(year)</w:t>
            </w:r>
          </w:p>
        </w:tc>
        <w:tc>
          <w:tcPr>
            <w:tcW w:w="1843" w:type="dxa"/>
            <w:shd w:val="clear" w:color="auto" w:fill="EDCDCF"/>
            <w:noWrap/>
          </w:tcPr>
          <w:p w14:paraId="58ECC8FB" w14:textId="77777777" w:rsidR="00087F40" w:rsidRPr="00D6450C" w:rsidRDefault="00087F40" w:rsidP="00D6450C">
            <w:pPr>
              <w:pStyle w:val="DHHStablecolhead"/>
            </w:pPr>
            <w:r w:rsidRPr="00D6450C">
              <w:t>Most recent</w:t>
            </w:r>
          </w:p>
          <w:p w14:paraId="4F27EACC" w14:textId="0EE733EE" w:rsidR="00087F40" w:rsidRPr="00D6450C" w:rsidRDefault="00087F40" w:rsidP="00D6450C">
            <w:pPr>
              <w:pStyle w:val="DHHStablecolhead"/>
            </w:pPr>
            <w:r w:rsidRPr="00D6450C">
              <w:t>(year)</w:t>
            </w:r>
          </w:p>
        </w:tc>
        <w:tc>
          <w:tcPr>
            <w:tcW w:w="1701" w:type="dxa"/>
            <w:shd w:val="clear" w:color="auto" w:fill="EDCDCF"/>
            <w:noWrap/>
          </w:tcPr>
          <w:p w14:paraId="56BFF6C5" w14:textId="77777777" w:rsidR="00087F40" w:rsidRPr="00D6450C" w:rsidRDefault="00087F40" w:rsidP="00D6450C">
            <w:pPr>
              <w:pStyle w:val="DHHStablecolhead"/>
            </w:pPr>
            <w:r w:rsidRPr="00D6450C">
              <w:t>Target</w:t>
            </w:r>
          </w:p>
          <w:p w14:paraId="496784F3" w14:textId="1D6ABE15" w:rsidR="00087F40" w:rsidRPr="00D6450C" w:rsidRDefault="00087F40" w:rsidP="00D6450C">
            <w:pPr>
              <w:pStyle w:val="DHHStablecolhead"/>
            </w:pPr>
            <w:r w:rsidRPr="00D6450C">
              <w:t>(year)</w:t>
            </w:r>
          </w:p>
        </w:tc>
        <w:tc>
          <w:tcPr>
            <w:tcW w:w="1843" w:type="dxa"/>
            <w:shd w:val="clear" w:color="auto" w:fill="EDCDCF"/>
          </w:tcPr>
          <w:p w14:paraId="23644D40" w14:textId="230AEF4B" w:rsidR="00087F40" w:rsidRPr="00D6450C" w:rsidRDefault="00087F40" w:rsidP="00D6450C">
            <w:pPr>
              <w:pStyle w:val="DHHStablecolhead"/>
            </w:pPr>
            <w:r w:rsidRPr="00D6450C">
              <w:t>Trend</w:t>
            </w:r>
          </w:p>
        </w:tc>
      </w:tr>
      <w:tr w:rsidR="0064412C" w:rsidRPr="00885FE2" w14:paraId="48C24EFD" w14:textId="77777777" w:rsidTr="000970D5">
        <w:trPr>
          <w:trHeight w:val="583"/>
        </w:trPr>
        <w:tc>
          <w:tcPr>
            <w:tcW w:w="1418" w:type="dxa"/>
          </w:tcPr>
          <w:p w14:paraId="31547A51" w14:textId="70A262DB" w:rsidR="0064412C" w:rsidRPr="00425C31" w:rsidRDefault="009D1534" w:rsidP="00425C31">
            <w:pPr>
              <w:pStyle w:val="DHHStabletext"/>
            </w:pPr>
            <w:hyperlink w:anchor="_Measure_6.1_–" w:history="1">
              <w:r w:rsidR="0064412C" w:rsidRPr="00EE37EA">
                <w:rPr>
                  <w:rStyle w:val="Hyperlink"/>
                </w:rPr>
                <w:t>6.1</w:t>
              </w:r>
            </w:hyperlink>
          </w:p>
        </w:tc>
        <w:tc>
          <w:tcPr>
            <w:tcW w:w="3260" w:type="dxa"/>
          </w:tcPr>
          <w:p w14:paraId="10E55543" w14:textId="77777777" w:rsidR="0064412C" w:rsidRPr="00425C31" w:rsidRDefault="0064412C" w:rsidP="00425C31">
            <w:pPr>
              <w:pStyle w:val="DHHStabletext"/>
            </w:pPr>
            <w:r w:rsidRPr="00425C31">
              <w:t>Proportion of adults who smoke daily</w:t>
            </w:r>
          </w:p>
        </w:tc>
        <w:tc>
          <w:tcPr>
            <w:tcW w:w="2552" w:type="dxa"/>
          </w:tcPr>
          <w:p w14:paraId="4904AB07" w14:textId="77777777" w:rsidR="0064412C" w:rsidRPr="00425C31" w:rsidRDefault="0064412C" w:rsidP="00425C31">
            <w:pPr>
              <w:pStyle w:val="DHHStabletext"/>
            </w:pPr>
            <w:r w:rsidRPr="00425C31">
              <w:t>Per cent</w:t>
            </w:r>
          </w:p>
        </w:tc>
        <w:tc>
          <w:tcPr>
            <w:tcW w:w="1842" w:type="dxa"/>
            <w:noWrap/>
          </w:tcPr>
          <w:p w14:paraId="53221484" w14:textId="3FDA1B16" w:rsidR="0064412C" w:rsidRPr="00425C31" w:rsidRDefault="0064412C" w:rsidP="00425C31">
            <w:pPr>
              <w:pStyle w:val="DHHStabletext"/>
            </w:pPr>
            <w:r w:rsidRPr="00425C31">
              <w:t>1</w:t>
            </w:r>
            <w:r w:rsidR="00DC5D94">
              <w:t>3</w:t>
            </w:r>
            <w:r w:rsidRPr="00425C31">
              <w:t>.</w:t>
            </w:r>
            <w:r w:rsidR="00DC5D94">
              <w:t>3</w:t>
            </w:r>
          </w:p>
          <w:p w14:paraId="5D79F826" w14:textId="20801A88" w:rsidR="0064412C" w:rsidRPr="00425C31" w:rsidRDefault="0064412C" w:rsidP="00425C31">
            <w:pPr>
              <w:pStyle w:val="DHHStabletext"/>
            </w:pPr>
            <w:r w:rsidRPr="00425C31">
              <w:t>(201</w:t>
            </w:r>
            <w:r w:rsidR="00DC5D94">
              <w:t>5</w:t>
            </w:r>
            <w:r w:rsidRPr="00425C31">
              <w:t>)</w:t>
            </w:r>
          </w:p>
        </w:tc>
        <w:tc>
          <w:tcPr>
            <w:tcW w:w="1843" w:type="dxa"/>
            <w:noWrap/>
          </w:tcPr>
          <w:p w14:paraId="2B31AEBC" w14:textId="6683B90E" w:rsidR="0064412C" w:rsidRPr="00425C31" w:rsidRDefault="0064412C" w:rsidP="00425C31">
            <w:pPr>
              <w:pStyle w:val="DHHStabletext"/>
            </w:pPr>
            <w:r w:rsidRPr="00425C31">
              <w:t>12.</w:t>
            </w:r>
            <w:r w:rsidR="00DC5D94">
              <w:t>4</w:t>
            </w:r>
          </w:p>
          <w:p w14:paraId="2C092F79" w14:textId="6D406D1C" w:rsidR="0064412C" w:rsidRPr="00425C31" w:rsidRDefault="0064412C" w:rsidP="00425C31">
            <w:pPr>
              <w:pStyle w:val="DHHStabletext"/>
            </w:pPr>
            <w:r w:rsidRPr="00425C31">
              <w:t>(201</w:t>
            </w:r>
            <w:r w:rsidR="00DC5D94">
              <w:t>7</w:t>
            </w:r>
            <w:r w:rsidRPr="00425C31">
              <w:t>)</w:t>
            </w:r>
          </w:p>
        </w:tc>
        <w:tc>
          <w:tcPr>
            <w:tcW w:w="1701" w:type="dxa"/>
            <w:noWrap/>
          </w:tcPr>
          <w:p w14:paraId="7B1BB3D4" w14:textId="0AFA4B6C" w:rsidR="0064412C" w:rsidRPr="00425C31" w:rsidRDefault="006F5075" w:rsidP="006F5075">
            <w:pPr>
              <w:pStyle w:val="DHHStabletext"/>
            </w:pPr>
            <w:r>
              <w:t>N/S</w:t>
            </w:r>
          </w:p>
        </w:tc>
        <w:tc>
          <w:tcPr>
            <w:tcW w:w="1843" w:type="dxa"/>
          </w:tcPr>
          <w:p w14:paraId="70CECE03" w14:textId="556B6D7F" w:rsidR="0064412C" w:rsidRPr="00425C31" w:rsidRDefault="00DC5D94" w:rsidP="00425C31">
            <w:pPr>
              <w:pStyle w:val="DHHStabletext"/>
            </w:pPr>
            <w:r w:rsidRPr="00C1114C">
              <w:t>▼</w:t>
            </w:r>
            <w:r>
              <w:br/>
            </w:r>
            <w:r w:rsidRPr="00C1114C">
              <w:t>Downward</w:t>
            </w:r>
          </w:p>
        </w:tc>
      </w:tr>
      <w:tr w:rsidR="0064412C" w:rsidRPr="00794E7F" w14:paraId="0887C48B" w14:textId="77777777" w:rsidTr="000970D5">
        <w:trPr>
          <w:trHeight w:val="583"/>
        </w:trPr>
        <w:tc>
          <w:tcPr>
            <w:tcW w:w="1418" w:type="dxa"/>
          </w:tcPr>
          <w:p w14:paraId="615D0A2A" w14:textId="0E007C28" w:rsidR="0064412C" w:rsidRPr="00425C31" w:rsidRDefault="009D1534" w:rsidP="00425C31">
            <w:pPr>
              <w:pStyle w:val="DHHStabletext"/>
            </w:pPr>
            <w:hyperlink w:anchor="_Measure_6.2_–" w:history="1">
              <w:r w:rsidR="0064412C" w:rsidRPr="00EE37EA">
                <w:rPr>
                  <w:rStyle w:val="Hyperlink"/>
                </w:rPr>
                <w:t>6.2</w:t>
              </w:r>
            </w:hyperlink>
          </w:p>
        </w:tc>
        <w:tc>
          <w:tcPr>
            <w:tcW w:w="3260" w:type="dxa"/>
          </w:tcPr>
          <w:p w14:paraId="495BC752" w14:textId="19C8092B" w:rsidR="0064412C" w:rsidRPr="00425C31" w:rsidRDefault="0064412C" w:rsidP="00425C31">
            <w:pPr>
              <w:pStyle w:val="DHHStabletext"/>
            </w:pPr>
            <w:r w:rsidRPr="00425C31">
              <w:t>Proportion of adolescents 12–17 years who currently smoke</w:t>
            </w:r>
          </w:p>
        </w:tc>
        <w:tc>
          <w:tcPr>
            <w:tcW w:w="2552" w:type="dxa"/>
          </w:tcPr>
          <w:p w14:paraId="60FA7B5D" w14:textId="77777777" w:rsidR="0064412C" w:rsidRPr="00425C31" w:rsidRDefault="0064412C" w:rsidP="00425C31">
            <w:pPr>
              <w:pStyle w:val="DHHStabletext"/>
            </w:pPr>
            <w:r w:rsidRPr="00425C31">
              <w:t>Per cent</w:t>
            </w:r>
          </w:p>
        </w:tc>
        <w:tc>
          <w:tcPr>
            <w:tcW w:w="1842" w:type="dxa"/>
            <w:noWrap/>
          </w:tcPr>
          <w:p w14:paraId="045B922E" w14:textId="77777777" w:rsidR="0064412C" w:rsidRPr="00425C31" w:rsidRDefault="0064412C" w:rsidP="00425C31">
            <w:pPr>
              <w:pStyle w:val="DHHStabletext"/>
            </w:pPr>
            <w:r w:rsidRPr="00425C31">
              <w:t>6.0</w:t>
            </w:r>
          </w:p>
          <w:p w14:paraId="480397B2" w14:textId="77777777" w:rsidR="0064412C" w:rsidRPr="00425C31" w:rsidRDefault="0064412C" w:rsidP="00425C31">
            <w:pPr>
              <w:pStyle w:val="DHHStabletext"/>
            </w:pPr>
            <w:r w:rsidRPr="00425C31">
              <w:t>(2014)</w:t>
            </w:r>
          </w:p>
        </w:tc>
        <w:tc>
          <w:tcPr>
            <w:tcW w:w="1843" w:type="dxa"/>
            <w:noWrap/>
          </w:tcPr>
          <w:p w14:paraId="4CDF6F37" w14:textId="77777777" w:rsidR="0064412C" w:rsidRPr="00425C31" w:rsidRDefault="0064412C" w:rsidP="00425C31">
            <w:pPr>
              <w:pStyle w:val="DHHStabletext"/>
            </w:pPr>
            <w:r w:rsidRPr="00425C31">
              <w:t>N/A</w:t>
            </w:r>
          </w:p>
        </w:tc>
        <w:tc>
          <w:tcPr>
            <w:tcW w:w="1701" w:type="dxa"/>
            <w:noWrap/>
          </w:tcPr>
          <w:p w14:paraId="32BA6BDF" w14:textId="2CB11E45" w:rsidR="0064412C" w:rsidRPr="00425C31" w:rsidRDefault="00712148" w:rsidP="00425C31">
            <w:pPr>
              <w:pStyle w:val="DHHStabletext"/>
            </w:pPr>
            <w:r>
              <w:t>4.2</w:t>
            </w:r>
          </w:p>
          <w:p w14:paraId="34C90A27" w14:textId="77777777" w:rsidR="0064412C" w:rsidRPr="00425C31" w:rsidRDefault="0064412C" w:rsidP="00425C31">
            <w:pPr>
              <w:pStyle w:val="DHHStabletext"/>
            </w:pPr>
            <w:r w:rsidRPr="00425C31">
              <w:t>(2025)</w:t>
            </w:r>
          </w:p>
        </w:tc>
        <w:tc>
          <w:tcPr>
            <w:tcW w:w="1843" w:type="dxa"/>
          </w:tcPr>
          <w:p w14:paraId="1F97403A" w14:textId="5AF1AEF5" w:rsidR="0064412C" w:rsidRPr="00425C31" w:rsidRDefault="009D3FDC" w:rsidP="00425C31">
            <w:pPr>
              <w:pStyle w:val="DHHStabletext"/>
            </w:pPr>
            <w:r>
              <w:t>N/A</w:t>
            </w:r>
          </w:p>
        </w:tc>
      </w:tr>
      <w:tr w:rsidR="0064412C" w:rsidRPr="00885FE2" w14:paraId="68ECA20E" w14:textId="77777777" w:rsidTr="000970D5">
        <w:trPr>
          <w:trHeight w:val="166"/>
        </w:trPr>
        <w:tc>
          <w:tcPr>
            <w:tcW w:w="1418" w:type="dxa"/>
          </w:tcPr>
          <w:p w14:paraId="5B8BC94F" w14:textId="3F7DB3BB" w:rsidR="0064412C" w:rsidRPr="00425C31" w:rsidRDefault="009D1534" w:rsidP="00425C31">
            <w:pPr>
              <w:pStyle w:val="DHHStabletext"/>
            </w:pPr>
            <w:hyperlink w:anchor="_Measure_6.3_–" w:history="1">
              <w:r w:rsidR="0064412C" w:rsidRPr="002B372B">
                <w:rPr>
                  <w:rStyle w:val="Hyperlink"/>
                </w:rPr>
                <w:t>6.3</w:t>
              </w:r>
            </w:hyperlink>
          </w:p>
        </w:tc>
        <w:tc>
          <w:tcPr>
            <w:tcW w:w="3260" w:type="dxa"/>
          </w:tcPr>
          <w:p w14:paraId="1CB6BA1D" w14:textId="77777777" w:rsidR="0064412C" w:rsidRPr="00425C31" w:rsidRDefault="0064412C" w:rsidP="00425C31">
            <w:pPr>
              <w:pStyle w:val="DHHStabletext"/>
            </w:pPr>
            <w:r w:rsidRPr="00425C31">
              <w:t>Proportion of adults who consume alcohol at lifetime risk of harm</w:t>
            </w:r>
          </w:p>
        </w:tc>
        <w:tc>
          <w:tcPr>
            <w:tcW w:w="2552" w:type="dxa"/>
          </w:tcPr>
          <w:p w14:paraId="290E98EB" w14:textId="77777777" w:rsidR="0064412C" w:rsidRPr="00425C31" w:rsidRDefault="0064412C" w:rsidP="00425C31">
            <w:pPr>
              <w:pStyle w:val="DHHStabletext"/>
            </w:pPr>
            <w:r w:rsidRPr="00425C31">
              <w:t>Per cent</w:t>
            </w:r>
          </w:p>
        </w:tc>
        <w:tc>
          <w:tcPr>
            <w:tcW w:w="1842" w:type="dxa"/>
            <w:noWrap/>
          </w:tcPr>
          <w:p w14:paraId="300D338F" w14:textId="77777777" w:rsidR="0064412C" w:rsidRPr="00425C31" w:rsidRDefault="0064412C" w:rsidP="00425C31">
            <w:pPr>
              <w:pStyle w:val="DHHStabletext"/>
            </w:pPr>
            <w:r w:rsidRPr="00425C31">
              <w:t>59.2</w:t>
            </w:r>
          </w:p>
          <w:p w14:paraId="057FB3AB" w14:textId="77777777" w:rsidR="0064412C" w:rsidRPr="00425C31" w:rsidRDefault="0064412C" w:rsidP="00425C31">
            <w:pPr>
              <w:pStyle w:val="DHHStabletext"/>
            </w:pPr>
            <w:r w:rsidRPr="00425C31">
              <w:t>(2014)</w:t>
            </w:r>
          </w:p>
        </w:tc>
        <w:tc>
          <w:tcPr>
            <w:tcW w:w="1843" w:type="dxa"/>
            <w:noWrap/>
          </w:tcPr>
          <w:p w14:paraId="0F1C5BE0" w14:textId="048D9464" w:rsidR="0064412C" w:rsidRPr="00425C31" w:rsidRDefault="0064412C" w:rsidP="00425C31">
            <w:pPr>
              <w:pStyle w:val="DHHStabletext"/>
            </w:pPr>
            <w:r w:rsidRPr="00425C31">
              <w:t>5</w:t>
            </w:r>
            <w:r w:rsidR="006E7422">
              <w:t>9</w:t>
            </w:r>
            <w:r w:rsidRPr="00425C31">
              <w:t>.</w:t>
            </w:r>
            <w:r w:rsidR="006E7422">
              <w:t>5</w:t>
            </w:r>
          </w:p>
          <w:p w14:paraId="4DFD4F0E" w14:textId="016C9CDF" w:rsidR="0064412C" w:rsidRPr="00425C31" w:rsidRDefault="0064412C" w:rsidP="00425C31">
            <w:pPr>
              <w:pStyle w:val="DHHStabletext"/>
            </w:pPr>
            <w:r w:rsidRPr="00425C31">
              <w:t>(201</w:t>
            </w:r>
            <w:r w:rsidR="00E0003E">
              <w:t>7</w:t>
            </w:r>
            <w:r w:rsidRPr="00425C31">
              <w:t>)</w:t>
            </w:r>
          </w:p>
        </w:tc>
        <w:tc>
          <w:tcPr>
            <w:tcW w:w="1701" w:type="dxa"/>
            <w:noWrap/>
          </w:tcPr>
          <w:p w14:paraId="09CEAC26" w14:textId="5F280E7C" w:rsidR="0064412C" w:rsidRPr="00425C31" w:rsidRDefault="00712148" w:rsidP="00425C31">
            <w:pPr>
              <w:pStyle w:val="DHHStabletext"/>
            </w:pPr>
            <w:r>
              <w:t>53.3</w:t>
            </w:r>
          </w:p>
          <w:p w14:paraId="58AEDC09" w14:textId="77777777" w:rsidR="0064412C" w:rsidRPr="00425C31" w:rsidRDefault="0064412C" w:rsidP="00425C31">
            <w:pPr>
              <w:pStyle w:val="DHHStabletext"/>
            </w:pPr>
            <w:r w:rsidRPr="00425C31">
              <w:t>(2025)</w:t>
            </w:r>
          </w:p>
        </w:tc>
        <w:tc>
          <w:tcPr>
            <w:tcW w:w="1843" w:type="dxa"/>
          </w:tcPr>
          <w:p w14:paraId="473C21E1" w14:textId="3457ABAD" w:rsidR="0064412C" w:rsidRPr="00425C31" w:rsidRDefault="006E7422" w:rsidP="00425C31">
            <w:pPr>
              <w:pStyle w:val="DHHStabletext"/>
            </w:pPr>
            <w:r w:rsidRPr="00AD1B27">
              <w:t>■</w:t>
            </w:r>
            <w:r>
              <w:t xml:space="preserve"> </w:t>
            </w:r>
            <w:r>
              <w:br/>
              <w:t>No change</w:t>
            </w:r>
          </w:p>
        </w:tc>
      </w:tr>
      <w:tr w:rsidR="0064412C" w:rsidRPr="00885FE2" w14:paraId="565B8162" w14:textId="77777777" w:rsidTr="000970D5">
        <w:trPr>
          <w:trHeight w:val="583"/>
        </w:trPr>
        <w:tc>
          <w:tcPr>
            <w:tcW w:w="1418" w:type="dxa"/>
          </w:tcPr>
          <w:p w14:paraId="5911F3D0" w14:textId="2BBF5D98" w:rsidR="0064412C" w:rsidRPr="00425C31" w:rsidRDefault="009D1534" w:rsidP="00425C31">
            <w:pPr>
              <w:pStyle w:val="DHHStabletext"/>
            </w:pPr>
            <w:hyperlink w:anchor="_Measure_6.4_–" w:history="1">
              <w:r w:rsidR="0064412C" w:rsidRPr="002B372B">
                <w:rPr>
                  <w:rStyle w:val="Hyperlink"/>
                </w:rPr>
                <w:t>6.4</w:t>
              </w:r>
            </w:hyperlink>
          </w:p>
        </w:tc>
        <w:tc>
          <w:tcPr>
            <w:tcW w:w="3260" w:type="dxa"/>
          </w:tcPr>
          <w:p w14:paraId="20C34EA7" w14:textId="6B6EEEB2" w:rsidR="0064412C" w:rsidRPr="00425C31" w:rsidRDefault="0064412C" w:rsidP="00425C31">
            <w:pPr>
              <w:pStyle w:val="DHHStabletext"/>
            </w:pPr>
            <w:r w:rsidRPr="00425C31">
              <w:t>Proportion of adolescents 12–17 years who consume alcohol at least monthly</w:t>
            </w:r>
          </w:p>
        </w:tc>
        <w:tc>
          <w:tcPr>
            <w:tcW w:w="2552" w:type="dxa"/>
          </w:tcPr>
          <w:p w14:paraId="7FAD1935" w14:textId="77777777" w:rsidR="0064412C" w:rsidRPr="00425C31" w:rsidRDefault="0064412C" w:rsidP="00425C31">
            <w:pPr>
              <w:pStyle w:val="DHHStabletext"/>
            </w:pPr>
            <w:r w:rsidRPr="00425C31">
              <w:t>Per cent</w:t>
            </w:r>
          </w:p>
        </w:tc>
        <w:tc>
          <w:tcPr>
            <w:tcW w:w="1842" w:type="dxa"/>
            <w:noWrap/>
          </w:tcPr>
          <w:p w14:paraId="2EACFD77" w14:textId="77777777" w:rsidR="0064412C" w:rsidRPr="00425C31" w:rsidRDefault="0064412C" w:rsidP="00425C31">
            <w:pPr>
              <w:pStyle w:val="DHHStabletext"/>
            </w:pPr>
            <w:r w:rsidRPr="00425C31">
              <w:t>34.6</w:t>
            </w:r>
          </w:p>
          <w:p w14:paraId="3D8497C5" w14:textId="77777777" w:rsidR="0064412C" w:rsidRPr="00425C31" w:rsidRDefault="0064412C" w:rsidP="00425C31">
            <w:pPr>
              <w:pStyle w:val="DHHStabletext"/>
            </w:pPr>
            <w:r w:rsidRPr="00425C31">
              <w:t>(2014)</w:t>
            </w:r>
          </w:p>
        </w:tc>
        <w:tc>
          <w:tcPr>
            <w:tcW w:w="1843" w:type="dxa"/>
            <w:noWrap/>
          </w:tcPr>
          <w:p w14:paraId="22BF3CBB" w14:textId="77777777" w:rsidR="0064412C" w:rsidRPr="00425C31" w:rsidRDefault="0064412C" w:rsidP="00425C31">
            <w:pPr>
              <w:pStyle w:val="DHHStabletext"/>
            </w:pPr>
            <w:r w:rsidRPr="00425C31">
              <w:t>34.7</w:t>
            </w:r>
          </w:p>
          <w:p w14:paraId="1D899572" w14:textId="77777777" w:rsidR="0064412C" w:rsidRPr="00425C31" w:rsidRDefault="0064412C" w:rsidP="00425C31">
            <w:pPr>
              <w:pStyle w:val="DHHStabletext"/>
            </w:pPr>
            <w:r w:rsidRPr="00425C31">
              <w:t>(2016)</w:t>
            </w:r>
          </w:p>
        </w:tc>
        <w:tc>
          <w:tcPr>
            <w:tcW w:w="1701" w:type="dxa"/>
            <w:noWrap/>
          </w:tcPr>
          <w:p w14:paraId="42370324" w14:textId="6F93B479" w:rsidR="0064412C" w:rsidRPr="00425C31" w:rsidRDefault="00F90C56" w:rsidP="00425C31">
            <w:pPr>
              <w:pStyle w:val="DHHStabletext"/>
            </w:pPr>
            <w:r>
              <w:t>3</w:t>
            </w:r>
            <w:r w:rsidR="00630C2A">
              <w:t>1</w:t>
            </w:r>
            <w:r>
              <w:t>.</w:t>
            </w:r>
            <w:r w:rsidR="006E7AD9">
              <w:t>1</w:t>
            </w:r>
          </w:p>
          <w:p w14:paraId="538055EB" w14:textId="77777777" w:rsidR="0064412C" w:rsidRPr="00425C31" w:rsidRDefault="0064412C" w:rsidP="00425C31">
            <w:pPr>
              <w:pStyle w:val="DHHStabletext"/>
            </w:pPr>
            <w:r w:rsidRPr="00425C31">
              <w:t>(2025)</w:t>
            </w:r>
          </w:p>
        </w:tc>
        <w:tc>
          <w:tcPr>
            <w:tcW w:w="1843" w:type="dxa"/>
          </w:tcPr>
          <w:p w14:paraId="7D6CEA0A" w14:textId="16B7F836" w:rsidR="0064412C" w:rsidRPr="00425C31" w:rsidRDefault="00630C2A" w:rsidP="006E7AD9">
            <w:pPr>
              <w:pStyle w:val="DHHStabletext"/>
            </w:pPr>
            <w:r w:rsidRPr="00C1114C">
              <w:t>▼</w:t>
            </w:r>
            <w:r>
              <w:br/>
            </w:r>
            <w:r w:rsidRPr="00C1114C">
              <w:t>Downward</w:t>
            </w:r>
          </w:p>
        </w:tc>
      </w:tr>
    </w:tbl>
    <w:p w14:paraId="2614075B" w14:textId="49DBA293" w:rsidR="00D7510A" w:rsidRDefault="00D7510A" w:rsidP="00D7510A">
      <w:pPr>
        <w:pStyle w:val="Heading5"/>
      </w:pPr>
      <w:r w:rsidRPr="00CD7A1C">
        <w:t>Key result: Increase healthier eating and active living</w:t>
      </w:r>
    </w:p>
    <w:tbl>
      <w:tblPr>
        <w:tblStyle w:val="TableGrid"/>
        <w:tblW w:w="14454" w:type="dxa"/>
        <w:tblInd w:w="0" w:type="dxa"/>
        <w:tblLayout w:type="fixed"/>
        <w:tblLook w:val="04A0" w:firstRow="1" w:lastRow="0" w:firstColumn="1" w:lastColumn="0" w:noHBand="0" w:noVBand="1"/>
      </w:tblPr>
      <w:tblGrid>
        <w:gridCol w:w="1418"/>
        <w:gridCol w:w="3260"/>
        <w:gridCol w:w="2552"/>
        <w:gridCol w:w="1842"/>
        <w:gridCol w:w="1843"/>
        <w:gridCol w:w="1701"/>
        <w:gridCol w:w="1838"/>
      </w:tblGrid>
      <w:tr w:rsidR="00D7510A" w:rsidRPr="00D7510A" w14:paraId="25C4CC8F" w14:textId="77777777" w:rsidTr="000970D5">
        <w:trPr>
          <w:trHeight w:val="690"/>
          <w:tblHeader/>
        </w:trPr>
        <w:tc>
          <w:tcPr>
            <w:tcW w:w="1418" w:type="dxa"/>
            <w:tcBorders>
              <w:top w:val="nil"/>
              <w:left w:val="nil"/>
              <w:bottom w:val="single" w:sz="4" w:space="0" w:color="C00000"/>
              <w:right w:val="nil"/>
            </w:tcBorders>
            <w:shd w:val="clear" w:color="auto" w:fill="EDCDCF"/>
          </w:tcPr>
          <w:p w14:paraId="534824D1" w14:textId="18608343" w:rsidR="00D7510A" w:rsidRPr="00D7510A" w:rsidRDefault="00D7510A" w:rsidP="00D7510A">
            <w:pPr>
              <w:pStyle w:val="DHHStablecolhead"/>
            </w:pPr>
            <w:r w:rsidRPr="00D7510A">
              <w:t>Measure #</w:t>
            </w:r>
          </w:p>
        </w:tc>
        <w:tc>
          <w:tcPr>
            <w:tcW w:w="3260" w:type="dxa"/>
            <w:tcBorders>
              <w:top w:val="nil"/>
              <w:left w:val="nil"/>
              <w:bottom w:val="single" w:sz="4" w:space="0" w:color="C00000"/>
              <w:right w:val="nil"/>
            </w:tcBorders>
            <w:shd w:val="clear" w:color="auto" w:fill="EDCDCF"/>
          </w:tcPr>
          <w:p w14:paraId="11B94F6E" w14:textId="49986753" w:rsidR="00D7510A" w:rsidRPr="00D7510A" w:rsidRDefault="00D7510A" w:rsidP="00D7510A">
            <w:pPr>
              <w:pStyle w:val="DHHStablecolhead"/>
            </w:pPr>
            <w:r w:rsidRPr="00D7510A">
              <w:t>Description</w:t>
            </w:r>
          </w:p>
        </w:tc>
        <w:tc>
          <w:tcPr>
            <w:tcW w:w="2552" w:type="dxa"/>
            <w:tcBorders>
              <w:top w:val="nil"/>
              <w:left w:val="nil"/>
              <w:bottom w:val="single" w:sz="4" w:space="0" w:color="C00000"/>
              <w:right w:val="nil"/>
            </w:tcBorders>
            <w:shd w:val="clear" w:color="auto" w:fill="EDCDCF"/>
          </w:tcPr>
          <w:p w14:paraId="0D28D8D9" w14:textId="6CE7E379" w:rsidR="00D7510A" w:rsidRPr="00D7510A" w:rsidRDefault="00D7510A" w:rsidP="00D7510A">
            <w:pPr>
              <w:pStyle w:val="DHHStablecolhead"/>
              <w:rPr>
                <w:rStyle w:val="ilfuvd"/>
                <w:rFonts w:cs="Arial"/>
                <w:bCs/>
                <w:color w:val="C00000"/>
                <w:sz w:val="18"/>
                <w:szCs w:val="18"/>
              </w:rPr>
            </w:pPr>
            <w:r w:rsidRPr="00D7510A">
              <w:t>Unit of measure</w:t>
            </w:r>
          </w:p>
        </w:tc>
        <w:tc>
          <w:tcPr>
            <w:tcW w:w="1842" w:type="dxa"/>
            <w:tcBorders>
              <w:top w:val="nil"/>
              <w:left w:val="nil"/>
              <w:bottom w:val="single" w:sz="4" w:space="0" w:color="C00000"/>
              <w:right w:val="nil"/>
            </w:tcBorders>
            <w:shd w:val="clear" w:color="auto" w:fill="EDCDCF"/>
            <w:noWrap/>
          </w:tcPr>
          <w:p w14:paraId="170E823C" w14:textId="77777777" w:rsidR="00D7510A" w:rsidRPr="00D7510A" w:rsidRDefault="00D7510A" w:rsidP="00D7510A">
            <w:pPr>
              <w:pStyle w:val="DHHStablecolhead"/>
            </w:pPr>
            <w:r w:rsidRPr="00D7510A">
              <w:t>Baseline</w:t>
            </w:r>
          </w:p>
          <w:p w14:paraId="7313C4E9" w14:textId="22A6F338" w:rsidR="00D7510A" w:rsidRPr="00D7510A" w:rsidRDefault="00D7510A" w:rsidP="00D7510A">
            <w:pPr>
              <w:pStyle w:val="DHHStablecolhead"/>
            </w:pPr>
            <w:r w:rsidRPr="00D7510A">
              <w:t>(year)</w:t>
            </w:r>
          </w:p>
        </w:tc>
        <w:tc>
          <w:tcPr>
            <w:tcW w:w="1843" w:type="dxa"/>
            <w:tcBorders>
              <w:top w:val="nil"/>
              <w:left w:val="nil"/>
              <w:bottom w:val="single" w:sz="4" w:space="0" w:color="C00000"/>
              <w:right w:val="nil"/>
            </w:tcBorders>
            <w:shd w:val="clear" w:color="auto" w:fill="EDCDCF"/>
            <w:noWrap/>
          </w:tcPr>
          <w:p w14:paraId="79CD6064" w14:textId="77777777" w:rsidR="00D7510A" w:rsidRPr="00D7510A" w:rsidRDefault="00D7510A" w:rsidP="00D7510A">
            <w:pPr>
              <w:pStyle w:val="DHHStablecolhead"/>
            </w:pPr>
            <w:r w:rsidRPr="00D7510A">
              <w:t>Most recent</w:t>
            </w:r>
          </w:p>
          <w:p w14:paraId="587614CE" w14:textId="56F7CD3E" w:rsidR="00D7510A" w:rsidRPr="00D7510A" w:rsidRDefault="00D7510A" w:rsidP="00D7510A">
            <w:pPr>
              <w:pStyle w:val="DHHStablecolhead"/>
            </w:pPr>
            <w:r w:rsidRPr="00D7510A">
              <w:t>(year)</w:t>
            </w:r>
          </w:p>
        </w:tc>
        <w:tc>
          <w:tcPr>
            <w:tcW w:w="1701" w:type="dxa"/>
            <w:tcBorders>
              <w:top w:val="nil"/>
              <w:left w:val="nil"/>
              <w:bottom w:val="single" w:sz="4" w:space="0" w:color="C00000"/>
              <w:right w:val="nil"/>
            </w:tcBorders>
            <w:shd w:val="clear" w:color="auto" w:fill="EDCDCF"/>
            <w:noWrap/>
          </w:tcPr>
          <w:p w14:paraId="7B89B988" w14:textId="77777777" w:rsidR="00D7510A" w:rsidRPr="00D7510A" w:rsidRDefault="00D7510A" w:rsidP="00D7510A">
            <w:pPr>
              <w:pStyle w:val="DHHStablecolhead"/>
            </w:pPr>
            <w:r w:rsidRPr="00D7510A">
              <w:t>Target</w:t>
            </w:r>
          </w:p>
          <w:p w14:paraId="45090DE9" w14:textId="6D9F99D4" w:rsidR="00D7510A" w:rsidRPr="00D7510A" w:rsidRDefault="00D7510A" w:rsidP="00D7510A">
            <w:pPr>
              <w:pStyle w:val="DHHStablecolhead"/>
            </w:pPr>
            <w:r w:rsidRPr="00D7510A">
              <w:t>(year)</w:t>
            </w:r>
          </w:p>
        </w:tc>
        <w:tc>
          <w:tcPr>
            <w:tcW w:w="1838" w:type="dxa"/>
            <w:tcBorders>
              <w:top w:val="nil"/>
              <w:left w:val="nil"/>
              <w:bottom w:val="single" w:sz="4" w:space="0" w:color="C00000"/>
              <w:right w:val="nil"/>
            </w:tcBorders>
            <w:shd w:val="clear" w:color="auto" w:fill="EDCDCF"/>
          </w:tcPr>
          <w:p w14:paraId="07676CC7" w14:textId="1EDD4AEF" w:rsidR="00D7510A" w:rsidRPr="00D7510A" w:rsidRDefault="00D7510A" w:rsidP="00D7510A">
            <w:pPr>
              <w:pStyle w:val="DHHStablecolhead"/>
            </w:pPr>
            <w:r w:rsidRPr="00D7510A">
              <w:t>Trend</w:t>
            </w:r>
          </w:p>
        </w:tc>
      </w:tr>
      <w:tr w:rsidR="0064412C" w:rsidRPr="00885FE2" w14:paraId="2FCB2B21" w14:textId="77777777" w:rsidTr="000970D5">
        <w:trPr>
          <w:trHeight w:val="690"/>
        </w:trPr>
        <w:tc>
          <w:tcPr>
            <w:tcW w:w="1418" w:type="dxa"/>
            <w:tcBorders>
              <w:top w:val="single" w:sz="4" w:space="0" w:color="C00000"/>
              <w:left w:val="nil"/>
              <w:bottom w:val="single" w:sz="4" w:space="0" w:color="C00000"/>
              <w:right w:val="nil"/>
            </w:tcBorders>
          </w:tcPr>
          <w:p w14:paraId="090F5562" w14:textId="513BD956" w:rsidR="0064412C" w:rsidRPr="00885FE2" w:rsidRDefault="009D1534" w:rsidP="00C1114C">
            <w:pPr>
              <w:pStyle w:val="DHHStabletext"/>
            </w:pPr>
            <w:hyperlink w:anchor="_Measure_7.1_–" w:history="1">
              <w:r w:rsidR="0064412C" w:rsidRPr="00E2554E">
                <w:rPr>
                  <w:rStyle w:val="Hyperlink"/>
                </w:rPr>
                <w:t>7.1</w:t>
              </w:r>
            </w:hyperlink>
          </w:p>
        </w:tc>
        <w:tc>
          <w:tcPr>
            <w:tcW w:w="3260" w:type="dxa"/>
            <w:tcBorders>
              <w:top w:val="single" w:sz="4" w:space="0" w:color="C00000"/>
              <w:left w:val="nil"/>
              <w:bottom w:val="single" w:sz="4" w:space="0" w:color="C00000"/>
              <w:right w:val="nil"/>
            </w:tcBorders>
          </w:tcPr>
          <w:p w14:paraId="2C4B4B7F" w14:textId="77777777" w:rsidR="0064412C" w:rsidRPr="00885FE2" w:rsidRDefault="0064412C" w:rsidP="00C1114C">
            <w:pPr>
              <w:pStyle w:val="DHHStabletext"/>
            </w:pPr>
            <w:r>
              <w:t>Mean daily serves of fruit in adults</w:t>
            </w:r>
          </w:p>
        </w:tc>
        <w:tc>
          <w:tcPr>
            <w:tcW w:w="2552" w:type="dxa"/>
            <w:tcBorders>
              <w:top w:val="single" w:sz="4" w:space="0" w:color="C00000"/>
              <w:left w:val="nil"/>
              <w:bottom w:val="single" w:sz="4" w:space="0" w:color="C00000"/>
              <w:right w:val="nil"/>
            </w:tcBorders>
          </w:tcPr>
          <w:p w14:paraId="5F9C1822" w14:textId="1EEC05EE" w:rsidR="0064412C" w:rsidRPr="00E33294" w:rsidRDefault="0064412C" w:rsidP="00C1114C">
            <w:pPr>
              <w:pStyle w:val="DHHStabletext"/>
            </w:pPr>
            <w:r w:rsidRPr="00E33294">
              <w:rPr>
                <w:rStyle w:val="ilfuvd"/>
                <w:rFonts w:cs="Arial"/>
                <w:bCs/>
                <w:color w:val="222222"/>
                <w:sz w:val="18"/>
                <w:szCs w:val="18"/>
              </w:rPr>
              <w:t>Arithmetic average</w:t>
            </w:r>
          </w:p>
        </w:tc>
        <w:tc>
          <w:tcPr>
            <w:tcW w:w="1842" w:type="dxa"/>
            <w:tcBorders>
              <w:top w:val="single" w:sz="4" w:space="0" w:color="C00000"/>
              <w:left w:val="nil"/>
              <w:bottom w:val="single" w:sz="4" w:space="0" w:color="C00000"/>
              <w:right w:val="nil"/>
            </w:tcBorders>
            <w:noWrap/>
          </w:tcPr>
          <w:p w14:paraId="53D43410" w14:textId="6F16AEB4" w:rsidR="0064412C" w:rsidRDefault="0064412C" w:rsidP="00C1114C">
            <w:pPr>
              <w:pStyle w:val="DHHStabletext"/>
            </w:pPr>
            <w:r>
              <w:t>1.6</w:t>
            </w:r>
          </w:p>
          <w:p w14:paraId="7E2CA242" w14:textId="76764F73" w:rsidR="0064412C" w:rsidRPr="00885FE2" w:rsidRDefault="0064412C" w:rsidP="00C1114C">
            <w:pPr>
              <w:pStyle w:val="DHHStabletext"/>
            </w:pPr>
            <w:r>
              <w:t>(2011)</w:t>
            </w:r>
          </w:p>
        </w:tc>
        <w:tc>
          <w:tcPr>
            <w:tcW w:w="1843" w:type="dxa"/>
            <w:tcBorders>
              <w:top w:val="single" w:sz="4" w:space="0" w:color="C00000"/>
              <w:left w:val="nil"/>
              <w:bottom w:val="single" w:sz="4" w:space="0" w:color="C00000"/>
              <w:right w:val="nil"/>
            </w:tcBorders>
            <w:noWrap/>
          </w:tcPr>
          <w:p w14:paraId="1159B5CA" w14:textId="5DBB2210" w:rsidR="0064412C" w:rsidRDefault="0064412C" w:rsidP="00C1114C">
            <w:pPr>
              <w:pStyle w:val="DHHStabletext"/>
            </w:pPr>
            <w:r>
              <w:t>1.5</w:t>
            </w:r>
          </w:p>
          <w:p w14:paraId="399FCAF1" w14:textId="77777777" w:rsidR="0064412C" w:rsidRPr="00885FE2" w:rsidRDefault="0064412C" w:rsidP="00C1114C">
            <w:pPr>
              <w:pStyle w:val="DHHStabletext"/>
            </w:pPr>
            <w:r>
              <w:t>(2016)</w:t>
            </w:r>
          </w:p>
        </w:tc>
        <w:tc>
          <w:tcPr>
            <w:tcW w:w="1701" w:type="dxa"/>
            <w:tcBorders>
              <w:top w:val="single" w:sz="4" w:space="0" w:color="C00000"/>
              <w:left w:val="nil"/>
              <w:bottom w:val="single" w:sz="4" w:space="0" w:color="C00000"/>
              <w:right w:val="nil"/>
            </w:tcBorders>
            <w:noWrap/>
          </w:tcPr>
          <w:p w14:paraId="4239611C" w14:textId="77777777" w:rsidR="0064412C" w:rsidRPr="00A57D2E" w:rsidRDefault="0064412C" w:rsidP="00C1114C">
            <w:pPr>
              <w:pStyle w:val="DHHStabletext"/>
              <w:rPr>
                <w:highlight w:val="yellow"/>
              </w:rPr>
            </w:pPr>
            <w:r w:rsidRPr="00A57D2E">
              <w:t>N/S</w:t>
            </w:r>
          </w:p>
        </w:tc>
        <w:tc>
          <w:tcPr>
            <w:tcW w:w="1838" w:type="dxa"/>
            <w:tcBorders>
              <w:top w:val="single" w:sz="4" w:space="0" w:color="C00000"/>
              <w:left w:val="nil"/>
              <w:bottom w:val="single" w:sz="4" w:space="0" w:color="C00000"/>
              <w:right w:val="nil"/>
            </w:tcBorders>
          </w:tcPr>
          <w:p w14:paraId="2E4F35AE" w14:textId="66D4DED4" w:rsidR="0064412C" w:rsidRPr="00885FE2" w:rsidRDefault="00CF3B53" w:rsidP="00C1114C">
            <w:pPr>
              <w:pStyle w:val="DHHStabletext"/>
            </w:pPr>
            <w:r w:rsidRPr="00AD1B27">
              <w:t>■</w:t>
            </w:r>
            <w:r>
              <w:t xml:space="preserve"> </w:t>
            </w:r>
            <w:r>
              <w:br/>
              <w:t>No change</w:t>
            </w:r>
          </w:p>
        </w:tc>
      </w:tr>
      <w:tr w:rsidR="0064412C" w:rsidRPr="00885FE2" w14:paraId="4B0BB08F" w14:textId="77777777" w:rsidTr="000970D5">
        <w:trPr>
          <w:trHeight w:val="690"/>
        </w:trPr>
        <w:tc>
          <w:tcPr>
            <w:tcW w:w="1418" w:type="dxa"/>
            <w:tcBorders>
              <w:top w:val="single" w:sz="4" w:space="0" w:color="C00000"/>
              <w:left w:val="nil"/>
              <w:bottom w:val="single" w:sz="4" w:space="0" w:color="C00000"/>
              <w:right w:val="nil"/>
            </w:tcBorders>
            <w:hideMark/>
          </w:tcPr>
          <w:p w14:paraId="20425F71" w14:textId="4F60B844" w:rsidR="0064412C" w:rsidRPr="00885FE2" w:rsidRDefault="009D1534" w:rsidP="00C1114C">
            <w:pPr>
              <w:pStyle w:val="DHHStabletext"/>
            </w:pPr>
            <w:hyperlink w:anchor="_Measure_7.2_–" w:history="1">
              <w:r w:rsidR="0064412C" w:rsidRPr="009B17F6">
                <w:rPr>
                  <w:rStyle w:val="Hyperlink"/>
                </w:rPr>
                <w:t>7.2</w:t>
              </w:r>
            </w:hyperlink>
          </w:p>
        </w:tc>
        <w:tc>
          <w:tcPr>
            <w:tcW w:w="3260" w:type="dxa"/>
            <w:tcBorders>
              <w:top w:val="single" w:sz="4" w:space="0" w:color="C00000"/>
              <w:left w:val="nil"/>
              <w:bottom w:val="single" w:sz="4" w:space="0" w:color="C00000"/>
              <w:right w:val="nil"/>
            </w:tcBorders>
          </w:tcPr>
          <w:p w14:paraId="2D542C59" w14:textId="4EED182F" w:rsidR="0064412C" w:rsidRPr="00885FE2" w:rsidRDefault="0064412C" w:rsidP="00C1114C">
            <w:pPr>
              <w:pStyle w:val="DHHStabletext"/>
            </w:pPr>
            <w:r>
              <w:t xml:space="preserve">Proportion of adolescents 10–17 years who eat the daily recommended serves of fruit </w:t>
            </w:r>
          </w:p>
        </w:tc>
        <w:tc>
          <w:tcPr>
            <w:tcW w:w="2552" w:type="dxa"/>
            <w:tcBorders>
              <w:top w:val="single" w:sz="4" w:space="0" w:color="C00000"/>
              <w:left w:val="nil"/>
              <w:bottom w:val="single" w:sz="4" w:space="0" w:color="C00000"/>
              <w:right w:val="nil"/>
            </w:tcBorders>
          </w:tcPr>
          <w:p w14:paraId="113611F3" w14:textId="72745DDF"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3C067B80" w14:textId="788CBC40" w:rsidR="0064412C" w:rsidRDefault="00400409" w:rsidP="00C1114C">
            <w:pPr>
              <w:pStyle w:val="DHHStabletext"/>
            </w:pPr>
            <w:r>
              <w:t>69.5</w:t>
            </w:r>
          </w:p>
          <w:p w14:paraId="625B52EB" w14:textId="61B6C73E" w:rsidR="0064412C" w:rsidRPr="00885FE2" w:rsidRDefault="0064412C" w:rsidP="00C1114C">
            <w:pPr>
              <w:pStyle w:val="DHHStabletext"/>
            </w:pPr>
            <w:r>
              <w:t>(2014)</w:t>
            </w:r>
          </w:p>
        </w:tc>
        <w:tc>
          <w:tcPr>
            <w:tcW w:w="1843" w:type="dxa"/>
            <w:tcBorders>
              <w:top w:val="single" w:sz="4" w:space="0" w:color="C00000"/>
              <w:left w:val="nil"/>
              <w:bottom w:val="single" w:sz="4" w:space="0" w:color="C00000"/>
              <w:right w:val="nil"/>
            </w:tcBorders>
            <w:noWrap/>
          </w:tcPr>
          <w:p w14:paraId="1D62115A" w14:textId="25373228" w:rsidR="0064412C" w:rsidRDefault="00F64F96" w:rsidP="00C1114C">
            <w:pPr>
              <w:pStyle w:val="DHHStabletext"/>
            </w:pPr>
            <w:r>
              <w:t>67.1</w:t>
            </w:r>
          </w:p>
          <w:p w14:paraId="6488F1B0" w14:textId="4805B0F2" w:rsidR="0064412C" w:rsidRPr="00885FE2" w:rsidRDefault="0064412C" w:rsidP="00C1114C">
            <w:pPr>
              <w:pStyle w:val="DHHStabletext"/>
            </w:pPr>
            <w:r>
              <w:t>(2016)</w:t>
            </w:r>
          </w:p>
        </w:tc>
        <w:tc>
          <w:tcPr>
            <w:tcW w:w="1701" w:type="dxa"/>
            <w:tcBorders>
              <w:top w:val="single" w:sz="4" w:space="0" w:color="C00000"/>
              <w:left w:val="nil"/>
              <w:bottom w:val="single" w:sz="4" w:space="0" w:color="C00000"/>
              <w:right w:val="nil"/>
            </w:tcBorders>
            <w:noWrap/>
          </w:tcPr>
          <w:p w14:paraId="74ACD17D" w14:textId="71B9ABE3" w:rsidR="0064412C" w:rsidRPr="001C5B7A" w:rsidRDefault="0064412C" w:rsidP="00C1114C">
            <w:pPr>
              <w:pStyle w:val="DHHStabletext"/>
              <w:rPr>
                <w:highlight w:val="yellow"/>
              </w:rPr>
            </w:pPr>
            <w:r w:rsidRPr="00A57D2E">
              <w:t>N/S</w:t>
            </w:r>
          </w:p>
        </w:tc>
        <w:tc>
          <w:tcPr>
            <w:tcW w:w="1838" w:type="dxa"/>
            <w:tcBorders>
              <w:top w:val="single" w:sz="4" w:space="0" w:color="C00000"/>
              <w:left w:val="nil"/>
              <w:bottom w:val="single" w:sz="4" w:space="0" w:color="C00000"/>
              <w:right w:val="nil"/>
            </w:tcBorders>
          </w:tcPr>
          <w:p w14:paraId="24ED9F79" w14:textId="799EC441" w:rsidR="0064412C" w:rsidRPr="00885FE2" w:rsidRDefault="00D7510A" w:rsidP="00C1114C">
            <w:pPr>
              <w:pStyle w:val="DHHStabletext"/>
            </w:pPr>
            <w:r w:rsidRPr="00C1114C">
              <w:t>▼</w:t>
            </w:r>
            <w:r>
              <w:br/>
            </w:r>
            <w:r w:rsidRPr="00C1114C">
              <w:t>Downward</w:t>
            </w:r>
          </w:p>
        </w:tc>
      </w:tr>
      <w:tr w:rsidR="0064412C" w:rsidRPr="00885FE2" w14:paraId="0AA503E0" w14:textId="77777777" w:rsidTr="000970D5">
        <w:trPr>
          <w:trHeight w:val="706"/>
        </w:trPr>
        <w:tc>
          <w:tcPr>
            <w:tcW w:w="1418" w:type="dxa"/>
            <w:tcBorders>
              <w:top w:val="single" w:sz="4" w:space="0" w:color="C00000"/>
              <w:left w:val="nil"/>
              <w:bottom w:val="single" w:sz="4" w:space="0" w:color="C00000"/>
              <w:right w:val="nil"/>
            </w:tcBorders>
            <w:hideMark/>
          </w:tcPr>
          <w:p w14:paraId="1A81425B" w14:textId="25E0A074" w:rsidR="0064412C" w:rsidRPr="00885FE2" w:rsidRDefault="009D1534" w:rsidP="00C1114C">
            <w:pPr>
              <w:pStyle w:val="DHHStabletext"/>
            </w:pPr>
            <w:hyperlink w:anchor="_Measure_7.3_–" w:history="1">
              <w:r w:rsidR="0064412C" w:rsidRPr="00F46241">
                <w:rPr>
                  <w:rStyle w:val="Hyperlink"/>
                </w:rPr>
                <w:t>7.3</w:t>
              </w:r>
            </w:hyperlink>
          </w:p>
        </w:tc>
        <w:tc>
          <w:tcPr>
            <w:tcW w:w="3260" w:type="dxa"/>
            <w:tcBorders>
              <w:top w:val="single" w:sz="4" w:space="0" w:color="C00000"/>
              <w:left w:val="nil"/>
              <w:bottom w:val="single" w:sz="4" w:space="0" w:color="C00000"/>
              <w:right w:val="nil"/>
            </w:tcBorders>
          </w:tcPr>
          <w:p w14:paraId="6BDB5FD1" w14:textId="506F2812" w:rsidR="0064412C" w:rsidRPr="00885FE2" w:rsidRDefault="0064412C" w:rsidP="00C1114C">
            <w:pPr>
              <w:pStyle w:val="DHHStabletext"/>
            </w:pPr>
            <w:r>
              <w:t xml:space="preserve">Proportion of children 4–12 years who eat the daily recommended serves of fruit </w:t>
            </w:r>
          </w:p>
        </w:tc>
        <w:tc>
          <w:tcPr>
            <w:tcW w:w="2552" w:type="dxa"/>
            <w:tcBorders>
              <w:top w:val="single" w:sz="4" w:space="0" w:color="C00000"/>
              <w:left w:val="nil"/>
              <w:bottom w:val="single" w:sz="4" w:space="0" w:color="C00000"/>
              <w:right w:val="nil"/>
            </w:tcBorders>
          </w:tcPr>
          <w:p w14:paraId="59F7CF0F" w14:textId="33A23FBF"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2525D3B0" w14:textId="77777777" w:rsidR="0064412C" w:rsidRDefault="0064412C" w:rsidP="00C1114C">
            <w:pPr>
              <w:pStyle w:val="DHHStabletext"/>
            </w:pPr>
            <w:r>
              <w:t>73.2</w:t>
            </w:r>
          </w:p>
          <w:p w14:paraId="12CF4F4A" w14:textId="4AB6D960" w:rsidR="0064412C" w:rsidRPr="00885FE2" w:rsidRDefault="0064412C" w:rsidP="00C1114C">
            <w:pPr>
              <w:pStyle w:val="DHHStabletext"/>
            </w:pPr>
            <w:r>
              <w:t>(2013)</w:t>
            </w:r>
          </w:p>
        </w:tc>
        <w:tc>
          <w:tcPr>
            <w:tcW w:w="1843" w:type="dxa"/>
            <w:tcBorders>
              <w:top w:val="single" w:sz="4" w:space="0" w:color="C00000"/>
              <w:left w:val="nil"/>
              <w:bottom w:val="single" w:sz="4" w:space="0" w:color="C00000"/>
              <w:right w:val="nil"/>
            </w:tcBorders>
            <w:noWrap/>
          </w:tcPr>
          <w:p w14:paraId="6DD36993" w14:textId="77777777" w:rsidR="0064412C" w:rsidRDefault="00521471" w:rsidP="00C1114C">
            <w:pPr>
              <w:pStyle w:val="DHHStabletext"/>
            </w:pPr>
            <w:r>
              <w:t>76.7</w:t>
            </w:r>
          </w:p>
          <w:p w14:paraId="36217F62" w14:textId="35C211BB" w:rsidR="00521471" w:rsidRPr="00885FE2" w:rsidRDefault="00521471" w:rsidP="00C1114C">
            <w:pPr>
              <w:pStyle w:val="DHHStabletext"/>
            </w:pPr>
            <w:r>
              <w:t>(2017)</w:t>
            </w:r>
          </w:p>
        </w:tc>
        <w:tc>
          <w:tcPr>
            <w:tcW w:w="1701" w:type="dxa"/>
            <w:tcBorders>
              <w:top w:val="single" w:sz="4" w:space="0" w:color="C00000"/>
              <w:left w:val="nil"/>
              <w:bottom w:val="single" w:sz="4" w:space="0" w:color="C00000"/>
              <w:right w:val="nil"/>
            </w:tcBorders>
            <w:noWrap/>
          </w:tcPr>
          <w:p w14:paraId="3E20A09A" w14:textId="498440E0" w:rsidR="0064412C" w:rsidRPr="00885FE2" w:rsidRDefault="0064412C" w:rsidP="00C1114C">
            <w:pPr>
              <w:pStyle w:val="DHHStabletext"/>
            </w:pPr>
            <w:r w:rsidRPr="00A57D2E">
              <w:t>N/S</w:t>
            </w:r>
          </w:p>
        </w:tc>
        <w:tc>
          <w:tcPr>
            <w:tcW w:w="1838" w:type="dxa"/>
            <w:tcBorders>
              <w:top w:val="single" w:sz="4" w:space="0" w:color="C00000"/>
              <w:left w:val="nil"/>
              <w:bottom w:val="single" w:sz="4" w:space="0" w:color="C00000"/>
              <w:right w:val="nil"/>
            </w:tcBorders>
          </w:tcPr>
          <w:p w14:paraId="4BB049A4" w14:textId="77777777" w:rsidR="0064412C" w:rsidRDefault="00521471" w:rsidP="00C1114C">
            <w:pPr>
              <w:pStyle w:val="DHHStabletext"/>
            </w:pPr>
            <w:r w:rsidRPr="0010585A">
              <w:t>▲</w:t>
            </w:r>
          </w:p>
          <w:p w14:paraId="04BE1129" w14:textId="4505F377" w:rsidR="00521471" w:rsidRPr="00885FE2" w:rsidRDefault="00521471" w:rsidP="00C1114C">
            <w:pPr>
              <w:pStyle w:val="DHHStabletext"/>
            </w:pPr>
            <w:r>
              <w:t>Upward</w:t>
            </w:r>
          </w:p>
        </w:tc>
      </w:tr>
      <w:tr w:rsidR="0064412C" w:rsidRPr="00885FE2" w14:paraId="3CCD8C2D" w14:textId="77777777" w:rsidTr="000970D5">
        <w:trPr>
          <w:trHeight w:val="690"/>
        </w:trPr>
        <w:tc>
          <w:tcPr>
            <w:tcW w:w="1418" w:type="dxa"/>
            <w:tcBorders>
              <w:top w:val="single" w:sz="4" w:space="0" w:color="C00000"/>
              <w:left w:val="nil"/>
              <w:bottom w:val="single" w:sz="4" w:space="0" w:color="C00000"/>
              <w:right w:val="nil"/>
            </w:tcBorders>
            <w:hideMark/>
          </w:tcPr>
          <w:p w14:paraId="779261C4" w14:textId="7BFE29CF" w:rsidR="0064412C" w:rsidRPr="00885FE2" w:rsidRDefault="009D1534" w:rsidP="00C1114C">
            <w:pPr>
              <w:pStyle w:val="DHHStabletext"/>
            </w:pPr>
            <w:hyperlink w:anchor="_Measure_7.4_–" w:history="1">
              <w:r w:rsidR="0064412C" w:rsidRPr="009B17F6">
                <w:rPr>
                  <w:rStyle w:val="Hyperlink"/>
                </w:rPr>
                <w:t>7.4</w:t>
              </w:r>
            </w:hyperlink>
          </w:p>
        </w:tc>
        <w:tc>
          <w:tcPr>
            <w:tcW w:w="3260" w:type="dxa"/>
            <w:tcBorders>
              <w:top w:val="single" w:sz="4" w:space="0" w:color="C00000"/>
              <w:left w:val="nil"/>
              <w:bottom w:val="single" w:sz="4" w:space="0" w:color="C00000"/>
              <w:right w:val="nil"/>
            </w:tcBorders>
          </w:tcPr>
          <w:p w14:paraId="45BDA1A7" w14:textId="77777777" w:rsidR="0064412C" w:rsidRPr="00885FE2" w:rsidRDefault="0064412C" w:rsidP="00C1114C">
            <w:pPr>
              <w:pStyle w:val="DHHStabletext"/>
            </w:pPr>
            <w:r>
              <w:t>Mean daily serves of vegetables in adults</w:t>
            </w:r>
          </w:p>
        </w:tc>
        <w:tc>
          <w:tcPr>
            <w:tcW w:w="2552" w:type="dxa"/>
            <w:tcBorders>
              <w:top w:val="single" w:sz="4" w:space="0" w:color="C00000"/>
              <w:left w:val="nil"/>
              <w:bottom w:val="single" w:sz="4" w:space="0" w:color="C00000"/>
              <w:right w:val="nil"/>
            </w:tcBorders>
          </w:tcPr>
          <w:p w14:paraId="16EF4A7A" w14:textId="0CBDCCC0" w:rsidR="0064412C" w:rsidRPr="00E33294" w:rsidRDefault="0064412C" w:rsidP="00C1114C">
            <w:pPr>
              <w:pStyle w:val="DHHStabletext"/>
            </w:pPr>
            <w:r w:rsidRPr="00E33294">
              <w:rPr>
                <w:rStyle w:val="ilfuvd"/>
                <w:rFonts w:cs="Arial"/>
                <w:bCs/>
                <w:color w:val="222222"/>
                <w:sz w:val="18"/>
                <w:szCs w:val="18"/>
              </w:rPr>
              <w:t>Arithmetic average</w:t>
            </w:r>
          </w:p>
        </w:tc>
        <w:tc>
          <w:tcPr>
            <w:tcW w:w="1842" w:type="dxa"/>
            <w:tcBorders>
              <w:top w:val="single" w:sz="4" w:space="0" w:color="C00000"/>
              <w:left w:val="nil"/>
              <w:bottom w:val="single" w:sz="4" w:space="0" w:color="C00000"/>
              <w:right w:val="nil"/>
            </w:tcBorders>
            <w:noWrap/>
          </w:tcPr>
          <w:p w14:paraId="7508F6BF" w14:textId="4DF1B10F" w:rsidR="0064412C" w:rsidRDefault="0064412C" w:rsidP="00C1114C">
            <w:pPr>
              <w:pStyle w:val="DHHStabletext"/>
            </w:pPr>
            <w:r>
              <w:t>2.</w:t>
            </w:r>
            <w:r w:rsidR="00083613">
              <w:t>3</w:t>
            </w:r>
          </w:p>
          <w:p w14:paraId="73EEE1B6" w14:textId="640B5A3E" w:rsidR="0064412C" w:rsidRPr="00885FE2" w:rsidRDefault="0064412C" w:rsidP="00C1114C">
            <w:pPr>
              <w:pStyle w:val="DHHStabletext"/>
            </w:pPr>
            <w:r>
              <w:t>(2011)</w:t>
            </w:r>
          </w:p>
        </w:tc>
        <w:tc>
          <w:tcPr>
            <w:tcW w:w="1843" w:type="dxa"/>
            <w:tcBorders>
              <w:top w:val="single" w:sz="4" w:space="0" w:color="C00000"/>
              <w:left w:val="nil"/>
              <w:bottom w:val="single" w:sz="4" w:space="0" w:color="C00000"/>
              <w:right w:val="nil"/>
            </w:tcBorders>
            <w:noWrap/>
          </w:tcPr>
          <w:p w14:paraId="2E560BB6" w14:textId="4C225F9F" w:rsidR="0064412C" w:rsidRDefault="0064412C" w:rsidP="00C1114C">
            <w:pPr>
              <w:pStyle w:val="DHHStabletext"/>
            </w:pPr>
            <w:r>
              <w:t>2.1</w:t>
            </w:r>
          </w:p>
          <w:p w14:paraId="360C240D" w14:textId="77777777" w:rsidR="0064412C" w:rsidRPr="00885FE2" w:rsidRDefault="0064412C" w:rsidP="00C1114C">
            <w:pPr>
              <w:pStyle w:val="DHHStabletext"/>
            </w:pPr>
            <w:r>
              <w:t>(2016)</w:t>
            </w:r>
          </w:p>
        </w:tc>
        <w:tc>
          <w:tcPr>
            <w:tcW w:w="1701" w:type="dxa"/>
            <w:tcBorders>
              <w:top w:val="single" w:sz="4" w:space="0" w:color="C00000"/>
              <w:left w:val="nil"/>
              <w:bottom w:val="single" w:sz="4" w:space="0" w:color="C00000"/>
              <w:right w:val="nil"/>
            </w:tcBorders>
            <w:noWrap/>
          </w:tcPr>
          <w:p w14:paraId="0ACFE5E3" w14:textId="77777777" w:rsidR="0064412C" w:rsidRPr="00A57D2E" w:rsidRDefault="0064412C" w:rsidP="00C1114C">
            <w:pPr>
              <w:pStyle w:val="DHHStabletext"/>
            </w:pPr>
            <w:r w:rsidRPr="00A57D2E">
              <w:t>N/S</w:t>
            </w:r>
          </w:p>
        </w:tc>
        <w:tc>
          <w:tcPr>
            <w:tcW w:w="1838" w:type="dxa"/>
            <w:tcBorders>
              <w:top w:val="single" w:sz="4" w:space="0" w:color="C00000"/>
              <w:left w:val="nil"/>
              <w:bottom w:val="single" w:sz="4" w:space="0" w:color="C00000"/>
              <w:right w:val="nil"/>
            </w:tcBorders>
          </w:tcPr>
          <w:p w14:paraId="64B2DCCD" w14:textId="26099BBE" w:rsidR="0064412C" w:rsidRPr="00885FE2" w:rsidRDefault="00CF3B53" w:rsidP="00C1114C">
            <w:pPr>
              <w:pStyle w:val="DHHStabletext"/>
            </w:pPr>
            <w:r w:rsidRPr="00AD1B27">
              <w:t>■</w:t>
            </w:r>
            <w:r>
              <w:t xml:space="preserve"> </w:t>
            </w:r>
            <w:r>
              <w:br/>
              <w:t>No change</w:t>
            </w:r>
          </w:p>
        </w:tc>
      </w:tr>
      <w:tr w:rsidR="0064412C" w:rsidRPr="00885FE2" w14:paraId="42CCC556" w14:textId="77777777" w:rsidTr="000970D5">
        <w:trPr>
          <w:trHeight w:val="557"/>
        </w:trPr>
        <w:tc>
          <w:tcPr>
            <w:tcW w:w="1418" w:type="dxa"/>
            <w:tcBorders>
              <w:top w:val="single" w:sz="4" w:space="0" w:color="C00000"/>
              <w:left w:val="nil"/>
              <w:bottom w:val="single" w:sz="4" w:space="0" w:color="C00000"/>
              <w:right w:val="nil"/>
            </w:tcBorders>
            <w:hideMark/>
          </w:tcPr>
          <w:p w14:paraId="34875CCF" w14:textId="64D90593" w:rsidR="0064412C" w:rsidRPr="00885FE2" w:rsidRDefault="009D1534" w:rsidP="00C1114C">
            <w:pPr>
              <w:pStyle w:val="DHHStabletext"/>
            </w:pPr>
            <w:hyperlink w:anchor="_Measure_7.5_–" w:history="1">
              <w:r w:rsidR="0064412C" w:rsidRPr="009B17F6">
                <w:rPr>
                  <w:rStyle w:val="Hyperlink"/>
                </w:rPr>
                <w:t>7.5</w:t>
              </w:r>
            </w:hyperlink>
          </w:p>
        </w:tc>
        <w:tc>
          <w:tcPr>
            <w:tcW w:w="3260" w:type="dxa"/>
            <w:tcBorders>
              <w:top w:val="single" w:sz="4" w:space="0" w:color="C00000"/>
              <w:left w:val="nil"/>
              <w:bottom w:val="single" w:sz="4" w:space="0" w:color="C00000"/>
              <w:right w:val="nil"/>
            </w:tcBorders>
          </w:tcPr>
          <w:p w14:paraId="48004F75" w14:textId="74D953C2" w:rsidR="0064412C" w:rsidRPr="00885FE2" w:rsidRDefault="0064412C" w:rsidP="00C1114C">
            <w:pPr>
              <w:pStyle w:val="DHHStabletext"/>
            </w:pPr>
            <w:r>
              <w:t xml:space="preserve">Proportion of adolescents 10–17 years who eat the daily recommended serves of vegetables </w:t>
            </w:r>
          </w:p>
        </w:tc>
        <w:tc>
          <w:tcPr>
            <w:tcW w:w="2552" w:type="dxa"/>
            <w:tcBorders>
              <w:top w:val="single" w:sz="4" w:space="0" w:color="C00000"/>
              <w:left w:val="nil"/>
              <w:bottom w:val="single" w:sz="4" w:space="0" w:color="C00000"/>
              <w:right w:val="nil"/>
            </w:tcBorders>
          </w:tcPr>
          <w:p w14:paraId="4EF528AD" w14:textId="47521952"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569DF175" w14:textId="5DE59F91" w:rsidR="0064412C" w:rsidRDefault="00F64F96" w:rsidP="00C1114C">
            <w:pPr>
              <w:pStyle w:val="DHHStabletext"/>
            </w:pPr>
            <w:r>
              <w:t>12.8</w:t>
            </w:r>
          </w:p>
          <w:p w14:paraId="2E264147" w14:textId="7FBED27D" w:rsidR="0064412C" w:rsidRPr="00885FE2" w:rsidRDefault="0064412C" w:rsidP="00C1114C">
            <w:pPr>
              <w:pStyle w:val="DHHStabletext"/>
            </w:pPr>
            <w:r>
              <w:t>(2014)</w:t>
            </w:r>
          </w:p>
        </w:tc>
        <w:tc>
          <w:tcPr>
            <w:tcW w:w="1843" w:type="dxa"/>
            <w:tcBorders>
              <w:top w:val="single" w:sz="4" w:space="0" w:color="C00000"/>
              <w:left w:val="nil"/>
              <w:bottom w:val="single" w:sz="4" w:space="0" w:color="C00000"/>
              <w:right w:val="nil"/>
            </w:tcBorders>
            <w:noWrap/>
          </w:tcPr>
          <w:p w14:paraId="4149D442" w14:textId="25FF39F7" w:rsidR="0064412C" w:rsidRDefault="00F64F96" w:rsidP="00C1114C">
            <w:pPr>
              <w:pStyle w:val="DHHStabletext"/>
            </w:pPr>
            <w:r>
              <w:t>12.6</w:t>
            </w:r>
          </w:p>
          <w:p w14:paraId="0CA2FEC3" w14:textId="354F6105" w:rsidR="0064412C" w:rsidRPr="00885FE2" w:rsidRDefault="0064412C" w:rsidP="00C1114C">
            <w:pPr>
              <w:pStyle w:val="DHHStabletext"/>
            </w:pPr>
            <w:r>
              <w:t>(2016)</w:t>
            </w:r>
          </w:p>
        </w:tc>
        <w:tc>
          <w:tcPr>
            <w:tcW w:w="1701" w:type="dxa"/>
            <w:tcBorders>
              <w:top w:val="single" w:sz="4" w:space="0" w:color="C00000"/>
              <w:left w:val="nil"/>
              <w:bottom w:val="single" w:sz="4" w:space="0" w:color="C00000"/>
              <w:right w:val="nil"/>
            </w:tcBorders>
            <w:noWrap/>
          </w:tcPr>
          <w:p w14:paraId="64143AA1" w14:textId="7B040D7C" w:rsidR="0064412C" w:rsidRPr="001C5B7A" w:rsidRDefault="0064412C" w:rsidP="00C1114C">
            <w:pPr>
              <w:pStyle w:val="DHHStabletext"/>
              <w:rPr>
                <w:highlight w:val="yellow"/>
              </w:rPr>
            </w:pPr>
            <w:r w:rsidRPr="00A57D2E">
              <w:t>N/S</w:t>
            </w:r>
          </w:p>
        </w:tc>
        <w:tc>
          <w:tcPr>
            <w:tcW w:w="1838" w:type="dxa"/>
            <w:tcBorders>
              <w:top w:val="single" w:sz="4" w:space="0" w:color="C00000"/>
              <w:left w:val="nil"/>
              <w:bottom w:val="single" w:sz="4" w:space="0" w:color="C00000"/>
              <w:right w:val="nil"/>
            </w:tcBorders>
          </w:tcPr>
          <w:p w14:paraId="771A30BD" w14:textId="214CEE63" w:rsidR="0064412C" w:rsidRPr="00885FE2" w:rsidRDefault="0083358C" w:rsidP="00C1114C">
            <w:pPr>
              <w:pStyle w:val="DHHStabletext"/>
            </w:pPr>
            <w:r w:rsidRPr="00AD1B27">
              <w:t>■</w:t>
            </w:r>
            <w:r>
              <w:t xml:space="preserve"> </w:t>
            </w:r>
            <w:r>
              <w:br/>
              <w:t>No change</w:t>
            </w:r>
          </w:p>
        </w:tc>
      </w:tr>
      <w:tr w:rsidR="0064412C" w:rsidRPr="00885FE2" w14:paraId="432291E2" w14:textId="77777777" w:rsidTr="000970D5">
        <w:trPr>
          <w:trHeight w:val="707"/>
        </w:trPr>
        <w:tc>
          <w:tcPr>
            <w:tcW w:w="1418" w:type="dxa"/>
            <w:tcBorders>
              <w:top w:val="single" w:sz="4" w:space="0" w:color="C00000"/>
              <w:left w:val="nil"/>
              <w:bottom w:val="single" w:sz="4" w:space="0" w:color="C00000"/>
              <w:right w:val="nil"/>
            </w:tcBorders>
            <w:hideMark/>
          </w:tcPr>
          <w:p w14:paraId="44BB45B0" w14:textId="4AC0B704" w:rsidR="0064412C" w:rsidRPr="00885FE2" w:rsidRDefault="009D1534" w:rsidP="00C1114C">
            <w:pPr>
              <w:pStyle w:val="DHHStabletext"/>
            </w:pPr>
            <w:hyperlink w:anchor="_Measure_7.6_–" w:history="1">
              <w:r w:rsidR="0064412C" w:rsidRPr="00F46241">
                <w:rPr>
                  <w:rStyle w:val="Hyperlink"/>
                </w:rPr>
                <w:t>7.6</w:t>
              </w:r>
            </w:hyperlink>
          </w:p>
        </w:tc>
        <w:tc>
          <w:tcPr>
            <w:tcW w:w="3260" w:type="dxa"/>
            <w:tcBorders>
              <w:top w:val="single" w:sz="4" w:space="0" w:color="C00000"/>
              <w:left w:val="nil"/>
              <w:bottom w:val="single" w:sz="4" w:space="0" w:color="C00000"/>
              <w:right w:val="nil"/>
            </w:tcBorders>
          </w:tcPr>
          <w:p w14:paraId="5F6D5BC9" w14:textId="53B8D53C" w:rsidR="0064412C" w:rsidRPr="00885FE2" w:rsidRDefault="0064412C" w:rsidP="00C1114C">
            <w:pPr>
              <w:pStyle w:val="DHHStabletext"/>
            </w:pPr>
            <w:r>
              <w:t xml:space="preserve">Proportion of children 4–12 years who eat the daily recommended serves of vegetables </w:t>
            </w:r>
          </w:p>
        </w:tc>
        <w:tc>
          <w:tcPr>
            <w:tcW w:w="2552" w:type="dxa"/>
            <w:tcBorders>
              <w:top w:val="single" w:sz="4" w:space="0" w:color="C00000"/>
              <w:left w:val="nil"/>
              <w:bottom w:val="single" w:sz="4" w:space="0" w:color="C00000"/>
              <w:right w:val="nil"/>
            </w:tcBorders>
          </w:tcPr>
          <w:p w14:paraId="0167089D" w14:textId="5388EF53"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5EB0DAE0" w14:textId="2974E85B" w:rsidR="0064412C" w:rsidRDefault="0064412C" w:rsidP="00C1114C">
            <w:pPr>
              <w:pStyle w:val="DHHStabletext"/>
            </w:pPr>
            <w:r>
              <w:t>2.9</w:t>
            </w:r>
          </w:p>
          <w:p w14:paraId="68C2134C" w14:textId="3B2D94C3" w:rsidR="0064412C" w:rsidRPr="00885FE2" w:rsidRDefault="0064412C" w:rsidP="00C1114C">
            <w:pPr>
              <w:pStyle w:val="DHHStabletext"/>
            </w:pPr>
            <w:r>
              <w:t>(2013)</w:t>
            </w:r>
          </w:p>
        </w:tc>
        <w:tc>
          <w:tcPr>
            <w:tcW w:w="1843" w:type="dxa"/>
            <w:tcBorders>
              <w:top w:val="single" w:sz="4" w:space="0" w:color="C00000"/>
              <w:left w:val="nil"/>
              <w:bottom w:val="single" w:sz="4" w:space="0" w:color="C00000"/>
              <w:right w:val="nil"/>
            </w:tcBorders>
            <w:noWrap/>
          </w:tcPr>
          <w:p w14:paraId="31F7A7AA" w14:textId="1057D773" w:rsidR="0064412C" w:rsidRDefault="00832CD4" w:rsidP="00C1114C">
            <w:pPr>
              <w:pStyle w:val="DHHStabletext"/>
            </w:pPr>
            <w:r>
              <w:t>3.</w:t>
            </w:r>
            <w:r w:rsidR="00271EA0">
              <w:t>8</w:t>
            </w:r>
          </w:p>
          <w:p w14:paraId="786B4783" w14:textId="6B46F317" w:rsidR="00832CD4" w:rsidRPr="00885FE2" w:rsidRDefault="00832CD4" w:rsidP="00C1114C">
            <w:pPr>
              <w:pStyle w:val="DHHStabletext"/>
            </w:pPr>
            <w:r>
              <w:t>(2017)</w:t>
            </w:r>
          </w:p>
        </w:tc>
        <w:tc>
          <w:tcPr>
            <w:tcW w:w="1701" w:type="dxa"/>
            <w:tcBorders>
              <w:top w:val="single" w:sz="4" w:space="0" w:color="C00000"/>
              <w:left w:val="nil"/>
              <w:bottom w:val="single" w:sz="4" w:space="0" w:color="C00000"/>
              <w:right w:val="nil"/>
            </w:tcBorders>
            <w:noWrap/>
          </w:tcPr>
          <w:p w14:paraId="46A37063" w14:textId="65864F25" w:rsidR="0064412C" w:rsidRPr="001C5B7A" w:rsidRDefault="0064412C" w:rsidP="00C1114C">
            <w:pPr>
              <w:pStyle w:val="DHHStabletext"/>
              <w:rPr>
                <w:highlight w:val="yellow"/>
              </w:rPr>
            </w:pPr>
            <w:r w:rsidRPr="00A57D2E">
              <w:t>N/S</w:t>
            </w:r>
          </w:p>
        </w:tc>
        <w:tc>
          <w:tcPr>
            <w:tcW w:w="1838" w:type="dxa"/>
            <w:tcBorders>
              <w:top w:val="single" w:sz="4" w:space="0" w:color="C00000"/>
              <w:left w:val="nil"/>
              <w:bottom w:val="single" w:sz="4" w:space="0" w:color="C00000"/>
              <w:right w:val="nil"/>
            </w:tcBorders>
          </w:tcPr>
          <w:p w14:paraId="071B734A" w14:textId="75397906" w:rsidR="0064412C" w:rsidRPr="00885FE2" w:rsidRDefault="00832CD4" w:rsidP="00C1114C">
            <w:pPr>
              <w:pStyle w:val="DHHStabletext"/>
            </w:pPr>
            <w:r w:rsidRPr="0010585A">
              <w:t>▲</w:t>
            </w:r>
            <w:r>
              <w:br/>
              <w:t>Upward</w:t>
            </w:r>
          </w:p>
        </w:tc>
      </w:tr>
      <w:tr w:rsidR="0064412C" w:rsidRPr="00885FE2" w14:paraId="02AB3B64" w14:textId="77777777" w:rsidTr="000970D5">
        <w:trPr>
          <w:trHeight w:val="429"/>
        </w:trPr>
        <w:tc>
          <w:tcPr>
            <w:tcW w:w="1418" w:type="dxa"/>
            <w:tcBorders>
              <w:top w:val="single" w:sz="4" w:space="0" w:color="C00000"/>
              <w:left w:val="nil"/>
              <w:bottom w:val="single" w:sz="4" w:space="0" w:color="C00000"/>
              <w:right w:val="nil"/>
            </w:tcBorders>
            <w:hideMark/>
          </w:tcPr>
          <w:p w14:paraId="20436731" w14:textId="5A7D4F07" w:rsidR="0064412C" w:rsidRPr="00885FE2" w:rsidRDefault="009D1534" w:rsidP="00C1114C">
            <w:pPr>
              <w:pStyle w:val="DHHStabletext"/>
            </w:pPr>
            <w:hyperlink w:anchor="_Appendix_1:_Measures" w:history="1">
              <w:r w:rsidR="0064412C" w:rsidRPr="00F46241">
                <w:rPr>
                  <w:rStyle w:val="Hyperlink"/>
                </w:rPr>
                <w:t>7.7</w:t>
              </w:r>
            </w:hyperlink>
          </w:p>
        </w:tc>
        <w:tc>
          <w:tcPr>
            <w:tcW w:w="3260" w:type="dxa"/>
            <w:tcBorders>
              <w:top w:val="single" w:sz="4" w:space="0" w:color="C00000"/>
              <w:left w:val="nil"/>
              <w:bottom w:val="single" w:sz="4" w:space="0" w:color="C00000"/>
              <w:right w:val="nil"/>
            </w:tcBorders>
          </w:tcPr>
          <w:p w14:paraId="54DA7F58" w14:textId="77777777" w:rsidR="0064412C" w:rsidRPr="00885FE2" w:rsidRDefault="0064412C" w:rsidP="00C1114C">
            <w:pPr>
              <w:pStyle w:val="DHHStabletext"/>
            </w:pPr>
            <w:r>
              <w:t>Mean number of times per week that adults eat red meat</w:t>
            </w:r>
          </w:p>
        </w:tc>
        <w:tc>
          <w:tcPr>
            <w:tcW w:w="2552" w:type="dxa"/>
            <w:tcBorders>
              <w:top w:val="single" w:sz="4" w:space="0" w:color="C00000"/>
              <w:left w:val="nil"/>
              <w:bottom w:val="single" w:sz="4" w:space="0" w:color="C00000"/>
              <w:right w:val="nil"/>
            </w:tcBorders>
          </w:tcPr>
          <w:p w14:paraId="644D2048" w14:textId="77777777" w:rsidR="0064412C" w:rsidRPr="005F4D6D" w:rsidRDefault="0064412C" w:rsidP="00C1114C">
            <w:pPr>
              <w:pStyle w:val="DHHStabletext"/>
              <w:rPr>
                <w:color w:val="87189D"/>
              </w:rPr>
            </w:pPr>
            <w:r w:rsidRPr="005F4D6D">
              <w:rPr>
                <w:color w:val="87189D"/>
              </w:rPr>
              <w:t>No data available (refer to Appendix 1)</w:t>
            </w:r>
          </w:p>
        </w:tc>
        <w:tc>
          <w:tcPr>
            <w:tcW w:w="1842" w:type="dxa"/>
            <w:tcBorders>
              <w:top w:val="single" w:sz="4" w:space="0" w:color="C00000"/>
              <w:left w:val="nil"/>
              <w:bottom w:val="single" w:sz="4" w:space="0" w:color="C00000"/>
              <w:right w:val="nil"/>
            </w:tcBorders>
          </w:tcPr>
          <w:p w14:paraId="7DDC4AA9" w14:textId="66F853F4" w:rsidR="0064412C" w:rsidRPr="005F4D6D" w:rsidRDefault="0064412C" w:rsidP="00C1114C">
            <w:pPr>
              <w:pStyle w:val="DHHStabletext"/>
              <w:rPr>
                <w:color w:val="87189D"/>
              </w:rPr>
            </w:pPr>
            <w:r w:rsidRPr="005F4D6D">
              <w:rPr>
                <w:color w:val="87189D"/>
              </w:rPr>
              <w:t>No data available (refer to Appendix 1)</w:t>
            </w:r>
          </w:p>
        </w:tc>
        <w:tc>
          <w:tcPr>
            <w:tcW w:w="1843" w:type="dxa"/>
            <w:tcBorders>
              <w:top w:val="single" w:sz="4" w:space="0" w:color="C00000"/>
              <w:left w:val="nil"/>
              <w:bottom w:val="single" w:sz="4" w:space="0" w:color="C00000"/>
              <w:right w:val="nil"/>
            </w:tcBorders>
          </w:tcPr>
          <w:p w14:paraId="5D5423D1" w14:textId="1FDF6B04" w:rsidR="0064412C" w:rsidRPr="005F4D6D" w:rsidRDefault="0064412C" w:rsidP="00C1114C">
            <w:pPr>
              <w:pStyle w:val="DHHStabletext"/>
              <w:rPr>
                <w:color w:val="87189D"/>
              </w:rPr>
            </w:pPr>
            <w:r w:rsidRPr="005F4D6D">
              <w:rPr>
                <w:color w:val="87189D"/>
              </w:rPr>
              <w:t>No data available (refer to Appendix 1)</w:t>
            </w:r>
          </w:p>
        </w:tc>
        <w:tc>
          <w:tcPr>
            <w:tcW w:w="1701" w:type="dxa"/>
            <w:tcBorders>
              <w:top w:val="single" w:sz="4" w:space="0" w:color="C00000"/>
              <w:left w:val="nil"/>
              <w:bottom w:val="single" w:sz="4" w:space="0" w:color="C00000"/>
              <w:right w:val="nil"/>
            </w:tcBorders>
            <w:noWrap/>
          </w:tcPr>
          <w:p w14:paraId="7FEEE263" w14:textId="77777777" w:rsidR="0064412C" w:rsidRPr="00885FE2" w:rsidRDefault="0064412C" w:rsidP="00C1114C">
            <w:pPr>
              <w:pStyle w:val="DHHStabletext"/>
            </w:pPr>
            <w:r w:rsidRPr="00A57D2E">
              <w:t>N/S</w:t>
            </w:r>
          </w:p>
        </w:tc>
        <w:tc>
          <w:tcPr>
            <w:tcW w:w="1838" w:type="dxa"/>
            <w:tcBorders>
              <w:top w:val="single" w:sz="4" w:space="0" w:color="C00000"/>
              <w:left w:val="nil"/>
              <w:bottom w:val="single" w:sz="4" w:space="0" w:color="C00000"/>
              <w:right w:val="nil"/>
            </w:tcBorders>
          </w:tcPr>
          <w:p w14:paraId="0A6FEB86" w14:textId="77777777" w:rsidR="0064412C" w:rsidRPr="00885FE2" w:rsidRDefault="0064412C" w:rsidP="00C1114C">
            <w:pPr>
              <w:pStyle w:val="DHHStabletext"/>
            </w:pPr>
            <w:r>
              <w:t>N/A</w:t>
            </w:r>
          </w:p>
        </w:tc>
      </w:tr>
      <w:tr w:rsidR="0064412C" w:rsidRPr="00885FE2" w14:paraId="7A89331A" w14:textId="77777777" w:rsidTr="000970D5">
        <w:trPr>
          <w:trHeight w:val="581"/>
        </w:trPr>
        <w:tc>
          <w:tcPr>
            <w:tcW w:w="1418" w:type="dxa"/>
            <w:tcBorders>
              <w:top w:val="single" w:sz="4" w:space="0" w:color="C00000"/>
              <w:left w:val="nil"/>
              <w:bottom w:val="single" w:sz="4" w:space="0" w:color="C00000"/>
              <w:right w:val="nil"/>
            </w:tcBorders>
            <w:hideMark/>
          </w:tcPr>
          <w:p w14:paraId="7E121848" w14:textId="50911236" w:rsidR="0064412C" w:rsidRPr="00885FE2" w:rsidRDefault="009D1534" w:rsidP="00C1114C">
            <w:pPr>
              <w:pStyle w:val="DHHStabletext"/>
            </w:pPr>
            <w:hyperlink w:anchor="_Appendix_1:_Measures" w:history="1">
              <w:r w:rsidR="0064412C" w:rsidRPr="00F46241">
                <w:rPr>
                  <w:rStyle w:val="Hyperlink"/>
                </w:rPr>
                <w:t>7.8</w:t>
              </w:r>
            </w:hyperlink>
          </w:p>
        </w:tc>
        <w:tc>
          <w:tcPr>
            <w:tcW w:w="3260" w:type="dxa"/>
            <w:tcBorders>
              <w:top w:val="single" w:sz="4" w:space="0" w:color="C00000"/>
              <w:left w:val="nil"/>
              <w:bottom w:val="single" w:sz="4" w:space="0" w:color="C00000"/>
              <w:right w:val="nil"/>
            </w:tcBorders>
          </w:tcPr>
          <w:p w14:paraId="173A81C4" w14:textId="77777777" w:rsidR="0064412C" w:rsidRPr="00885FE2" w:rsidRDefault="0064412C" w:rsidP="00C1114C">
            <w:pPr>
              <w:pStyle w:val="DHHStabletext"/>
            </w:pPr>
            <w:r>
              <w:t>Mean number of times per week that adults eat processed meat</w:t>
            </w:r>
          </w:p>
        </w:tc>
        <w:tc>
          <w:tcPr>
            <w:tcW w:w="2552" w:type="dxa"/>
            <w:tcBorders>
              <w:top w:val="single" w:sz="4" w:space="0" w:color="C00000"/>
              <w:left w:val="nil"/>
              <w:bottom w:val="single" w:sz="4" w:space="0" w:color="C00000"/>
              <w:right w:val="nil"/>
            </w:tcBorders>
          </w:tcPr>
          <w:p w14:paraId="144904CC" w14:textId="77777777" w:rsidR="0064412C" w:rsidRPr="005F4D6D" w:rsidRDefault="0064412C" w:rsidP="00C1114C">
            <w:pPr>
              <w:pStyle w:val="DHHStabletext"/>
              <w:rPr>
                <w:color w:val="87189D"/>
              </w:rPr>
            </w:pPr>
            <w:r w:rsidRPr="005F4D6D">
              <w:rPr>
                <w:color w:val="87189D"/>
              </w:rPr>
              <w:t>No data available (refer to Appendix 1)</w:t>
            </w:r>
          </w:p>
        </w:tc>
        <w:tc>
          <w:tcPr>
            <w:tcW w:w="1842" w:type="dxa"/>
            <w:tcBorders>
              <w:top w:val="single" w:sz="4" w:space="0" w:color="C00000"/>
              <w:left w:val="nil"/>
              <w:bottom w:val="single" w:sz="4" w:space="0" w:color="C00000"/>
              <w:right w:val="nil"/>
            </w:tcBorders>
          </w:tcPr>
          <w:p w14:paraId="5049B444" w14:textId="5A9DA97A" w:rsidR="0064412C" w:rsidRPr="005F4D6D" w:rsidRDefault="0064412C" w:rsidP="00C1114C">
            <w:pPr>
              <w:pStyle w:val="DHHStabletext"/>
              <w:rPr>
                <w:color w:val="87189D"/>
              </w:rPr>
            </w:pPr>
            <w:r w:rsidRPr="005F4D6D">
              <w:rPr>
                <w:color w:val="87189D"/>
              </w:rPr>
              <w:t>No data available (refer to Appendix 1)</w:t>
            </w:r>
          </w:p>
        </w:tc>
        <w:tc>
          <w:tcPr>
            <w:tcW w:w="1843" w:type="dxa"/>
            <w:tcBorders>
              <w:top w:val="single" w:sz="4" w:space="0" w:color="C00000"/>
              <w:left w:val="nil"/>
              <w:bottom w:val="single" w:sz="4" w:space="0" w:color="C00000"/>
              <w:right w:val="nil"/>
            </w:tcBorders>
          </w:tcPr>
          <w:p w14:paraId="3A90ED22" w14:textId="6D7B9757" w:rsidR="0064412C" w:rsidRPr="005F4D6D" w:rsidRDefault="0064412C" w:rsidP="00C1114C">
            <w:pPr>
              <w:pStyle w:val="DHHStabletext"/>
              <w:rPr>
                <w:color w:val="87189D"/>
              </w:rPr>
            </w:pPr>
            <w:r w:rsidRPr="005F4D6D">
              <w:rPr>
                <w:color w:val="87189D"/>
              </w:rPr>
              <w:t>No data available (refer to Appendix 1)</w:t>
            </w:r>
          </w:p>
        </w:tc>
        <w:tc>
          <w:tcPr>
            <w:tcW w:w="1701" w:type="dxa"/>
            <w:tcBorders>
              <w:top w:val="single" w:sz="4" w:space="0" w:color="C00000"/>
              <w:left w:val="nil"/>
              <w:bottom w:val="single" w:sz="4" w:space="0" w:color="C00000"/>
              <w:right w:val="nil"/>
            </w:tcBorders>
            <w:noWrap/>
          </w:tcPr>
          <w:p w14:paraId="64E5FC47" w14:textId="77777777" w:rsidR="0064412C" w:rsidRPr="00885FE2" w:rsidRDefault="0064412C" w:rsidP="00C1114C">
            <w:pPr>
              <w:pStyle w:val="DHHStabletext"/>
            </w:pPr>
            <w:r w:rsidRPr="00A57D2E">
              <w:t>N/S</w:t>
            </w:r>
          </w:p>
        </w:tc>
        <w:tc>
          <w:tcPr>
            <w:tcW w:w="1838" w:type="dxa"/>
            <w:tcBorders>
              <w:top w:val="single" w:sz="4" w:space="0" w:color="C00000"/>
              <w:left w:val="nil"/>
              <w:bottom w:val="single" w:sz="4" w:space="0" w:color="C00000"/>
              <w:right w:val="nil"/>
            </w:tcBorders>
          </w:tcPr>
          <w:p w14:paraId="660C2235" w14:textId="77777777" w:rsidR="0064412C" w:rsidRPr="00885FE2" w:rsidRDefault="0064412C" w:rsidP="00C1114C">
            <w:pPr>
              <w:pStyle w:val="DHHStabletext"/>
            </w:pPr>
            <w:r>
              <w:t>N/A</w:t>
            </w:r>
          </w:p>
        </w:tc>
      </w:tr>
      <w:tr w:rsidR="0064412C" w:rsidRPr="00885FE2" w14:paraId="03A2BD81" w14:textId="77777777" w:rsidTr="000970D5">
        <w:trPr>
          <w:trHeight w:val="691"/>
        </w:trPr>
        <w:tc>
          <w:tcPr>
            <w:tcW w:w="1418" w:type="dxa"/>
            <w:tcBorders>
              <w:top w:val="single" w:sz="4" w:space="0" w:color="C00000"/>
              <w:left w:val="nil"/>
              <w:bottom w:val="single" w:sz="4" w:space="0" w:color="C00000"/>
              <w:right w:val="nil"/>
            </w:tcBorders>
          </w:tcPr>
          <w:p w14:paraId="7C7A6334" w14:textId="418B88DD" w:rsidR="0064412C" w:rsidRPr="005D5BDD" w:rsidRDefault="009D1534" w:rsidP="00C1114C">
            <w:pPr>
              <w:pStyle w:val="DHHStabletext"/>
            </w:pPr>
            <w:hyperlink w:anchor="_Measure_7.9_–" w:history="1">
              <w:r w:rsidR="0064412C" w:rsidRPr="009B17F6">
                <w:rPr>
                  <w:rStyle w:val="Hyperlink"/>
                </w:rPr>
                <w:t>7.9</w:t>
              </w:r>
            </w:hyperlink>
          </w:p>
        </w:tc>
        <w:tc>
          <w:tcPr>
            <w:tcW w:w="3260" w:type="dxa"/>
            <w:tcBorders>
              <w:top w:val="single" w:sz="4" w:space="0" w:color="C00000"/>
              <w:left w:val="nil"/>
              <w:bottom w:val="single" w:sz="4" w:space="0" w:color="C00000"/>
              <w:right w:val="nil"/>
            </w:tcBorders>
          </w:tcPr>
          <w:p w14:paraId="7E3CBE58" w14:textId="77777777" w:rsidR="0064412C" w:rsidRPr="005D5BDD" w:rsidRDefault="0064412C" w:rsidP="00C1114C">
            <w:pPr>
              <w:pStyle w:val="DHHStabletext"/>
            </w:pPr>
            <w:r w:rsidRPr="005D5BDD">
              <w:t>Proportion adults who are sufficiently physically active</w:t>
            </w:r>
          </w:p>
        </w:tc>
        <w:tc>
          <w:tcPr>
            <w:tcW w:w="2552" w:type="dxa"/>
            <w:tcBorders>
              <w:top w:val="single" w:sz="4" w:space="0" w:color="C00000"/>
              <w:left w:val="nil"/>
              <w:bottom w:val="single" w:sz="4" w:space="0" w:color="C00000"/>
              <w:right w:val="nil"/>
            </w:tcBorders>
          </w:tcPr>
          <w:p w14:paraId="7B5F2AEE" w14:textId="77777777" w:rsidR="0064412C" w:rsidRPr="005D5BDD" w:rsidRDefault="0064412C" w:rsidP="00C1114C">
            <w:pPr>
              <w:pStyle w:val="DHHStabletext"/>
            </w:pPr>
            <w:r w:rsidRPr="005D5BDD">
              <w:t>Per cent</w:t>
            </w:r>
          </w:p>
        </w:tc>
        <w:tc>
          <w:tcPr>
            <w:tcW w:w="1842" w:type="dxa"/>
            <w:tcBorders>
              <w:top w:val="single" w:sz="4" w:space="0" w:color="C00000"/>
              <w:left w:val="nil"/>
              <w:bottom w:val="single" w:sz="4" w:space="0" w:color="C00000"/>
              <w:right w:val="nil"/>
            </w:tcBorders>
            <w:noWrap/>
          </w:tcPr>
          <w:p w14:paraId="0CFEDB22" w14:textId="7F515D31" w:rsidR="0064412C" w:rsidRPr="005D5BDD" w:rsidRDefault="007E3F2F" w:rsidP="00C1114C">
            <w:pPr>
              <w:pStyle w:val="DHHStabletext"/>
            </w:pPr>
            <w:r>
              <w:t>4</w:t>
            </w:r>
            <w:r w:rsidR="00AD50CB">
              <w:t>7</w:t>
            </w:r>
            <w:r>
              <w:t>.</w:t>
            </w:r>
            <w:r w:rsidR="00AD50CB">
              <w:t>0</w:t>
            </w:r>
          </w:p>
          <w:p w14:paraId="282965C5" w14:textId="0AA35F76" w:rsidR="0064412C" w:rsidRPr="005D5BDD" w:rsidRDefault="0064412C" w:rsidP="00C1114C">
            <w:pPr>
              <w:pStyle w:val="DHHStabletext"/>
            </w:pPr>
            <w:r w:rsidRPr="005D5BDD">
              <w:t>(201</w:t>
            </w:r>
            <w:r w:rsidR="00AD50CB">
              <w:t>5</w:t>
            </w:r>
            <w:r w:rsidRPr="005D5BDD">
              <w:t>)</w:t>
            </w:r>
          </w:p>
        </w:tc>
        <w:tc>
          <w:tcPr>
            <w:tcW w:w="1843" w:type="dxa"/>
            <w:tcBorders>
              <w:top w:val="single" w:sz="4" w:space="0" w:color="C00000"/>
              <w:left w:val="nil"/>
              <w:bottom w:val="single" w:sz="4" w:space="0" w:color="C00000"/>
              <w:right w:val="nil"/>
            </w:tcBorders>
            <w:noWrap/>
          </w:tcPr>
          <w:p w14:paraId="5731F5CE" w14:textId="4925E49D" w:rsidR="0064412C" w:rsidRPr="005D5BDD" w:rsidRDefault="007F75FC" w:rsidP="00C1114C">
            <w:pPr>
              <w:pStyle w:val="DHHStabletext"/>
            </w:pPr>
            <w:r>
              <w:t>50</w:t>
            </w:r>
            <w:r w:rsidR="0064412C" w:rsidRPr="005D5BDD">
              <w:t>.</w:t>
            </w:r>
            <w:r>
              <w:t>9</w:t>
            </w:r>
          </w:p>
          <w:p w14:paraId="32AFC55D" w14:textId="1398413A" w:rsidR="0064412C" w:rsidRPr="005D5BDD" w:rsidRDefault="0064412C" w:rsidP="00C1114C">
            <w:pPr>
              <w:pStyle w:val="DHHStabletext"/>
            </w:pPr>
            <w:r w:rsidRPr="005D5BDD">
              <w:t>(201</w:t>
            </w:r>
            <w:r w:rsidR="007F75FC">
              <w:t>7</w:t>
            </w:r>
            <w:r w:rsidRPr="005D5BDD">
              <w:t>)</w:t>
            </w:r>
          </w:p>
        </w:tc>
        <w:tc>
          <w:tcPr>
            <w:tcW w:w="1701" w:type="dxa"/>
            <w:tcBorders>
              <w:top w:val="single" w:sz="4" w:space="0" w:color="C00000"/>
              <w:left w:val="nil"/>
              <w:bottom w:val="single" w:sz="4" w:space="0" w:color="C00000"/>
              <w:right w:val="nil"/>
            </w:tcBorders>
            <w:noWrap/>
          </w:tcPr>
          <w:p w14:paraId="79DD95A5" w14:textId="2A926EA2" w:rsidR="0064412C" w:rsidRPr="005D5BDD" w:rsidRDefault="007F75FC" w:rsidP="00C1114C">
            <w:pPr>
              <w:pStyle w:val="DHHStabletext"/>
            </w:pPr>
            <w:r>
              <w:t>N/S</w:t>
            </w:r>
          </w:p>
        </w:tc>
        <w:tc>
          <w:tcPr>
            <w:tcW w:w="1838" w:type="dxa"/>
            <w:tcBorders>
              <w:top w:val="single" w:sz="4" w:space="0" w:color="C00000"/>
              <w:left w:val="nil"/>
              <w:bottom w:val="single" w:sz="4" w:space="0" w:color="C00000"/>
              <w:right w:val="nil"/>
            </w:tcBorders>
          </w:tcPr>
          <w:p w14:paraId="44C2E39C" w14:textId="3DF23F1B" w:rsidR="0064412C" w:rsidRPr="005D5BDD" w:rsidRDefault="00A04037" w:rsidP="00C1114C">
            <w:pPr>
              <w:pStyle w:val="DHHStabletext"/>
            </w:pPr>
            <w:r w:rsidRPr="0010585A">
              <w:t>▲</w:t>
            </w:r>
            <w:r>
              <w:br/>
              <w:t>Upward</w:t>
            </w:r>
          </w:p>
        </w:tc>
      </w:tr>
      <w:tr w:rsidR="0064412C" w:rsidRPr="00885FE2" w14:paraId="18E412D4" w14:textId="77777777" w:rsidTr="000970D5">
        <w:trPr>
          <w:trHeight w:val="691"/>
        </w:trPr>
        <w:tc>
          <w:tcPr>
            <w:tcW w:w="1418" w:type="dxa"/>
            <w:tcBorders>
              <w:top w:val="single" w:sz="4" w:space="0" w:color="C00000"/>
              <w:left w:val="nil"/>
              <w:bottom w:val="single" w:sz="4" w:space="0" w:color="C00000"/>
              <w:right w:val="nil"/>
            </w:tcBorders>
          </w:tcPr>
          <w:p w14:paraId="154CAB93" w14:textId="3B53FAB4" w:rsidR="0064412C" w:rsidRPr="00885FE2" w:rsidRDefault="009D1534" w:rsidP="00C1114C">
            <w:pPr>
              <w:pStyle w:val="DHHStabletext"/>
            </w:pPr>
            <w:hyperlink w:anchor="_Measure_7.10_–" w:history="1">
              <w:r w:rsidR="0064412C" w:rsidRPr="009B17F6">
                <w:rPr>
                  <w:rStyle w:val="Hyperlink"/>
                </w:rPr>
                <w:t>7.10</w:t>
              </w:r>
            </w:hyperlink>
          </w:p>
        </w:tc>
        <w:tc>
          <w:tcPr>
            <w:tcW w:w="3260" w:type="dxa"/>
            <w:tcBorders>
              <w:top w:val="single" w:sz="4" w:space="0" w:color="C00000"/>
              <w:left w:val="nil"/>
              <w:bottom w:val="single" w:sz="4" w:space="0" w:color="C00000"/>
              <w:right w:val="nil"/>
            </w:tcBorders>
          </w:tcPr>
          <w:p w14:paraId="395ED23C" w14:textId="5C28B90D" w:rsidR="0064412C" w:rsidRPr="00885FE2" w:rsidRDefault="0064412C" w:rsidP="00C1114C">
            <w:pPr>
              <w:pStyle w:val="DHHStabletext"/>
            </w:pPr>
            <w:r>
              <w:t>Proportion of adolescents 10–17 years who are sufficiently physically active</w:t>
            </w:r>
          </w:p>
        </w:tc>
        <w:tc>
          <w:tcPr>
            <w:tcW w:w="2552" w:type="dxa"/>
            <w:tcBorders>
              <w:top w:val="single" w:sz="4" w:space="0" w:color="C00000"/>
              <w:left w:val="nil"/>
              <w:bottom w:val="single" w:sz="4" w:space="0" w:color="C00000"/>
              <w:right w:val="nil"/>
            </w:tcBorders>
          </w:tcPr>
          <w:p w14:paraId="05B42B9B" w14:textId="77777777"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6BF98AAF" w14:textId="77777777" w:rsidR="0064412C" w:rsidRDefault="0064412C" w:rsidP="00C1114C">
            <w:pPr>
              <w:pStyle w:val="DHHStabletext"/>
            </w:pPr>
            <w:r>
              <w:t>26.0</w:t>
            </w:r>
          </w:p>
          <w:p w14:paraId="5F4A5050" w14:textId="77777777" w:rsidR="0064412C" w:rsidRDefault="0064412C" w:rsidP="00C1114C">
            <w:pPr>
              <w:pStyle w:val="DHHStabletext"/>
            </w:pPr>
            <w:r>
              <w:t>(2014)</w:t>
            </w:r>
          </w:p>
        </w:tc>
        <w:tc>
          <w:tcPr>
            <w:tcW w:w="1843" w:type="dxa"/>
            <w:tcBorders>
              <w:top w:val="single" w:sz="4" w:space="0" w:color="C00000"/>
              <w:left w:val="nil"/>
              <w:bottom w:val="single" w:sz="4" w:space="0" w:color="C00000"/>
              <w:right w:val="nil"/>
            </w:tcBorders>
            <w:noWrap/>
          </w:tcPr>
          <w:p w14:paraId="40F7E6E7" w14:textId="77777777" w:rsidR="0064412C" w:rsidRDefault="0064412C" w:rsidP="00C1114C">
            <w:pPr>
              <w:pStyle w:val="DHHStabletext"/>
            </w:pPr>
            <w:r>
              <w:t>23.3</w:t>
            </w:r>
          </w:p>
          <w:p w14:paraId="274A633F" w14:textId="25634249" w:rsidR="0064412C" w:rsidRDefault="0064412C" w:rsidP="00C1114C">
            <w:pPr>
              <w:pStyle w:val="DHHStabletext"/>
            </w:pPr>
            <w:r>
              <w:t>(2016)</w:t>
            </w:r>
          </w:p>
        </w:tc>
        <w:tc>
          <w:tcPr>
            <w:tcW w:w="1701" w:type="dxa"/>
            <w:tcBorders>
              <w:top w:val="single" w:sz="4" w:space="0" w:color="C00000"/>
              <w:left w:val="nil"/>
              <w:bottom w:val="single" w:sz="4" w:space="0" w:color="C00000"/>
              <w:right w:val="nil"/>
            </w:tcBorders>
            <w:noWrap/>
          </w:tcPr>
          <w:p w14:paraId="6BCE361C" w14:textId="78692768" w:rsidR="0064412C" w:rsidRDefault="00F90C56" w:rsidP="00C1114C">
            <w:pPr>
              <w:pStyle w:val="DHHStabletext"/>
            </w:pPr>
            <w:r>
              <w:t>31.2</w:t>
            </w:r>
          </w:p>
          <w:p w14:paraId="60FECDCA" w14:textId="77777777" w:rsidR="0064412C" w:rsidRPr="00885FE2" w:rsidRDefault="0064412C" w:rsidP="00C1114C">
            <w:pPr>
              <w:pStyle w:val="DHHStabletext"/>
            </w:pPr>
            <w:r>
              <w:t>(2025)</w:t>
            </w:r>
          </w:p>
        </w:tc>
        <w:tc>
          <w:tcPr>
            <w:tcW w:w="1838" w:type="dxa"/>
            <w:tcBorders>
              <w:top w:val="single" w:sz="4" w:space="0" w:color="C00000"/>
              <w:left w:val="nil"/>
              <w:bottom w:val="single" w:sz="4" w:space="0" w:color="C00000"/>
              <w:right w:val="nil"/>
            </w:tcBorders>
          </w:tcPr>
          <w:p w14:paraId="2A29991F" w14:textId="10233046" w:rsidR="0064412C" w:rsidRPr="0010585A" w:rsidRDefault="00D7510A" w:rsidP="00C1114C">
            <w:pPr>
              <w:pStyle w:val="DHHStabletext"/>
            </w:pPr>
            <w:r w:rsidRPr="00C1114C">
              <w:t>▼</w:t>
            </w:r>
            <w:r>
              <w:br/>
            </w:r>
            <w:r w:rsidRPr="00C1114C">
              <w:t>Downward</w:t>
            </w:r>
          </w:p>
        </w:tc>
      </w:tr>
      <w:tr w:rsidR="0064412C" w:rsidRPr="00885FE2" w14:paraId="01DBB1D8" w14:textId="77777777" w:rsidTr="000970D5">
        <w:trPr>
          <w:trHeight w:val="691"/>
        </w:trPr>
        <w:tc>
          <w:tcPr>
            <w:tcW w:w="1418" w:type="dxa"/>
            <w:tcBorders>
              <w:top w:val="single" w:sz="4" w:space="0" w:color="C00000"/>
              <w:left w:val="nil"/>
              <w:bottom w:val="single" w:sz="4" w:space="0" w:color="C00000"/>
              <w:right w:val="nil"/>
            </w:tcBorders>
            <w:hideMark/>
          </w:tcPr>
          <w:p w14:paraId="00B31D52" w14:textId="3934CBD1" w:rsidR="0064412C" w:rsidRPr="00885FE2" w:rsidRDefault="009D1534" w:rsidP="00C1114C">
            <w:pPr>
              <w:pStyle w:val="DHHStabletext"/>
            </w:pPr>
            <w:hyperlink w:anchor="_Measure_7.11_–" w:history="1">
              <w:r w:rsidR="0064412C" w:rsidRPr="009B17F6">
                <w:rPr>
                  <w:rStyle w:val="Hyperlink"/>
                </w:rPr>
                <w:t>7.11</w:t>
              </w:r>
            </w:hyperlink>
          </w:p>
        </w:tc>
        <w:tc>
          <w:tcPr>
            <w:tcW w:w="3260" w:type="dxa"/>
            <w:tcBorders>
              <w:top w:val="single" w:sz="4" w:space="0" w:color="C00000"/>
              <w:left w:val="nil"/>
              <w:bottom w:val="single" w:sz="4" w:space="0" w:color="C00000"/>
              <w:right w:val="nil"/>
            </w:tcBorders>
          </w:tcPr>
          <w:p w14:paraId="72787F25" w14:textId="2150133F" w:rsidR="0064412C" w:rsidRPr="00885FE2" w:rsidRDefault="0064412C" w:rsidP="00C1114C">
            <w:pPr>
              <w:pStyle w:val="DHHStabletext"/>
            </w:pPr>
            <w:r>
              <w:t>Proportion of children 5–12 years who are sufficiently physically active</w:t>
            </w:r>
          </w:p>
        </w:tc>
        <w:tc>
          <w:tcPr>
            <w:tcW w:w="2552" w:type="dxa"/>
            <w:tcBorders>
              <w:top w:val="single" w:sz="4" w:space="0" w:color="C00000"/>
              <w:left w:val="nil"/>
              <w:bottom w:val="single" w:sz="4" w:space="0" w:color="C00000"/>
              <w:right w:val="nil"/>
            </w:tcBorders>
          </w:tcPr>
          <w:p w14:paraId="13B29CAA" w14:textId="77777777" w:rsidR="0064412C" w:rsidRPr="00885FE2" w:rsidRDefault="0064412C" w:rsidP="00C1114C">
            <w:pPr>
              <w:pStyle w:val="DHHStabletext"/>
            </w:pPr>
            <w:r>
              <w:t>Per cent</w:t>
            </w:r>
          </w:p>
        </w:tc>
        <w:tc>
          <w:tcPr>
            <w:tcW w:w="1842" w:type="dxa"/>
            <w:tcBorders>
              <w:top w:val="single" w:sz="4" w:space="0" w:color="C00000"/>
              <w:left w:val="nil"/>
              <w:bottom w:val="single" w:sz="4" w:space="0" w:color="C00000"/>
              <w:right w:val="nil"/>
            </w:tcBorders>
            <w:noWrap/>
          </w:tcPr>
          <w:p w14:paraId="4630EC44" w14:textId="4DB41386" w:rsidR="0064412C" w:rsidRDefault="0064412C" w:rsidP="00C1114C">
            <w:pPr>
              <w:pStyle w:val="DHHStabletext"/>
            </w:pPr>
            <w:r>
              <w:t>62.</w:t>
            </w:r>
            <w:r w:rsidR="00083613">
              <w:t>2</w:t>
            </w:r>
          </w:p>
          <w:p w14:paraId="5DE4C39E" w14:textId="77777777" w:rsidR="0064412C" w:rsidRPr="00885FE2" w:rsidRDefault="0064412C" w:rsidP="00C1114C">
            <w:pPr>
              <w:pStyle w:val="DHHStabletext"/>
            </w:pPr>
            <w:r>
              <w:t>(2013)</w:t>
            </w:r>
          </w:p>
        </w:tc>
        <w:tc>
          <w:tcPr>
            <w:tcW w:w="1843" w:type="dxa"/>
            <w:tcBorders>
              <w:top w:val="single" w:sz="4" w:space="0" w:color="C00000"/>
              <w:left w:val="nil"/>
              <w:bottom w:val="single" w:sz="4" w:space="0" w:color="C00000"/>
              <w:right w:val="nil"/>
            </w:tcBorders>
            <w:noWrap/>
          </w:tcPr>
          <w:p w14:paraId="2C317937" w14:textId="77777777" w:rsidR="0064412C" w:rsidRDefault="0064412C" w:rsidP="00C1114C">
            <w:pPr>
              <w:pStyle w:val="DHHStabletext"/>
            </w:pPr>
            <w:r>
              <w:t>59.4</w:t>
            </w:r>
          </w:p>
          <w:p w14:paraId="0103ED47" w14:textId="77777777" w:rsidR="0064412C" w:rsidRPr="00885FE2" w:rsidRDefault="0064412C" w:rsidP="00C1114C">
            <w:pPr>
              <w:pStyle w:val="DHHStabletext"/>
            </w:pPr>
            <w:r>
              <w:t>(2017)</w:t>
            </w:r>
          </w:p>
        </w:tc>
        <w:tc>
          <w:tcPr>
            <w:tcW w:w="1701" w:type="dxa"/>
            <w:tcBorders>
              <w:top w:val="single" w:sz="4" w:space="0" w:color="C00000"/>
              <w:left w:val="nil"/>
              <w:bottom w:val="single" w:sz="4" w:space="0" w:color="C00000"/>
              <w:right w:val="nil"/>
            </w:tcBorders>
            <w:noWrap/>
          </w:tcPr>
          <w:p w14:paraId="0EB27C69" w14:textId="77777777" w:rsidR="0064412C" w:rsidRPr="00A57D2E" w:rsidRDefault="0064412C" w:rsidP="00C1114C">
            <w:pPr>
              <w:pStyle w:val="DHHStabletext"/>
            </w:pPr>
            <w:r w:rsidRPr="00A57D2E">
              <w:t>N/S</w:t>
            </w:r>
          </w:p>
        </w:tc>
        <w:tc>
          <w:tcPr>
            <w:tcW w:w="1838" w:type="dxa"/>
            <w:tcBorders>
              <w:top w:val="single" w:sz="4" w:space="0" w:color="C00000"/>
              <w:left w:val="nil"/>
              <w:bottom w:val="single" w:sz="4" w:space="0" w:color="C00000"/>
              <w:right w:val="nil"/>
            </w:tcBorders>
          </w:tcPr>
          <w:p w14:paraId="705B83C9" w14:textId="584E6727" w:rsidR="0064412C" w:rsidRPr="0010585A" w:rsidRDefault="00D7510A" w:rsidP="00C1114C">
            <w:pPr>
              <w:pStyle w:val="DHHStabletext"/>
            </w:pPr>
            <w:r w:rsidRPr="00C1114C">
              <w:t>▼</w:t>
            </w:r>
            <w:r>
              <w:br/>
            </w:r>
            <w:r w:rsidRPr="00C1114C">
              <w:t>Downward</w:t>
            </w:r>
          </w:p>
        </w:tc>
      </w:tr>
    </w:tbl>
    <w:p w14:paraId="4F656712" w14:textId="003002FF" w:rsidR="00D7510A" w:rsidRDefault="00D7510A" w:rsidP="00D7510A">
      <w:pPr>
        <w:pStyle w:val="Heading5"/>
      </w:pPr>
      <w:r w:rsidRPr="00854D56">
        <w:t>Key result:</w:t>
      </w:r>
      <w:r>
        <w:t xml:space="preserve"> </w:t>
      </w:r>
      <w:r w:rsidRPr="00854D56">
        <w:t>Decrease obesity</w:t>
      </w:r>
    </w:p>
    <w:tbl>
      <w:tblPr>
        <w:tblStyle w:val="TableGrid"/>
        <w:tblW w:w="14454"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418"/>
        <w:gridCol w:w="3260"/>
        <w:gridCol w:w="2552"/>
        <w:gridCol w:w="1842"/>
        <w:gridCol w:w="1843"/>
        <w:gridCol w:w="1701"/>
        <w:gridCol w:w="1838"/>
      </w:tblGrid>
      <w:tr w:rsidR="00D7510A" w:rsidRPr="00D7510A" w14:paraId="3D1D6B9D" w14:textId="77777777" w:rsidTr="00957CB6">
        <w:trPr>
          <w:trHeight w:val="723"/>
        </w:trPr>
        <w:tc>
          <w:tcPr>
            <w:tcW w:w="1418" w:type="dxa"/>
            <w:shd w:val="clear" w:color="auto" w:fill="EDCDCF"/>
          </w:tcPr>
          <w:p w14:paraId="26D7D3B4" w14:textId="47E6B4EB" w:rsidR="00D7510A" w:rsidRPr="00D7510A" w:rsidRDefault="00D7510A" w:rsidP="00D7510A">
            <w:pPr>
              <w:pStyle w:val="DHHStablecolhead"/>
            </w:pPr>
            <w:r w:rsidRPr="00D7510A">
              <w:t>Measure #</w:t>
            </w:r>
          </w:p>
        </w:tc>
        <w:tc>
          <w:tcPr>
            <w:tcW w:w="3260" w:type="dxa"/>
            <w:shd w:val="clear" w:color="auto" w:fill="EDCDCF"/>
          </w:tcPr>
          <w:p w14:paraId="40E15CEF" w14:textId="78B786BD" w:rsidR="00D7510A" w:rsidRPr="00D7510A" w:rsidRDefault="00D7510A" w:rsidP="00D7510A">
            <w:pPr>
              <w:pStyle w:val="DHHStablecolhead"/>
            </w:pPr>
            <w:r w:rsidRPr="00D7510A">
              <w:t>Description</w:t>
            </w:r>
          </w:p>
        </w:tc>
        <w:tc>
          <w:tcPr>
            <w:tcW w:w="2552" w:type="dxa"/>
            <w:shd w:val="clear" w:color="auto" w:fill="EDCDCF"/>
          </w:tcPr>
          <w:p w14:paraId="20B70DAD" w14:textId="1FCC297F" w:rsidR="00D7510A" w:rsidRPr="00D7510A" w:rsidRDefault="00D7510A" w:rsidP="00D7510A">
            <w:pPr>
              <w:pStyle w:val="DHHStablecolhead"/>
            </w:pPr>
            <w:r w:rsidRPr="00D7510A">
              <w:t>Unit of measure</w:t>
            </w:r>
          </w:p>
        </w:tc>
        <w:tc>
          <w:tcPr>
            <w:tcW w:w="1842" w:type="dxa"/>
            <w:shd w:val="clear" w:color="auto" w:fill="EDCDCF"/>
            <w:noWrap/>
          </w:tcPr>
          <w:p w14:paraId="7660B849" w14:textId="77777777" w:rsidR="00D7510A" w:rsidRPr="00D7510A" w:rsidRDefault="00D7510A" w:rsidP="00D7510A">
            <w:pPr>
              <w:pStyle w:val="DHHStablecolhead"/>
            </w:pPr>
            <w:r w:rsidRPr="00D7510A">
              <w:t>Baseline</w:t>
            </w:r>
          </w:p>
          <w:p w14:paraId="299458F3" w14:textId="778ACFD6" w:rsidR="00D7510A" w:rsidRPr="00D7510A" w:rsidRDefault="00D7510A" w:rsidP="00D7510A">
            <w:pPr>
              <w:pStyle w:val="DHHStablecolhead"/>
            </w:pPr>
            <w:r w:rsidRPr="00D7510A">
              <w:t>(year)</w:t>
            </w:r>
          </w:p>
        </w:tc>
        <w:tc>
          <w:tcPr>
            <w:tcW w:w="1843" w:type="dxa"/>
            <w:shd w:val="clear" w:color="auto" w:fill="EDCDCF"/>
            <w:noWrap/>
          </w:tcPr>
          <w:p w14:paraId="235446BF" w14:textId="77777777" w:rsidR="00D7510A" w:rsidRPr="00D7510A" w:rsidRDefault="00D7510A" w:rsidP="00D7510A">
            <w:pPr>
              <w:pStyle w:val="DHHStablecolhead"/>
            </w:pPr>
            <w:r w:rsidRPr="00D7510A">
              <w:t>Most recent</w:t>
            </w:r>
          </w:p>
          <w:p w14:paraId="3B253779" w14:textId="732AC68E" w:rsidR="00D7510A" w:rsidRPr="00D7510A" w:rsidRDefault="00D7510A" w:rsidP="00D7510A">
            <w:pPr>
              <w:pStyle w:val="DHHStablecolhead"/>
            </w:pPr>
            <w:r w:rsidRPr="00D7510A">
              <w:t>(year)</w:t>
            </w:r>
          </w:p>
        </w:tc>
        <w:tc>
          <w:tcPr>
            <w:tcW w:w="1701" w:type="dxa"/>
            <w:shd w:val="clear" w:color="auto" w:fill="EDCDCF"/>
            <w:noWrap/>
          </w:tcPr>
          <w:p w14:paraId="4B102621" w14:textId="77777777" w:rsidR="00D7510A" w:rsidRPr="00D7510A" w:rsidRDefault="00D7510A" w:rsidP="00D7510A">
            <w:pPr>
              <w:pStyle w:val="DHHStablecolhead"/>
            </w:pPr>
            <w:r w:rsidRPr="00D7510A">
              <w:t>Target</w:t>
            </w:r>
          </w:p>
          <w:p w14:paraId="1DCDE497" w14:textId="4593933C" w:rsidR="00D7510A" w:rsidRPr="00D7510A" w:rsidRDefault="00D7510A" w:rsidP="00D7510A">
            <w:pPr>
              <w:pStyle w:val="DHHStablecolhead"/>
            </w:pPr>
            <w:r w:rsidRPr="00D7510A">
              <w:t>(Year)</w:t>
            </w:r>
          </w:p>
        </w:tc>
        <w:tc>
          <w:tcPr>
            <w:tcW w:w="1838" w:type="dxa"/>
            <w:shd w:val="clear" w:color="auto" w:fill="EDCDCF"/>
          </w:tcPr>
          <w:p w14:paraId="7EC74134" w14:textId="49843711" w:rsidR="00D7510A" w:rsidRPr="00D7510A" w:rsidRDefault="00D7510A" w:rsidP="00D7510A">
            <w:pPr>
              <w:pStyle w:val="DHHStablecolhead"/>
            </w:pPr>
            <w:r w:rsidRPr="00D7510A">
              <w:t>Trend</w:t>
            </w:r>
          </w:p>
        </w:tc>
      </w:tr>
      <w:tr w:rsidR="0064412C" w:rsidRPr="00885FE2" w14:paraId="1D69522A" w14:textId="77777777" w:rsidTr="00957CB6">
        <w:trPr>
          <w:trHeight w:val="723"/>
        </w:trPr>
        <w:tc>
          <w:tcPr>
            <w:tcW w:w="1418" w:type="dxa"/>
          </w:tcPr>
          <w:p w14:paraId="0B003395" w14:textId="35425F54" w:rsidR="0064412C" w:rsidRPr="00885FE2" w:rsidRDefault="009D1534" w:rsidP="00C1114C">
            <w:pPr>
              <w:pStyle w:val="DHHStabletext"/>
            </w:pPr>
            <w:hyperlink w:anchor="_Measure_8.1_–" w:history="1">
              <w:r w:rsidR="0064412C" w:rsidRPr="000760F7">
                <w:rPr>
                  <w:rStyle w:val="Hyperlink"/>
                </w:rPr>
                <w:t>8.1</w:t>
              </w:r>
            </w:hyperlink>
          </w:p>
        </w:tc>
        <w:tc>
          <w:tcPr>
            <w:tcW w:w="3260" w:type="dxa"/>
          </w:tcPr>
          <w:p w14:paraId="21C7A0D0" w14:textId="77777777" w:rsidR="0064412C" w:rsidRPr="00885FE2" w:rsidRDefault="0064412C" w:rsidP="00C1114C">
            <w:pPr>
              <w:pStyle w:val="DHHStabletext"/>
            </w:pPr>
            <w:r>
              <w:t>Proportion of adults who are overweight or obese (measured)</w:t>
            </w:r>
          </w:p>
        </w:tc>
        <w:tc>
          <w:tcPr>
            <w:tcW w:w="2552" w:type="dxa"/>
          </w:tcPr>
          <w:p w14:paraId="0271228F" w14:textId="77777777" w:rsidR="0064412C" w:rsidRPr="00885FE2" w:rsidRDefault="0064412C" w:rsidP="00C1114C">
            <w:pPr>
              <w:pStyle w:val="DHHStabletext"/>
            </w:pPr>
            <w:r>
              <w:t>Per cent</w:t>
            </w:r>
          </w:p>
        </w:tc>
        <w:tc>
          <w:tcPr>
            <w:tcW w:w="1842" w:type="dxa"/>
            <w:noWrap/>
          </w:tcPr>
          <w:p w14:paraId="49477701" w14:textId="77777777" w:rsidR="0064412C" w:rsidRDefault="0064412C" w:rsidP="00C1114C">
            <w:pPr>
              <w:pStyle w:val="DHHStabletext"/>
            </w:pPr>
            <w:r>
              <w:t>61.0</w:t>
            </w:r>
          </w:p>
          <w:p w14:paraId="55AD3DE7" w14:textId="4E216CDB" w:rsidR="0064412C" w:rsidRPr="003B186C" w:rsidRDefault="0064412C" w:rsidP="00C1114C">
            <w:pPr>
              <w:pStyle w:val="DHHStabletext"/>
            </w:pPr>
            <w:r>
              <w:t>(2011–12)</w:t>
            </w:r>
          </w:p>
        </w:tc>
        <w:tc>
          <w:tcPr>
            <w:tcW w:w="1843" w:type="dxa"/>
            <w:noWrap/>
          </w:tcPr>
          <w:p w14:paraId="722C9DE8" w14:textId="77777777" w:rsidR="0064412C" w:rsidRDefault="0064412C" w:rsidP="00C1114C">
            <w:pPr>
              <w:pStyle w:val="DHHStabletext"/>
            </w:pPr>
            <w:r>
              <w:t>63.3</w:t>
            </w:r>
          </w:p>
          <w:p w14:paraId="34B2C910" w14:textId="7359EEBD" w:rsidR="0064412C" w:rsidRPr="00885FE2" w:rsidRDefault="0064412C" w:rsidP="00C1114C">
            <w:pPr>
              <w:pStyle w:val="DHHStabletext"/>
            </w:pPr>
            <w:r>
              <w:t>(2014–15)</w:t>
            </w:r>
          </w:p>
        </w:tc>
        <w:tc>
          <w:tcPr>
            <w:tcW w:w="1701" w:type="dxa"/>
            <w:noWrap/>
          </w:tcPr>
          <w:p w14:paraId="49D84759" w14:textId="3DF9561A" w:rsidR="0064412C" w:rsidRDefault="0064412C" w:rsidP="00C1114C">
            <w:pPr>
              <w:pStyle w:val="DHHStabletext"/>
            </w:pPr>
            <w:r>
              <w:t>5</w:t>
            </w:r>
            <w:r w:rsidR="00E25C6D">
              <w:t>8</w:t>
            </w:r>
          </w:p>
          <w:p w14:paraId="093607B0" w14:textId="77777777" w:rsidR="0064412C" w:rsidRPr="00885FE2" w:rsidRDefault="0064412C" w:rsidP="00C1114C">
            <w:pPr>
              <w:pStyle w:val="DHHStabletext"/>
            </w:pPr>
            <w:r>
              <w:t>(2025)</w:t>
            </w:r>
          </w:p>
        </w:tc>
        <w:tc>
          <w:tcPr>
            <w:tcW w:w="1838" w:type="dxa"/>
          </w:tcPr>
          <w:p w14:paraId="78D1A30E" w14:textId="292542A8" w:rsidR="0064412C" w:rsidRPr="0010585A" w:rsidRDefault="00CF3B53" w:rsidP="00C1114C">
            <w:pPr>
              <w:pStyle w:val="DHHStabletext"/>
              <w:rPr>
                <w:highlight w:val="yellow"/>
              </w:rPr>
            </w:pPr>
            <w:r w:rsidRPr="0010585A">
              <w:t>▲</w:t>
            </w:r>
            <w:r>
              <w:br/>
              <w:t>Upward</w:t>
            </w:r>
          </w:p>
        </w:tc>
      </w:tr>
      <w:tr w:rsidR="0064412C" w:rsidRPr="00885FE2" w14:paraId="0D754894" w14:textId="77777777" w:rsidTr="00957CB6">
        <w:trPr>
          <w:trHeight w:val="723"/>
        </w:trPr>
        <w:tc>
          <w:tcPr>
            <w:tcW w:w="1418" w:type="dxa"/>
          </w:tcPr>
          <w:p w14:paraId="6C81D552" w14:textId="0D5027F4" w:rsidR="0064412C" w:rsidRPr="00885FE2" w:rsidRDefault="009D1534" w:rsidP="00C1114C">
            <w:pPr>
              <w:pStyle w:val="DHHStabletext"/>
            </w:pPr>
            <w:hyperlink w:anchor="_Measure_8.2_–" w:history="1">
              <w:r w:rsidR="0064412C" w:rsidRPr="009B17F6">
                <w:rPr>
                  <w:rStyle w:val="Hyperlink"/>
                </w:rPr>
                <w:t>8.2</w:t>
              </w:r>
            </w:hyperlink>
          </w:p>
        </w:tc>
        <w:tc>
          <w:tcPr>
            <w:tcW w:w="3260" w:type="dxa"/>
          </w:tcPr>
          <w:p w14:paraId="4BE1903E" w14:textId="77777777" w:rsidR="0064412C" w:rsidRPr="00885FE2" w:rsidRDefault="0064412C" w:rsidP="00C1114C">
            <w:pPr>
              <w:pStyle w:val="DHHStabletext"/>
            </w:pPr>
            <w:r>
              <w:t>Proportion of adults who are overweight or obese (self-report)</w:t>
            </w:r>
          </w:p>
        </w:tc>
        <w:tc>
          <w:tcPr>
            <w:tcW w:w="2552" w:type="dxa"/>
          </w:tcPr>
          <w:p w14:paraId="27677244" w14:textId="77777777" w:rsidR="0064412C" w:rsidRPr="00885FE2" w:rsidRDefault="0064412C" w:rsidP="00C1114C">
            <w:pPr>
              <w:pStyle w:val="DHHStabletext"/>
            </w:pPr>
            <w:r>
              <w:t>Per cent</w:t>
            </w:r>
          </w:p>
        </w:tc>
        <w:tc>
          <w:tcPr>
            <w:tcW w:w="1842" w:type="dxa"/>
            <w:noWrap/>
          </w:tcPr>
          <w:p w14:paraId="46976914" w14:textId="58030428" w:rsidR="0064412C" w:rsidRDefault="0055499D" w:rsidP="00C1114C">
            <w:pPr>
              <w:pStyle w:val="DHHStabletext"/>
            </w:pPr>
            <w:r>
              <w:t>50</w:t>
            </w:r>
            <w:r w:rsidR="0064412C">
              <w:t>.8</w:t>
            </w:r>
          </w:p>
          <w:p w14:paraId="39A6FDF5" w14:textId="78B55D90" w:rsidR="0064412C" w:rsidRPr="003B186C" w:rsidRDefault="0064412C" w:rsidP="00C1114C">
            <w:pPr>
              <w:pStyle w:val="DHHStabletext"/>
            </w:pPr>
            <w:r>
              <w:t>(201</w:t>
            </w:r>
            <w:r w:rsidR="0055499D">
              <w:t>5</w:t>
            </w:r>
            <w:r>
              <w:t>)</w:t>
            </w:r>
          </w:p>
        </w:tc>
        <w:tc>
          <w:tcPr>
            <w:tcW w:w="1843" w:type="dxa"/>
            <w:noWrap/>
          </w:tcPr>
          <w:p w14:paraId="566963BD" w14:textId="498442D1" w:rsidR="0064412C" w:rsidRDefault="0055499D" w:rsidP="00C1114C">
            <w:pPr>
              <w:pStyle w:val="DHHStabletext"/>
            </w:pPr>
            <w:r>
              <w:t>50.8</w:t>
            </w:r>
          </w:p>
          <w:p w14:paraId="24242B4B" w14:textId="274FE75C" w:rsidR="0064412C" w:rsidRPr="00885FE2" w:rsidRDefault="0064412C" w:rsidP="00C1114C">
            <w:pPr>
              <w:pStyle w:val="DHHStabletext"/>
            </w:pPr>
            <w:r>
              <w:t>(201</w:t>
            </w:r>
            <w:r w:rsidR="0055499D">
              <w:t>7</w:t>
            </w:r>
            <w:r>
              <w:t>)</w:t>
            </w:r>
          </w:p>
        </w:tc>
        <w:tc>
          <w:tcPr>
            <w:tcW w:w="1701" w:type="dxa"/>
            <w:noWrap/>
          </w:tcPr>
          <w:p w14:paraId="1A9DA9B9" w14:textId="6FDE4B3D" w:rsidR="0064412C" w:rsidRDefault="00E25C6D" w:rsidP="00C1114C">
            <w:pPr>
              <w:pStyle w:val="DHHStabletext"/>
            </w:pPr>
            <w:r>
              <w:t>N/S</w:t>
            </w:r>
          </w:p>
          <w:p w14:paraId="2D84F101" w14:textId="49083DFD" w:rsidR="0064412C" w:rsidRPr="00885FE2" w:rsidRDefault="0064412C" w:rsidP="00C1114C">
            <w:pPr>
              <w:pStyle w:val="DHHStabletext"/>
            </w:pPr>
          </w:p>
        </w:tc>
        <w:tc>
          <w:tcPr>
            <w:tcW w:w="1838" w:type="dxa"/>
          </w:tcPr>
          <w:p w14:paraId="601E8230" w14:textId="32E3C927" w:rsidR="0064412C" w:rsidRPr="0010585A" w:rsidRDefault="00CF3B53" w:rsidP="00C1114C">
            <w:pPr>
              <w:pStyle w:val="DHHStabletext"/>
            </w:pPr>
            <w:r w:rsidRPr="00AD1B27">
              <w:t>■</w:t>
            </w:r>
            <w:r>
              <w:t xml:space="preserve"> </w:t>
            </w:r>
            <w:r>
              <w:br/>
              <w:t>No change</w:t>
            </w:r>
          </w:p>
        </w:tc>
      </w:tr>
      <w:tr w:rsidR="0064412C" w:rsidRPr="00885FE2" w14:paraId="098764A1" w14:textId="77777777" w:rsidTr="00957CB6">
        <w:trPr>
          <w:trHeight w:val="723"/>
        </w:trPr>
        <w:tc>
          <w:tcPr>
            <w:tcW w:w="1418" w:type="dxa"/>
          </w:tcPr>
          <w:p w14:paraId="676E00C6" w14:textId="4C605042" w:rsidR="0064412C" w:rsidRPr="00885FE2" w:rsidRDefault="009D1534" w:rsidP="00C1114C">
            <w:pPr>
              <w:pStyle w:val="DHHStabletext"/>
            </w:pPr>
            <w:hyperlink w:anchor="_Measure_8.3_–" w:history="1">
              <w:r w:rsidR="0064412C" w:rsidRPr="009B17F6">
                <w:rPr>
                  <w:rStyle w:val="Hyperlink"/>
                </w:rPr>
                <w:t>8.3</w:t>
              </w:r>
            </w:hyperlink>
          </w:p>
        </w:tc>
        <w:tc>
          <w:tcPr>
            <w:tcW w:w="3260" w:type="dxa"/>
          </w:tcPr>
          <w:p w14:paraId="02208FD0" w14:textId="1F54C309" w:rsidR="0064412C" w:rsidRPr="00885FE2" w:rsidRDefault="0064412C" w:rsidP="00C1114C">
            <w:pPr>
              <w:pStyle w:val="DHHStabletext"/>
            </w:pPr>
            <w:r>
              <w:t>Proportion of children 5–17 years who are overweight or obese (measured)</w:t>
            </w:r>
          </w:p>
        </w:tc>
        <w:tc>
          <w:tcPr>
            <w:tcW w:w="2552" w:type="dxa"/>
          </w:tcPr>
          <w:p w14:paraId="3639D6E9" w14:textId="77777777" w:rsidR="0064412C" w:rsidRPr="00885FE2" w:rsidRDefault="0064412C" w:rsidP="00C1114C">
            <w:pPr>
              <w:pStyle w:val="DHHStabletext"/>
            </w:pPr>
            <w:r>
              <w:t>Per cent</w:t>
            </w:r>
          </w:p>
        </w:tc>
        <w:tc>
          <w:tcPr>
            <w:tcW w:w="1842" w:type="dxa"/>
            <w:noWrap/>
          </w:tcPr>
          <w:p w14:paraId="63F672E6" w14:textId="77777777" w:rsidR="0064412C" w:rsidRDefault="0064412C" w:rsidP="00C1114C">
            <w:pPr>
              <w:pStyle w:val="DHHStabletext"/>
            </w:pPr>
            <w:r>
              <w:t>23.1</w:t>
            </w:r>
          </w:p>
          <w:p w14:paraId="00A2D2A0" w14:textId="1CF69700" w:rsidR="0064412C" w:rsidRPr="008932C6" w:rsidRDefault="0064412C" w:rsidP="00C1114C">
            <w:pPr>
              <w:pStyle w:val="DHHStabletext"/>
            </w:pPr>
            <w:r>
              <w:t>(201</w:t>
            </w:r>
            <w:r w:rsidR="00F90C56">
              <w:t>1</w:t>
            </w:r>
            <w:r>
              <w:t>)</w:t>
            </w:r>
          </w:p>
        </w:tc>
        <w:tc>
          <w:tcPr>
            <w:tcW w:w="1843" w:type="dxa"/>
            <w:noWrap/>
          </w:tcPr>
          <w:p w14:paraId="0176FB47" w14:textId="77777777" w:rsidR="0064412C" w:rsidRDefault="0064412C" w:rsidP="00C1114C">
            <w:pPr>
              <w:pStyle w:val="DHHStabletext"/>
            </w:pPr>
            <w:r>
              <w:t>30.9</w:t>
            </w:r>
          </w:p>
          <w:p w14:paraId="4C927A48" w14:textId="77777777" w:rsidR="0064412C" w:rsidRPr="00885FE2" w:rsidRDefault="0064412C" w:rsidP="00C1114C">
            <w:pPr>
              <w:pStyle w:val="DHHStabletext"/>
            </w:pPr>
            <w:r>
              <w:t>(2015)</w:t>
            </w:r>
          </w:p>
        </w:tc>
        <w:tc>
          <w:tcPr>
            <w:tcW w:w="1701" w:type="dxa"/>
            <w:noWrap/>
          </w:tcPr>
          <w:p w14:paraId="2A69F6EE" w14:textId="25B493F2" w:rsidR="0064412C" w:rsidRDefault="00E25C6D" w:rsidP="00C1114C">
            <w:pPr>
              <w:pStyle w:val="DHHStabletext"/>
            </w:pPr>
            <w:r>
              <w:t>21.9</w:t>
            </w:r>
          </w:p>
          <w:p w14:paraId="3E32E0BA" w14:textId="77777777" w:rsidR="0064412C" w:rsidRPr="00885FE2" w:rsidRDefault="0064412C" w:rsidP="00C1114C">
            <w:pPr>
              <w:pStyle w:val="DHHStabletext"/>
            </w:pPr>
            <w:r>
              <w:t>(2025)</w:t>
            </w:r>
          </w:p>
        </w:tc>
        <w:tc>
          <w:tcPr>
            <w:tcW w:w="1838" w:type="dxa"/>
          </w:tcPr>
          <w:p w14:paraId="40E4185C" w14:textId="288D1754" w:rsidR="0064412C" w:rsidRPr="00885FE2" w:rsidRDefault="00CF3B53" w:rsidP="00C1114C">
            <w:pPr>
              <w:pStyle w:val="DHHStabletext"/>
            </w:pPr>
            <w:r w:rsidRPr="0010585A">
              <w:t>▲</w:t>
            </w:r>
            <w:r>
              <w:br/>
              <w:t>Upward</w:t>
            </w:r>
          </w:p>
        </w:tc>
      </w:tr>
    </w:tbl>
    <w:p w14:paraId="3A104001" w14:textId="1C742B26" w:rsidR="00D7510A" w:rsidRDefault="00D7510A" w:rsidP="00D7510A">
      <w:pPr>
        <w:pStyle w:val="Heading5"/>
      </w:pPr>
      <w:r w:rsidRPr="00854D56">
        <w:lastRenderedPageBreak/>
        <w:t>Key result:</w:t>
      </w:r>
      <w:r>
        <w:t xml:space="preserve"> </w:t>
      </w:r>
      <w:r w:rsidRPr="00854D56">
        <w:t>Decrease UV exposure</w:t>
      </w:r>
    </w:p>
    <w:tbl>
      <w:tblPr>
        <w:tblStyle w:val="TableGrid"/>
        <w:tblW w:w="14454"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2"/>
        <w:gridCol w:w="3260"/>
        <w:gridCol w:w="2268"/>
        <w:gridCol w:w="2126"/>
        <w:gridCol w:w="1701"/>
        <w:gridCol w:w="1701"/>
        <w:gridCol w:w="1276"/>
      </w:tblGrid>
      <w:tr w:rsidR="00D7510A" w:rsidRPr="00885FE2" w14:paraId="3755F3C6" w14:textId="77777777" w:rsidTr="00D12913">
        <w:trPr>
          <w:trHeight w:val="723"/>
        </w:trPr>
        <w:tc>
          <w:tcPr>
            <w:tcW w:w="2122" w:type="dxa"/>
            <w:shd w:val="clear" w:color="auto" w:fill="EDCDCF"/>
          </w:tcPr>
          <w:p w14:paraId="500D2815" w14:textId="59A46924" w:rsidR="00D7510A" w:rsidRPr="00D7510A" w:rsidRDefault="00D7510A" w:rsidP="00D7510A">
            <w:pPr>
              <w:pStyle w:val="Heading5"/>
              <w:outlineLvl w:val="4"/>
            </w:pPr>
            <w:r w:rsidRPr="00D7510A">
              <w:t>Measure #</w:t>
            </w:r>
          </w:p>
        </w:tc>
        <w:tc>
          <w:tcPr>
            <w:tcW w:w="3260" w:type="dxa"/>
            <w:shd w:val="clear" w:color="auto" w:fill="EDCDCF"/>
          </w:tcPr>
          <w:p w14:paraId="23C79F26" w14:textId="1362692A" w:rsidR="00D7510A" w:rsidRPr="00D7510A" w:rsidRDefault="00D7510A" w:rsidP="00D7510A">
            <w:pPr>
              <w:pStyle w:val="Heading5"/>
              <w:outlineLvl w:val="4"/>
            </w:pPr>
            <w:r w:rsidRPr="00D7510A">
              <w:t>Description</w:t>
            </w:r>
          </w:p>
        </w:tc>
        <w:tc>
          <w:tcPr>
            <w:tcW w:w="2268" w:type="dxa"/>
            <w:shd w:val="clear" w:color="auto" w:fill="EDCDCF"/>
          </w:tcPr>
          <w:p w14:paraId="3C312F66" w14:textId="797AF02C" w:rsidR="00D7510A" w:rsidRPr="00D7510A" w:rsidRDefault="00D7510A" w:rsidP="00D7510A">
            <w:pPr>
              <w:pStyle w:val="Heading5"/>
              <w:outlineLvl w:val="4"/>
            </w:pPr>
            <w:r w:rsidRPr="00D7510A">
              <w:t>Unit of measure</w:t>
            </w:r>
          </w:p>
        </w:tc>
        <w:tc>
          <w:tcPr>
            <w:tcW w:w="2126" w:type="dxa"/>
            <w:shd w:val="clear" w:color="auto" w:fill="EDCDCF"/>
            <w:noWrap/>
          </w:tcPr>
          <w:p w14:paraId="7C5CCB7B" w14:textId="77777777" w:rsidR="00D7510A" w:rsidRPr="00D7510A" w:rsidRDefault="00D7510A" w:rsidP="00D7510A">
            <w:pPr>
              <w:pStyle w:val="Heading5"/>
              <w:outlineLvl w:val="4"/>
            </w:pPr>
            <w:r w:rsidRPr="00D7510A">
              <w:t>Baseline</w:t>
            </w:r>
          </w:p>
          <w:p w14:paraId="45F4378B" w14:textId="0EF7257F" w:rsidR="00D7510A" w:rsidRPr="00D7510A" w:rsidRDefault="00D7510A" w:rsidP="00D7510A">
            <w:pPr>
              <w:pStyle w:val="Heading5"/>
              <w:outlineLvl w:val="4"/>
            </w:pPr>
            <w:r w:rsidRPr="00D7510A">
              <w:t>(year)</w:t>
            </w:r>
          </w:p>
        </w:tc>
        <w:tc>
          <w:tcPr>
            <w:tcW w:w="1701" w:type="dxa"/>
            <w:shd w:val="clear" w:color="auto" w:fill="EDCDCF"/>
            <w:noWrap/>
          </w:tcPr>
          <w:p w14:paraId="3A663DB2" w14:textId="77777777" w:rsidR="00D7510A" w:rsidRPr="00D7510A" w:rsidRDefault="00D7510A" w:rsidP="00D7510A">
            <w:pPr>
              <w:pStyle w:val="Heading5"/>
              <w:outlineLvl w:val="4"/>
            </w:pPr>
            <w:r w:rsidRPr="00D7510A">
              <w:t>Most recent</w:t>
            </w:r>
          </w:p>
          <w:p w14:paraId="4503A105" w14:textId="7F59B738" w:rsidR="00D7510A" w:rsidRPr="00D7510A" w:rsidRDefault="00D7510A" w:rsidP="00D7510A">
            <w:pPr>
              <w:pStyle w:val="Heading5"/>
              <w:outlineLvl w:val="4"/>
            </w:pPr>
            <w:r w:rsidRPr="00D7510A">
              <w:t>(year)</w:t>
            </w:r>
          </w:p>
        </w:tc>
        <w:tc>
          <w:tcPr>
            <w:tcW w:w="1701" w:type="dxa"/>
            <w:shd w:val="clear" w:color="auto" w:fill="EDCDCF"/>
            <w:noWrap/>
          </w:tcPr>
          <w:p w14:paraId="37450845" w14:textId="2FD6CC37" w:rsidR="00D7510A" w:rsidRPr="00D7510A" w:rsidRDefault="00D7510A" w:rsidP="00D7510A">
            <w:pPr>
              <w:pStyle w:val="Heading5"/>
              <w:outlineLvl w:val="4"/>
            </w:pPr>
            <w:r w:rsidRPr="00D7510A">
              <w:t>Target</w:t>
            </w:r>
          </w:p>
        </w:tc>
        <w:tc>
          <w:tcPr>
            <w:tcW w:w="1276" w:type="dxa"/>
            <w:shd w:val="clear" w:color="auto" w:fill="EDCDCF"/>
          </w:tcPr>
          <w:p w14:paraId="6E5B1588" w14:textId="5E6530F8" w:rsidR="00D7510A" w:rsidRPr="00D7510A" w:rsidRDefault="00D7510A" w:rsidP="00D7510A">
            <w:pPr>
              <w:pStyle w:val="Heading5"/>
              <w:outlineLvl w:val="4"/>
            </w:pPr>
            <w:r w:rsidRPr="00D7510A">
              <w:t>Trend</w:t>
            </w:r>
          </w:p>
        </w:tc>
      </w:tr>
      <w:tr w:rsidR="0064412C" w:rsidRPr="00885FE2" w14:paraId="71A7D894" w14:textId="77777777" w:rsidTr="00D12913">
        <w:trPr>
          <w:trHeight w:val="723"/>
        </w:trPr>
        <w:tc>
          <w:tcPr>
            <w:tcW w:w="2122" w:type="dxa"/>
          </w:tcPr>
          <w:p w14:paraId="4CCE5D01" w14:textId="57856DC1" w:rsidR="0064412C" w:rsidRDefault="009D1534" w:rsidP="00C1114C">
            <w:pPr>
              <w:pStyle w:val="DHHStabletext"/>
            </w:pPr>
            <w:hyperlink w:anchor="_Measure_9.1_–" w:history="1">
              <w:r w:rsidR="0064412C" w:rsidRPr="00A16D42">
                <w:rPr>
                  <w:rStyle w:val="Hyperlink"/>
                </w:rPr>
                <w:t>9.1</w:t>
              </w:r>
            </w:hyperlink>
          </w:p>
        </w:tc>
        <w:tc>
          <w:tcPr>
            <w:tcW w:w="3260" w:type="dxa"/>
          </w:tcPr>
          <w:p w14:paraId="23D2BCC4" w14:textId="7304EF14" w:rsidR="0064412C" w:rsidRDefault="0064412C" w:rsidP="00C1114C">
            <w:pPr>
              <w:pStyle w:val="DHHStabletext"/>
            </w:pPr>
            <w:r>
              <w:t>Proportion of 18–69-year-olds who report getting sunburnt on the weekend</w:t>
            </w:r>
          </w:p>
        </w:tc>
        <w:tc>
          <w:tcPr>
            <w:tcW w:w="2268" w:type="dxa"/>
          </w:tcPr>
          <w:p w14:paraId="66A07707" w14:textId="77777777" w:rsidR="0064412C" w:rsidRDefault="0064412C" w:rsidP="00C1114C">
            <w:pPr>
              <w:pStyle w:val="DHHStabletext"/>
            </w:pPr>
            <w:r>
              <w:t xml:space="preserve">Per cent </w:t>
            </w:r>
          </w:p>
          <w:p w14:paraId="350340DA" w14:textId="36F4187F" w:rsidR="0064412C" w:rsidRDefault="0064412C" w:rsidP="00C1114C">
            <w:pPr>
              <w:pStyle w:val="DHHStabletext"/>
            </w:pPr>
            <w:r>
              <w:t>(age-adjusted)</w:t>
            </w:r>
          </w:p>
        </w:tc>
        <w:tc>
          <w:tcPr>
            <w:tcW w:w="2126" w:type="dxa"/>
            <w:noWrap/>
          </w:tcPr>
          <w:p w14:paraId="58DBC7F5" w14:textId="77777777" w:rsidR="0064412C" w:rsidRDefault="0064412C" w:rsidP="00C1114C">
            <w:pPr>
              <w:pStyle w:val="DHHStabletext"/>
            </w:pPr>
            <w:r>
              <w:t>9.4</w:t>
            </w:r>
          </w:p>
          <w:p w14:paraId="0292D6E7" w14:textId="5E5C99DE" w:rsidR="0064412C" w:rsidRPr="00404220" w:rsidRDefault="0064412C" w:rsidP="00C1114C">
            <w:pPr>
              <w:pStyle w:val="DHHStabletext"/>
            </w:pPr>
            <w:r w:rsidRPr="00404220">
              <w:t>(2013</w:t>
            </w:r>
            <w:r>
              <w:t>–</w:t>
            </w:r>
            <w:r w:rsidRPr="00404220">
              <w:t>14)</w:t>
            </w:r>
          </w:p>
        </w:tc>
        <w:tc>
          <w:tcPr>
            <w:tcW w:w="1701" w:type="dxa"/>
            <w:noWrap/>
          </w:tcPr>
          <w:p w14:paraId="564B07AD" w14:textId="77777777" w:rsidR="0064412C" w:rsidRDefault="0064412C" w:rsidP="00C1114C">
            <w:pPr>
              <w:pStyle w:val="DHHStabletext"/>
            </w:pPr>
            <w:r>
              <w:t>14.3</w:t>
            </w:r>
          </w:p>
          <w:p w14:paraId="177254B0" w14:textId="2187D50F" w:rsidR="0064412C" w:rsidRPr="00885FE2" w:rsidRDefault="0064412C" w:rsidP="00C1114C">
            <w:pPr>
              <w:pStyle w:val="DHHStabletext"/>
            </w:pPr>
            <w:r>
              <w:t>(2016–17)</w:t>
            </w:r>
          </w:p>
        </w:tc>
        <w:tc>
          <w:tcPr>
            <w:tcW w:w="1701" w:type="dxa"/>
            <w:noWrap/>
          </w:tcPr>
          <w:p w14:paraId="1827B071" w14:textId="77777777" w:rsidR="0064412C" w:rsidRPr="00885FE2" w:rsidRDefault="0064412C" w:rsidP="00C1114C">
            <w:pPr>
              <w:pStyle w:val="DHHStabletext"/>
            </w:pPr>
            <w:r w:rsidRPr="00A57D2E">
              <w:t>N/S</w:t>
            </w:r>
          </w:p>
        </w:tc>
        <w:tc>
          <w:tcPr>
            <w:tcW w:w="1276" w:type="dxa"/>
          </w:tcPr>
          <w:p w14:paraId="45A8A3FC" w14:textId="5EA6EE2F" w:rsidR="0064412C" w:rsidRPr="00885FE2" w:rsidRDefault="00CF3B53" w:rsidP="00C1114C">
            <w:pPr>
              <w:pStyle w:val="DHHStabletext"/>
            </w:pPr>
            <w:r w:rsidRPr="0010585A">
              <w:t>▲</w:t>
            </w:r>
            <w:r>
              <w:br/>
              <w:t>Upward</w:t>
            </w:r>
          </w:p>
        </w:tc>
      </w:tr>
      <w:tr w:rsidR="0064412C" w:rsidRPr="00885FE2" w14:paraId="315E6B39" w14:textId="77777777" w:rsidTr="00D12913">
        <w:trPr>
          <w:trHeight w:val="723"/>
        </w:trPr>
        <w:tc>
          <w:tcPr>
            <w:tcW w:w="2122" w:type="dxa"/>
          </w:tcPr>
          <w:p w14:paraId="4F2CA465" w14:textId="42B4B04B" w:rsidR="0064412C" w:rsidRDefault="009D1534" w:rsidP="00C1114C">
            <w:pPr>
              <w:pStyle w:val="DHHStabletext"/>
            </w:pPr>
            <w:hyperlink w:anchor="_Measure_9.2_–" w:history="1">
              <w:r w:rsidR="0064412C" w:rsidRPr="00A16D42">
                <w:rPr>
                  <w:rStyle w:val="Hyperlink"/>
                </w:rPr>
                <w:t>9.2</w:t>
              </w:r>
            </w:hyperlink>
          </w:p>
        </w:tc>
        <w:tc>
          <w:tcPr>
            <w:tcW w:w="3260" w:type="dxa"/>
          </w:tcPr>
          <w:p w14:paraId="7EAB8FA1" w14:textId="4D5C8FC9" w:rsidR="0064412C" w:rsidRPr="00885FE2" w:rsidRDefault="0064412C" w:rsidP="00C1114C">
            <w:pPr>
              <w:pStyle w:val="DHHStabletext"/>
            </w:pPr>
            <w:r>
              <w:t>Proportion of 18–69-year-olds wearing a combination of hats and/or sunscreen with one other key sun protective behaviour</w:t>
            </w:r>
          </w:p>
        </w:tc>
        <w:tc>
          <w:tcPr>
            <w:tcW w:w="2268" w:type="dxa"/>
          </w:tcPr>
          <w:p w14:paraId="16B204A2" w14:textId="77777777" w:rsidR="0064412C" w:rsidRDefault="0064412C" w:rsidP="00C1114C">
            <w:pPr>
              <w:pStyle w:val="DHHStabletext"/>
            </w:pPr>
            <w:r>
              <w:t xml:space="preserve">Per cent </w:t>
            </w:r>
          </w:p>
          <w:p w14:paraId="4668791E" w14:textId="1E5CAD18" w:rsidR="0064412C" w:rsidRPr="00885FE2" w:rsidRDefault="0064412C" w:rsidP="00C1114C">
            <w:pPr>
              <w:pStyle w:val="DHHStabletext"/>
            </w:pPr>
            <w:r>
              <w:t>(age-adjusted)</w:t>
            </w:r>
          </w:p>
        </w:tc>
        <w:tc>
          <w:tcPr>
            <w:tcW w:w="2126" w:type="dxa"/>
            <w:noWrap/>
          </w:tcPr>
          <w:p w14:paraId="30FB4B91" w14:textId="77777777" w:rsidR="0064412C" w:rsidRPr="00922344" w:rsidRDefault="0064412C" w:rsidP="00C1114C">
            <w:pPr>
              <w:pStyle w:val="DHHStabletext"/>
            </w:pPr>
            <w:r w:rsidRPr="00922344">
              <w:t>41.3</w:t>
            </w:r>
          </w:p>
          <w:p w14:paraId="338EC115" w14:textId="518109AA" w:rsidR="0064412C" w:rsidRPr="00922344" w:rsidRDefault="0064412C" w:rsidP="00C1114C">
            <w:pPr>
              <w:pStyle w:val="DHHStabletext"/>
            </w:pPr>
            <w:r w:rsidRPr="00922344">
              <w:t>(2013</w:t>
            </w:r>
            <w:r>
              <w:t>–</w:t>
            </w:r>
            <w:r w:rsidRPr="00922344">
              <w:t>14)</w:t>
            </w:r>
          </w:p>
        </w:tc>
        <w:tc>
          <w:tcPr>
            <w:tcW w:w="1701" w:type="dxa"/>
            <w:noWrap/>
          </w:tcPr>
          <w:p w14:paraId="06922071" w14:textId="77777777" w:rsidR="0064412C" w:rsidRDefault="0064412C" w:rsidP="00C1114C">
            <w:pPr>
              <w:pStyle w:val="DHHStabletext"/>
            </w:pPr>
            <w:r>
              <w:t>46.3</w:t>
            </w:r>
          </w:p>
          <w:p w14:paraId="2EF3526A" w14:textId="73055A24" w:rsidR="0064412C" w:rsidRPr="00885FE2" w:rsidRDefault="0064412C" w:rsidP="00C1114C">
            <w:pPr>
              <w:pStyle w:val="DHHStabletext"/>
            </w:pPr>
            <w:r w:rsidRPr="00404220">
              <w:t>(201</w:t>
            </w:r>
            <w:r>
              <w:t>6–</w:t>
            </w:r>
            <w:r w:rsidRPr="00404220">
              <w:t>1</w:t>
            </w:r>
            <w:r>
              <w:t>7</w:t>
            </w:r>
            <w:r w:rsidRPr="00404220">
              <w:t>)</w:t>
            </w:r>
          </w:p>
        </w:tc>
        <w:tc>
          <w:tcPr>
            <w:tcW w:w="1701" w:type="dxa"/>
            <w:noWrap/>
          </w:tcPr>
          <w:p w14:paraId="47AD6B4C" w14:textId="77777777" w:rsidR="0064412C" w:rsidRPr="00885FE2" w:rsidRDefault="0064412C" w:rsidP="00C1114C">
            <w:pPr>
              <w:pStyle w:val="DHHStabletext"/>
            </w:pPr>
            <w:r w:rsidRPr="00A57D2E">
              <w:t>N/S</w:t>
            </w:r>
          </w:p>
        </w:tc>
        <w:tc>
          <w:tcPr>
            <w:tcW w:w="1276" w:type="dxa"/>
          </w:tcPr>
          <w:p w14:paraId="62FA24B0" w14:textId="0927B0BB" w:rsidR="0064412C" w:rsidRPr="00885FE2" w:rsidRDefault="00CF3B53" w:rsidP="00C1114C">
            <w:pPr>
              <w:pStyle w:val="DHHStabletext"/>
            </w:pPr>
            <w:r w:rsidRPr="0010585A">
              <w:t>▲</w:t>
            </w:r>
            <w:r>
              <w:br/>
              <w:t>Upward</w:t>
            </w:r>
          </w:p>
        </w:tc>
      </w:tr>
    </w:tbl>
    <w:p w14:paraId="47F7BCD5" w14:textId="2ECE703C" w:rsidR="00D7510A" w:rsidRDefault="00D7510A" w:rsidP="00D7510A">
      <w:pPr>
        <w:pStyle w:val="Heading5"/>
      </w:pPr>
      <w:r w:rsidRPr="00854D56">
        <w:t>Key result:</w:t>
      </w:r>
      <w:r>
        <w:t xml:space="preserve"> </w:t>
      </w:r>
      <w:r w:rsidRPr="00854D56">
        <w:t>Decrease HPV and viral hepatitis impact</w:t>
      </w:r>
    </w:p>
    <w:tbl>
      <w:tblPr>
        <w:tblStyle w:val="TableGrid"/>
        <w:tblW w:w="14454" w:type="dxa"/>
        <w:tblInd w:w="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2"/>
        <w:gridCol w:w="3260"/>
        <w:gridCol w:w="2268"/>
        <w:gridCol w:w="2126"/>
        <w:gridCol w:w="1701"/>
        <w:gridCol w:w="1701"/>
        <w:gridCol w:w="1276"/>
      </w:tblGrid>
      <w:tr w:rsidR="00D7510A" w:rsidRPr="00885FE2" w14:paraId="7E89CE89" w14:textId="77777777" w:rsidTr="00D12913">
        <w:trPr>
          <w:trHeight w:val="710"/>
        </w:trPr>
        <w:tc>
          <w:tcPr>
            <w:tcW w:w="2122" w:type="dxa"/>
            <w:shd w:val="clear" w:color="auto" w:fill="EDCDCF"/>
          </w:tcPr>
          <w:p w14:paraId="0920CEAD" w14:textId="70DEB7C3" w:rsidR="00D7510A" w:rsidRPr="00D7510A" w:rsidRDefault="00D7510A" w:rsidP="00D7510A">
            <w:pPr>
              <w:pStyle w:val="DHHStablecolhead"/>
            </w:pPr>
            <w:r w:rsidRPr="00D7510A">
              <w:t>Measure #</w:t>
            </w:r>
          </w:p>
        </w:tc>
        <w:tc>
          <w:tcPr>
            <w:tcW w:w="3260" w:type="dxa"/>
            <w:shd w:val="clear" w:color="auto" w:fill="EDCDCF"/>
          </w:tcPr>
          <w:p w14:paraId="4AA57A4B" w14:textId="2B3CB026" w:rsidR="00D7510A" w:rsidRPr="00D7510A" w:rsidRDefault="00D7510A" w:rsidP="00D7510A">
            <w:pPr>
              <w:pStyle w:val="DHHStablecolhead"/>
            </w:pPr>
            <w:r w:rsidRPr="00D7510A">
              <w:t>Description</w:t>
            </w:r>
          </w:p>
        </w:tc>
        <w:tc>
          <w:tcPr>
            <w:tcW w:w="2268" w:type="dxa"/>
            <w:shd w:val="clear" w:color="auto" w:fill="EDCDCF"/>
          </w:tcPr>
          <w:p w14:paraId="495178F8" w14:textId="67F4D51A" w:rsidR="00D7510A" w:rsidRPr="00D7510A" w:rsidRDefault="00D7510A" w:rsidP="00D7510A">
            <w:pPr>
              <w:pStyle w:val="DHHStablecolhead"/>
            </w:pPr>
            <w:r w:rsidRPr="00D7510A">
              <w:t>Unit of measure</w:t>
            </w:r>
          </w:p>
        </w:tc>
        <w:tc>
          <w:tcPr>
            <w:tcW w:w="2126" w:type="dxa"/>
            <w:shd w:val="clear" w:color="auto" w:fill="EDCDCF"/>
          </w:tcPr>
          <w:p w14:paraId="36A02AB3" w14:textId="77777777" w:rsidR="00D7510A" w:rsidRPr="00D7510A" w:rsidRDefault="00D7510A" w:rsidP="00D7510A">
            <w:pPr>
              <w:pStyle w:val="DHHStablecolhead"/>
            </w:pPr>
            <w:r w:rsidRPr="00D7510A">
              <w:t>Baseline</w:t>
            </w:r>
          </w:p>
          <w:p w14:paraId="559AA73F" w14:textId="3992F037" w:rsidR="00D7510A" w:rsidRPr="00D7510A" w:rsidRDefault="00D7510A" w:rsidP="00D7510A">
            <w:pPr>
              <w:pStyle w:val="DHHStablecolhead"/>
            </w:pPr>
            <w:r w:rsidRPr="00D7510A">
              <w:t>(year)</w:t>
            </w:r>
          </w:p>
        </w:tc>
        <w:tc>
          <w:tcPr>
            <w:tcW w:w="1701" w:type="dxa"/>
            <w:shd w:val="clear" w:color="auto" w:fill="EDCDCF"/>
          </w:tcPr>
          <w:p w14:paraId="551649FE" w14:textId="77777777" w:rsidR="00D7510A" w:rsidRPr="00D7510A" w:rsidRDefault="00D7510A" w:rsidP="00D7510A">
            <w:pPr>
              <w:pStyle w:val="DHHStablecolhead"/>
            </w:pPr>
            <w:r w:rsidRPr="00D7510A">
              <w:t>Most recent</w:t>
            </w:r>
          </w:p>
          <w:p w14:paraId="290EFDF8" w14:textId="53217136" w:rsidR="00D7510A" w:rsidRPr="00D7510A" w:rsidRDefault="00D7510A" w:rsidP="00D7510A">
            <w:pPr>
              <w:pStyle w:val="DHHStablecolhead"/>
            </w:pPr>
            <w:r w:rsidRPr="00D7510A">
              <w:t>(year)</w:t>
            </w:r>
          </w:p>
        </w:tc>
        <w:tc>
          <w:tcPr>
            <w:tcW w:w="1701" w:type="dxa"/>
            <w:shd w:val="clear" w:color="auto" w:fill="EDCDCF"/>
          </w:tcPr>
          <w:p w14:paraId="3F31E404" w14:textId="4500F996" w:rsidR="00D7510A" w:rsidRPr="00D7510A" w:rsidRDefault="00D7510A" w:rsidP="00D7510A">
            <w:pPr>
              <w:pStyle w:val="DHHStablecolhead"/>
            </w:pPr>
            <w:r w:rsidRPr="00D7510A">
              <w:t>Target</w:t>
            </w:r>
          </w:p>
        </w:tc>
        <w:tc>
          <w:tcPr>
            <w:tcW w:w="1276" w:type="dxa"/>
            <w:shd w:val="clear" w:color="auto" w:fill="EDCDCF"/>
          </w:tcPr>
          <w:p w14:paraId="78054DE2" w14:textId="5173C895" w:rsidR="00D7510A" w:rsidRPr="00D7510A" w:rsidRDefault="00D7510A" w:rsidP="00D7510A">
            <w:pPr>
              <w:pStyle w:val="DHHStablecolhead"/>
            </w:pPr>
            <w:r w:rsidRPr="00D7510A">
              <w:t>Trend</w:t>
            </w:r>
          </w:p>
        </w:tc>
      </w:tr>
      <w:tr w:rsidR="0064412C" w:rsidRPr="00885FE2" w14:paraId="5A615961" w14:textId="77777777" w:rsidTr="00D12913">
        <w:trPr>
          <w:trHeight w:val="710"/>
        </w:trPr>
        <w:tc>
          <w:tcPr>
            <w:tcW w:w="2122" w:type="dxa"/>
          </w:tcPr>
          <w:p w14:paraId="3E0D06F3" w14:textId="32AE4FB8" w:rsidR="0064412C" w:rsidRDefault="009D1534" w:rsidP="00C1114C">
            <w:pPr>
              <w:pStyle w:val="DHHStabletext"/>
            </w:pPr>
            <w:hyperlink w:anchor="_Measure_10.1_–" w:history="1">
              <w:r w:rsidR="0064412C" w:rsidRPr="000760F7">
                <w:rPr>
                  <w:rStyle w:val="Hyperlink"/>
                </w:rPr>
                <w:t>10.1</w:t>
              </w:r>
            </w:hyperlink>
          </w:p>
        </w:tc>
        <w:tc>
          <w:tcPr>
            <w:tcW w:w="3260" w:type="dxa"/>
          </w:tcPr>
          <w:p w14:paraId="14D05B91" w14:textId="77777777" w:rsidR="0064412C" w:rsidRDefault="0064412C" w:rsidP="00C1114C">
            <w:pPr>
              <w:pStyle w:val="DHHStabletext"/>
            </w:pPr>
            <w:r>
              <w:t>Proportion of adolescents 15 years of age fully vaccinated against HPV</w:t>
            </w:r>
          </w:p>
        </w:tc>
        <w:tc>
          <w:tcPr>
            <w:tcW w:w="2268" w:type="dxa"/>
          </w:tcPr>
          <w:p w14:paraId="18558FE3" w14:textId="77777777" w:rsidR="0064412C" w:rsidRDefault="0064412C" w:rsidP="00C1114C">
            <w:pPr>
              <w:pStyle w:val="DHHStabletext"/>
            </w:pPr>
            <w:r>
              <w:t>Per cent</w:t>
            </w:r>
          </w:p>
        </w:tc>
        <w:tc>
          <w:tcPr>
            <w:tcW w:w="2126" w:type="dxa"/>
          </w:tcPr>
          <w:p w14:paraId="257DB283" w14:textId="77391F78" w:rsidR="0064412C" w:rsidRDefault="0064412C" w:rsidP="00C1114C">
            <w:pPr>
              <w:pStyle w:val="DHHStabletext"/>
            </w:pPr>
            <w:r>
              <w:t>75.2</w:t>
            </w:r>
            <w:r w:rsidR="00975A51">
              <w:t xml:space="preserve"> [Female]</w:t>
            </w:r>
          </w:p>
          <w:p w14:paraId="65792BEA" w14:textId="5EA6D376" w:rsidR="00975A51" w:rsidRDefault="00F66D59" w:rsidP="00C1114C">
            <w:pPr>
              <w:pStyle w:val="DHHStabletext"/>
            </w:pPr>
            <w:r>
              <w:t>27.9 [Male]</w:t>
            </w:r>
          </w:p>
          <w:p w14:paraId="62360429" w14:textId="77777777" w:rsidR="0064412C" w:rsidRPr="00885FE2" w:rsidRDefault="0064412C" w:rsidP="00C1114C">
            <w:pPr>
              <w:pStyle w:val="DHHStabletext"/>
            </w:pPr>
            <w:r>
              <w:t>(2013)</w:t>
            </w:r>
          </w:p>
        </w:tc>
        <w:tc>
          <w:tcPr>
            <w:tcW w:w="1701" w:type="dxa"/>
          </w:tcPr>
          <w:p w14:paraId="4D4A780E" w14:textId="078920BA" w:rsidR="0064412C" w:rsidRDefault="0064412C" w:rsidP="00C1114C">
            <w:pPr>
              <w:pStyle w:val="DHHStabletext"/>
            </w:pPr>
            <w:r>
              <w:t>79.7</w:t>
            </w:r>
            <w:r w:rsidR="00F66D59">
              <w:t xml:space="preserve"> [Female]</w:t>
            </w:r>
          </w:p>
          <w:p w14:paraId="32B932BF" w14:textId="46B443EE" w:rsidR="00F66D59" w:rsidRDefault="00F66D59" w:rsidP="00C1114C">
            <w:pPr>
              <w:pStyle w:val="DHHStabletext"/>
            </w:pPr>
            <w:r>
              <w:t>76.3 [Male]</w:t>
            </w:r>
          </w:p>
          <w:p w14:paraId="3CEC7EC9" w14:textId="77777777" w:rsidR="0064412C" w:rsidRPr="00885FE2" w:rsidRDefault="0064412C" w:rsidP="00C1114C">
            <w:pPr>
              <w:pStyle w:val="DHHStabletext"/>
            </w:pPr>
            <w:r>
              <w:t>(2017)</w:t>
            </w:r>
          </w:p>
        </w:tc>
        <w:tc>
          <w:tcPr>
            <w:tcW w:w="1701" w:type="dxa"/>
          </w:tcPr>
          <w:p w14:paraId="57C8CCB8" w14:textId="77777777" w:rsidR="0064412C" w:rsidRPr="00885FE2" w:rsidRDefault="0064412C" w:rsidP="00C1114C">
            <w:pPr>
              <w:pStyle w:val="DHHStabletext"/>
            </w:pPr>
            <w:r w:rsidRPr="00A57D2E">
              <w:t>N/S</w:t>
            </w:r>
          </w:p>
        </w:tc>
        <w:tc>
          <w:tcPr>
            <w:tcW w:w="1276" w:type="dxa"/>
          </w:tcPr>
          <w:p w14:paraId="4D6297AB" w14:textId="522EEA8A" w:rsidR="0064412C" w:rsidRPr="0010585A" w:rsidRDefault="00CF3B53" w:rsidP="00C1114C">
            <w:pPr>
              <w:pStyle w:val="DHHStabletext"/>
            </w:pPr>
            <w:r w:rsidRPr="0010585A">
              <w:t>▲</w:t>
            </w:r>
            <w:r>
              <w:br/>
              <w:t>Upward</w:t>
            </w:r>
          </w:p>
        </w:tc>
      </w:tr>
      <w:tr w:rsidR="0064412C" w:rsidRPr="00885FE2" w14:paraId="27D0FAEF" w14:textId="77777777" w:rsidTr="00D12913">
        <w:trPr>
          <w:trHeight w:val="710"/>
        </w:trPr>
        <w:tc>
          <w:tcPr>
            <w:tcW w:w="2122" w:type="dxa"/>
            <w:hideMark/>
          </w:tcPr>
          <w:p w14:paraId="63AECB68" w14:textId="3FC13AAD" w:rsidR="0064412C" w:rsidRPr="00885FE2" w:rsidRDefault="009D1534" w:rsidP="00C1114C">
            <w:pPr>
              <w:pStyle w:val="DHHStabletext"/>
            </w:pPr>
            <w:hyperlink w:anchor="_Measure_10.2_–" w:history="1">
              <w:r w:rsidR="0064412C" w:rsidRPr="00A16D42">
                <w:rPr>
                  <w:rStyle w:val="Hyperlink"/>
                </w:rPr>
                <w:t>10.2</w:t>
              </w:r>
            </w:hyperlink>
          </w:p>
        </w:tc>
        <w:tc>
          <w:tcPr>
            <w:tcW w:w="3260" w:type="dxa"/>
          </w:tcPr>
          <w:p w14:paraId="43BE4792" w14:textId="77777777" w:rsidR="0064412C" w:rsidRPr="00885FE2" w:rsidRDefault="0064412C" w:rsidP="00C1114C">
            <w:pPr>
              <w:pStyle w:val="DHHStabletext"/>
            </w:pPr>
            <w:r>
              <w:t>Notification rate of unspecified hepatitis B</w:t>
            </w:r>
          </w:p>
        </w:tc>
        <w:tc>
          <w:tcPr>
            <w:tcW w:w="2268" w:type="dxa"/>
          </w:tcPr>
          <w:p w14:paraId="75CC905D" w14:textId="77777777" w:rsidR="0064412C" w:rsidRDefault="0064412C" w:rsidP="00C1114C">
            <w:pPr>
              <w:pStyle w:val="DHHStabletext"/>
            </w:pPr>
            <w:r>
              <w:t>Rate</w:t>
            </w:r>
          </w:p>
          <w:p w14:paraId="43CB484E" w14:textId="77777777" w:rsidR="0064412C" w:rsidRPr="00885FE2" w:rsidRDefault="0064412C" w:rsidP="00C1114C">
            <w:pPr>
              <w:pStyle w:val="DHHStabletext"/>
            </w:pPr>
            <w:r>
              <w:t>(per 100,000)</w:t>
            </w:r>
          </w:p>
        </w:tc>
        <w:tc>
          <w:tcPr>
            <w:tcW w:w="2126" w:type="dxa"/>
          </w:tcPr>
          <w:p w14:paraId="68A1B060" w14:textId="77777777" w:rsidR="0064412C" w:rsidRDefault="0064412C" w:rsidP="00C1114C">
            <w:pPr>
              <w:pStyle w:val="DHHStabletext"/>
            </w:pPr>
            <w:r>
              <w:t>29.2</w:t>
            </w:r>
          </w:p>
          <w:p w14:paraId="1DF83D20" w14:textId="77777777" w:rsidR="0064412C" w:rsidRPr="00885FE2" w:rsidRDefault="0064412C" w:rsidP="00C1114C">
            <w:pPr>
              <w:pStyle w:val="DHHStabletext"/>
            </w:pPr>
            <w:r>
              <w:t>(2014)</w:t>
            </w:r>
          </w:p>
        </w:tc>
        <w:tc>
          <w:tcPr>
            <w:tcW w:w="1701" w:type="dxa"/>
          </w:tcPr>
          <w:p w14:paraId="574DBDD4" w14:textId="66F73C58" w:rsidR="0064412C" w:rsidRDefault="0064412C" w:rsidP="00C1114C">
            <w:pPr>
              <w:pStyle w:val="DHHStabletext"/>
            </w:pPr>
            <w:r>
              <w:t>2</w:t>
            </w:r>
            <w:r w:rsidR="00B04EF2">
              <w:t>6</w:t>
            </w:r>
            <w:r>
              <w:t>.5</w:t>
            </w:r>
          </w:p>
          <w:p w14:paraId="5C78599C" w14:textId="771318D4" w:rsidR="0064412C" w:rsidRPr="00885FE2" w:rsidRDefault="0064412C" w:rsidP="00C1114C">
            <w:pPr>
              <w:pStyle w:val="DHHStabletext"/>
            </w:pPr>
            <w:r>
              <w:t>(201</w:t>
            </w:r>
            <w:r w:rsidR="00B04EF2">
              <w:t>8</w:t>
            </w:r>
            <w:r>
              <w:t>)</w:t>
            </w:r>
          </w:p>
        </w:tc>
        <w:tc>
          <w:tcPr>
            <w:tcW w:w="1701" w:type="dxa"/>
          </w:tcPr>
          <w:p w14:paraId="1012AF95" w14:textId="77777777" w:rsidR="0064412C" w:rsidRPr="00885FE2" w:rsidRDefault="0064412C" w:rsidP="00C1114C">
            <w:pPr>
              <w:pStyle w:val="DHHStabletext"/>
            </w:pPr>
            <w:r w:rsidRPr="00A57D2E">
              <w:t>N/S</w:t>
            </w:r>
          </w:p>
        </w:tc>
        <w:tc>
          <w:tcPr>
            <w:tcW w:w="1276" w:type="dxa"/>
          </w:tcPr>
          <w:p w14:paraId="37E6AEE9" w14:textId="3B9B7053" w:rsidR="0064412C" w:rsidRPr="0010585A" w:rsidRDefault="00B267F0" w:rsidP="00C1114C">
            <w:pPr>
              <w:pStyle w:val="DHHStabletext"/>
              <w:rPr>
                <w:sz w:val="26"/>
                <w:szCs w:val="26"/>
              </w:rPr>
            </w:pPr>
            <w:r w:rsidRPr="00C1114C">
              <w:t>▼</w:t>
            </w:r>
            <w:r>
              <w:br/>
            </w:r>
            <w:r w:rsidRPr="00C1114C">
              <w:t>Downward</w:t>
            </w:r>
          </w:p>
        </w:tc>
      </w:tr>
      <w:tr w:rsidR="0064412C" w:rsidRPr="00885FE2" w14:paraId="61512CF0" w14:textId="77777777" w:rsidTr="00D12913">
        <w:trPr>
          <w:trHeight w:val="558"/>
        </w:trPr>
        <w:tc>
          <w:tcPr>
            <w:tcW w:w="2122" w:type="dxa"/>
            <w:hideMark/>
          </w:tcPr>
          <w:p w14:paraId="173777F2" w14:textId="5A85E122" w:rsidR="0064412C" w:rsidRPr="00885FE2" w:rsidRDefault="009D1534" w:rsidP="00C1114C">
            <w:pPr>
              <w:pStyle w:val="DHHStabletext"/>
            </w:pPr>
            <w:hyperlink w:anchor="_Measure_10.3_–" w:history="1">
              <w:r w:rsidR="0064412C" w:rsidRPr="00A16D42">
                <w:rPr>
                  <w:rStyle w:val="Hyperlink"/>
                </w:rPr>
                <w:t>10.3</w:t>
              </w:r>
            </w:hyperlink>
          </w:p>
        </w:tc>
        <w:tc>
          <w:tcPr>
            <w:tcW w:w="3260" w:type="dxa"/>
          </w:tcPr>
          <w:p w14:paraId="46013F94" w14:textId="77777777" w:rsidR="0064412C" w:rsidRPr="00885FE2" w:rsidRDefault="0064412C" w:rsidP="00C1114C">
            <w:pPr>
              <w:pStyle w:val="DHHStabletext"/>
            </w:pPr>
            <w:r>
              <w:t>Notification rate of unspecified hepatitis C</w:t>
            </w:r>
          </w:p>
        </w:tc>
        <w:tc>
          <w:tcPr>
            <w:tcW w:w="2268" w:type="dxa"/>
          </w:tcPr>
          <w:p w14:paraId="38F0E13D" w14:textId="77777777" w:rsidR="0064412C" w:rsidRDefault="0064412C" w:rsidP="00C1114C">
            <w:pPr>
              <w:pStyle w:val="DHHStabletext"/>
            </w:pPr>
            <w:r>
              <w:t>Rate</w:t>
            </w:r>
          </w:p>
          <w:p w14:paraId="0BFDBE26" w14:textId="77777777" w:rsidR="0064412C" w:rsidRPr="00885FE2" w:rsidRDefault="0064412C" w:rsidP="00C1114C">
            <w:pPr>
              <w:pStyle w:val="DHHStabletext"/>
            </w:pPr>
            <w:r>
              <w:t>(per 100,000)</w:t>
            </w:r>
          </w:p>
        </w:tc>
        <w:tc>
          <w:tcPr>
            <w:tcW w:w="2126" w:type="dxa"/>
          </w:tcPr>
          <w:p w14:paraId="20747B3E" w14:textId="77777777" w:rsidR="0064412C" w:rsidRDefault="0064412C" w:rsidP="00C1114C">
            <w:pPr>
              <w:pStyle w:val="DHHStabletext"/>
            </w:pPr>
            <w:r>
              <w:t>33.6</w:t>
            </w:r>
          </w:p>
          <w:p w14:paraId="2FA8BF48" w14:textId="77777777" w:rsidR="0064412C" w:rsidRPr="00885FE2" w:rsidRDefault="0064412C" w:rsidP="00C1114C">
            <w:pPr>
              <w:pStyle w:val="DHHStabletext"/>
            </w:pPr>
            <w:r>
              <w:t>(2014)</w:t>
            </w:r>
          </w:p>
        </w:tc>
        <w:tc>
          <w:tcPr>
            <w:tcW w:w="1701" w:type="dxa"/>
          </w:tcPr>
          <w:p w14:paraId="77BF0B1D" w14:textId="48098D4D" w:rsidR="0064412C" w:rsidRDefault="0064412C" w:rsidP="00C1114C">
            <w:pPr>
              <w:pStyle w:val="DHHStabletext"/>
            </w:pPr>
            <w:r>
              <w:t>2</w:t>
            </w:r>
            <w:r w:rsidR="00B04EF2">
              <w:t>8</w:t>
            </w:r>
            <w:r>
              <w:t>.</w:t>
            </w:r>
            <w:r w:rsidR="00B04EF2">
              <w:t>8</w:t>
            </w:r>
          </w:p>
          <w:p w14:paraId="771A4F31" w14:textId="1F7D5162" w:rsidR="0064412C" w:rsidRPr="00885FE2" w:rsidRDefault="0064412C" w:rsidP="00C1114C">
            <w:pPr>
              <w:pStyle w:val="DHHStabletext"/>
            </w:pPr>
            <w:r>
              <w:t>(201</w:t>
            </w:r>
            <w:r w:rsidR="00B04EF2">
              <w:t>8</w:t>
            </w:r>
            <w:r>
              <w:t>)</w:t>
            </w:r>
          </w:p>
        </w:tc>
        <w:tc>
          <w:tcPr>
            <w:tcW w:w="1701" w:type="dxa"/>
          </w:tcPr>
          <w:p w14:paraId="475D0E26" w14:textId="77777777" w:rsidR="0064412C" w:rsidRPr="00885FE2" w:rsidRDefault="0064412C" w:rsidP="00C1114C">
            <w:pPr>
              <w:pStyle w:val="DHHStabletext"/>
            </w:pPr>
            <w:r w:rsidRPr="00A57D2E">
              <w:t>N/S</w:t>
            </w:r>
          </w:p>
        </w:tc>
        <w:tc>
          <w:tcPr>
            <w:tcW w:w="1276" w:type="dxa"/>
          </w:tcPr>
          <w:p w14:paraId="57F4B1AD" w14:textId="23250016" w:rsidR="0064412C" w:rsidRPr="0010585A" w:rsidRDefault="00B267F0" w:rsidP="00C1114C">
            <w:pPr>
              <w:pStyle w:val="DHHStabletext"/>
              <w:rPr>
                <w:sz w:val="26"/>
                <w:szCs w:val="26"/>
              </w:rPr>
            </w:pPr>
            <w:r w:rsidRPr="00C1114C">
              <w:t>▼</w:t>
            </w:r>
            <w:r>
              <w:br/>
            </w:r>
            <w:r w:rsidRPr="00C1114C">
              <w:t>Downward</w:t>
            </w:r>
          </w:p>
        </w:tc>
      </w:tr>
      <w:tr w:rsidR="0064412C" w:rsidRPr="00885FE2" w14:paraId="38016E43" w14:textId="77777777" w:rsidTr="00D12913">
        <w:trPr>
          <w:trHeight w:val="558"/>
        </w:trPr>
        <w:tc>
          <w:tcPr>
            <w:tcW w:w="2122" w:type="dxa"/>
          </w:tcPr>
          <w:p w14:paraId="0235CD08" w14:textId="59F3D986" w:rsidR="0064412C" w:rsidRDefault="009D1534" w:rsidP="00C1114C">
            <w:pPr>
              <w:pStyle w:val="DHHStabletext"/>
            </w:pPr>
            <w:hyperlink w:anchor="_Measure_10.4_–" w:history="1">
              <w:r w:rsidR="0064412C" w:rsidRPr="00A16D42">
                <w:rPr>
                  <w:rStyle w:val="Hyperlink"/>
                </w:rPr>
                <w:t>10.4</w:t>
              </w:r>
            </w:hyperlink>
          </w:p>
        </w:tc>
        <w:tc>
          <w:tcPr>
            <w:tcW w:w="3260" w:type="dxa"/>
          </w:tcPr>
          <w:p w14:paraId="65075736" w14:textId="77777777" w:rsidR="0064412C" w:rsidRPr="00885FE2" w:rsidRDefault="0064412C" w:rsidP="00C1114C">
            <w:pPr>
              <w:pStyle w:val="DHHStabletext"/>
            </w:pPr>
            <w:r>
              <w:t>Proportion of people with hepatitis B diagnosed with liver cancer, whose hepatitis B was diagnosed late</w:t>
            </w:r>
          </w:p>
        </w:tc>
        <w:tc>
          <w:tcPr>
            <w:tcW w:w="2268" w:type="dxa"/>
          </w:tcPr>
          <w:p w14:paraId="65A9B25F" w14:textId="77777777" w:rsidR="0064412C" w:rsidRPr="00885FE2" w:rsidRDefault="0064412C" w:rsidP="00C1114C">
            <w:pPr>
              <w:pStyle w:val="DHHStabletext"/>
            </w:pPr>
            <w:r>
              <w:t>Per cent</w:t>
            </w:r>
          </w:p>
        </w:tc>
        <w:tc>
          <w:tcPr>
            <w:tcW w:w="2126" w:type="dxa"/>
          </w:tcPr>
          <w:p w14:paraId="139DB6AB" w14:textId="4AC1732A" w:rsidR="0064412C" w:rsidRDefault="0064412C" w:rsidP="00C1114C">
            <w:pPr>
              <w:pStyle w:val="DHHStabletext"/>
            </w:pPr>
            <w:r>
              <w:t>24</w:t>
            </w:r>
          </w:p>
          <w:p w14:paraId="3A2CCBBE" w14:textId="2A92818F" w:rsidR="0064412C" w:rsidRPr="00885FE2" w:rsidRDefault="0064412C" w:rsidP="00C1114C">
            <w:pPr>
              <w:pStyle w:val="DHHStabletext"/>
            </w:pPr>
            <w:r>
              <w:t>(2010–13)</w:t>
            </w:r>
          </w:p>
        </w:tc>
        <w:tc>
          <w:tcPr>
            <w:tcW w:w="1701" w:type="dxa"/>
          </w:tcPr>
          <w:p w14:paraId="1A27C2EE" w14:textId="4A04EF3D" w:rsidR="0064412C" w:rsidRDefault="0064412C" w:rsidP="00C1114C">
            <w:pPr>
              <w:pStyle w:val="DHHStabletext"/>
            </w:pPr>
            <w:r>
              <w:t>24</w:t>
            </w:r>
          </w:p>
          <w:p w14:paraId="6390FAB5" w14:textId="4CCD00EC" w:rsidR="0064412C" w:rsidRPr="00885FE2" w:rsidRDefault="0064412C" w:rsidP="00C1114C">
            <w:pPr>
              <w:pStyle w:val="DHHStabletext"/>
            </w:pPr>
            <w:r>
              <w:t>(201</w:t>
            </w:r>
            <w:r w:rsidR="00221F87">
              <w:t>4</w:t>
            </w:r>
            <w:r>
              <w:t>)</w:t>
            </w:r>
          </w:p>
        </w:tc>
        <w:tc>
          <w:tcPr>
            <w:tcW w:w="1701" w:type="dxa"/>
          </w:tcPr>
          <w:p w14:paraId="4BEEE4EB" w14:textId="77777777" w:rsidR="0064412C" w:rsidRPr="00885FE2" w:rsidRDefault="0064412C" w:rsidP="00C1114C">
            <w:pPr>
              <w:pStyle w:val="DHHStabletext"/>
            </w:pPr>
            <w:r w:rsidRPr="00A57D2E">
              <w:t>N/S</w:t>
            </w:r>
          </w:p>
        </w:tc>
        <w:tc>
          <w:tcPr>
            <w:tcW w:w="1276" w:type="dxa"/>
          </w:tcPr>
          <w:p w14:paraId="26D0EC2E" w14:textId="4B17C0B7" w:rsidR="0064412C" w:rsidRPr="00F42296" w:rsidRDefault="00CF3B53" w:rsidP="00C1114C">
            <w:pPr>
              <w:pStyle w:val="DHHStabletext"/>
              <w:rPr>
                <w:sz w:val="26"/>
                <w:szCs w:val="26"/>
              </w:rPr>
            </w:pPr>
            <w:r w:rsidRPr="00AD1B27">
              <w:t>■</w:t>
            </w:r>
            <w:r>
              <w:t xml:space="preserve"> </w:t>
            </w:r>
            <w:r>
              <w:br/>
              <w:t>No change</w:t>
            </w:r>
          </w:p>
        </w:tc>
      </w:tr>
      <w:tr w:rsidR="0064412C" w:rsidRPr="00885FE2" w14:paraId="7C53B491" w14:textId="77777777" w:rsidTr="00D12913">
        <w:trPr>
          <w:trHeight w:val="558"/>
        </w:trPr>
        <w:tc>
          <w:tcPr>
            <w:tcW w:w="2122" w:type="dxa"/>
          </w:tcPr>
          <w:p w14:paraId="29EFDA1B" w14:textId="43E4F020" w:rsidR="0064412C" w:rsidRDefault="009D1534" w:rsidP="00C1114C">
            <w:pPr>
              <w:pStyle w:val="DHHStabletext"/>
            </w:pPr>
            <w:hyperlink w:anchor="_Measure_10.5_–" w:history="1">
              <w:r w:rsidR="0064412C" w:rsidRPr="000760F7">
                <w:rPr>
                  <w:rStyle w:val="Hyperlink"/>
                </w:rPr>
                <w:t>10.5</w:t>
              </w:r>
            </w:hyperlink>
          </w:p>
        </w:tc>
        <w:tc>
          <w:tcPr>
            <w:tcW w:w="3260" w:type="dxa"/>
          </w:tcPr>
          <w:p w14:paraId="718F0882" w14:textId="77777777" w:rsidR="0064412C" w:rsidRPr="00885FE2" w:rsidRDefault="0064412C" w:rsidP="00C1114C">
            <w:pPr>
              <w:pStyle w:val="DHHStabletext"/>
            </w:pPr>
            <w:r>
              <w:t>Proportion of people with hepatitis C diagnosed with liver cancer, whose hepatitis C was diagnosed late</w:t>
            </w:r>
          </w:p>
        </w:tc>
        <w:tc>
          <w:tcPr>
            <w:tcW w:w="2268" w:type="dxa"/>
          </w:tcPr>
          <w:p w14:paraId="1746671A" w14:textId="77777777" w:rsidR="0064412C" w:rsidRPr="00885FE2" w:rsidRDefault="0064412C" w:rsidP="00C1114C">
            <w:pPr>
              <w:pStyle w:val="DHHStabletext"/>
            </w:pPr>
            <w:r>
              <w:t>Per cent</w:t>
            </w:r>
          </w:p>
        </w:tc>
        <w:tc>
          <w:tcPr>
            <w:tcW w:w="2126" w:type="dxa"/>
          </w:tcPr>
          <w:p w14:paraId="3D123F58" w14:textId="283DB01B" w:rsidR="0064412C" w:rsidRDefault="0064412C" w:rsidP="00C1114C">
            <w:pPr>
              <w:pStyle w:val="DHHStabletext"/>
            </w:pPr>
            <w:r>
              <w:t>17</w:t>
            </w:r>
          </w:p>
          <w:p w14:paraId="02EE1E4D" w14:textId="04D749AA" w:rsidR="0064412C" w:rsidRPr="00885FE2" w:rsidRDefault="0064412C" w:rsidP="00C1114C">
            <w:pPr>
              <w:pStyle w:val="DHHStabletext"/>
            </w:pPr>
            <w:r>
              <w:t>(2010–13)</w:t>
            </w:r>
          </w:p>
        </w:tc>
        <w:tc>
          <w:tcPr>
            <w:tcW w:w="1701" w:type="dxa"/>
          </w:tcPr>
          <w:p w14:paraId="3A8078E5" w14:textId="12B6DB99" w:rsidR="0064412C" w:rsidRDefault="0064412C" w:rsidP="00C1114C">
            <w:pPr>
              <w:pStyle w:val="DHHStabletext"/>
            </w:pPr>
            <w:r>
              <w:t>1</w:t>
            </w:r>
            <w:r w:rsidR="00E25C6D">
              <w:t>5</w:t>
            </w:r>
          </w:p>
          <w:p w14:paraId="040D18E3" w14:textId="327F7B8F" w:rsidR="0064412C" w:rsidRPr="00885FE2" w:rsidRDefault="0064412C" w:rsidP="00C1114C">
            <w:pPr>
              <w:pStyle w:val="DHHStabletext"/>
            </w:pPr>
            <w:r>
              <w:t>(201</w:t>
            </w:r>
            <w:r w:rsidR="00E25C6D">
              <w:t>4</w:t>
            </w:r>
            <w:r>
              <w:t>)</w:t>
            </w:r>
          </w:p>
        </w:tc>
        <w:tc>
          <w:tcPr>
            <w:tcW w:w="1701" w:type="dxa"/>
          </w:tcPr>
          <w:p w14:paraId="058076B1" w14:textId="77777777" w:rsidR="0064412C" w:rsidRPr="00885FE2" w:rsidRDefault="0064412C" w:rsidP="00C1114C">
            <w:pPr>
              <w:pStyle w:val="DHHStabletext"/>
            </w:pPr>
            <w:r w:rsidRPr="00A57D2E">
              <w:t>N/S</w:t>
            </w:r>
          </w:p>
        </w:tc>
        <w:tc>
          <w:tcPr>
            <w:tcW w:w="1276" w:type="dxa"/>
          </w:tcPr>
          <w:p w14:paraId="2C560D94" w14:textId="2F792100" w:rsidR="0064412C" w:rsidRPr="00F42296" w:rsidRDefault="00CF3B53" w:rsidP="00C1114C">
            <w:pPr>
              <w:pStyle w:val="DHHStabletext"/>
              <w:rPr>
                <w:sz w:val="26"/>
                <w:szCs w:val="26"/>
              </w:rPr>
            </w:pPr>
            <w:r w:rsidRPr="00AD1B27">
              <w:t>■</w:t>
            </w:r>
            <w:r>
              <w:t xml:space="preserve"> </w:t>
            </w:r>
            <w:r>
              <w:br/>
              <w:t>No change</w:t>
            </w:r>
          </w:p>
        </w:tc>
      </w:tr>
    </w:tbl>
    <w:p w14:paraId="0DA71A42" w14:textId="77777777" w:rsidR="00A44D67" w:rsidRDefault="00A44D67" w:rsidP="00A44D67">
      <w:pPr>
        <w:pStyle w:val="Heading3"/>
      </w:pPr>
      <w:bookmarkStart w:id="33" w:name="_Toc19007975"/>
      <w:r w:rsidRPr="00DC5E5B">
        <w:lastRenderedPageBreak/>
        <w:t xml:space="preserve">Outcome: </w:t>
      </w:r>
      <w:r>
        <w:t>Detect cancers early</w:t>
      </w:r>
      <w:bookmarkEnd w:id="33"/>
      <w:r w:rsidRPr="00A44D67">
        <w:t xml:space="preserve"> </w:t>
      </w:r>
    </w:p>
    <w:p w14:paraId="70DC9623" w14:textId="6E99643B" w:rsidR="00C1114C" w:rsidRDefault="00A44D67" w:rsidP="00A44D67">
      <w:pPr>
        <w:pStyle w:val="Heading5"/>
      </w:pPr>
      <w:r w:rsidRPr="008335F5">
        <w:t>Key result: Increase early</w:t>
      </w:r>
      <w:r>
        <w:t>-</w:t>
      </w:r>
      <w:r w:rsidRPr="008335F5">
        <w:t>stage diagnosis</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260"/>
        <w:gridCol w:w="2268"/>
        <w:gridCol w:w="2126"/>
        <w:gridCol w:w="1701"/>
        <w:gridCol w:w="1701"/>
        <w:gridCol w:w="1276"/>
      </w:tblGrid>
      <w:tr w:rsidR="00A44D67" w:rsidRPr="00885FE2" w14:paraId="3D6FE6EE" w14:textId="77777777" w:rsidTr="00247D94">
        <w:trPr>
          <w:trHeight w:val="621"/>
        </w:trPr>
        <w:tc>
          <w:tcPr>
            <w:tcW w:w="2127" w:type="dxa"/>
            <w:shd w:val="clear" w:color="auto" w:fill="EDCDCF"/>
          </w:tcPr>
          <w:p w14:paraId="00C43C30" w14:textId="1220E9F8" w:rsidR="00A44D67" w:rsidRDefault="00A44D67" w:rsidP="00A44D67">
            <w:pPr>
              <w:pStyle w:val="DHHStablecolhead"/>
            </w:pPr>
            <w:r w:rsidRPr="00F768B7">
              <w:t>Measure #</w:t>
            </w:r>
          </w:p>
        </w:tc>
        <w:tc>
          <w:tcPr>
            <w:tcW w:w="3260" w:type="dxa"/>
            <w:shd w:val="clear" w:color="auto" w:fill="EDCDCF"/>
          </w:tcPr>
          <w:p w14:paraId="0345A767" w14:textId="6C404A04" w:rsidR="00A44D67" w:rsidRPr="008335F5" w:rsidRDefault="00A44D67" w:rsidP="00A44D67">
            <w:pPr>
              <w:pStyle w:val="DHHStablecolhead"/>
            </w:pPr>
            <w:r w:rsidRPr="00F768B7">
              <w:t>Description</w:t>
            </w:r>
          </w:p>
        </w:tc>
        <w:tc>
          <w:tcPr>
            <w:tcW w:w="2268" w:type="dxa"/>
            <w:shd w:val="clear" w:color="auto" w:fill="EDCDCF"/>
          </w:tcPr>
          <w:p w14:paraId="2233C31B" w14:textId="7964725C" w:rsidR="00A44D67" w:rsidRDefault="00A44D67" w:rsidP="00A44D67">
            <w:pPr>
              <w:pStyle w:val="DHHStablecolhead"/>
            </w:pPr>
            <w:r w:rsidRPr="00F768B7">
              <w:t>Unit of measure</w:t>
            </w:r>
          </w:p>
        </w:tc>
        <w:tc>
          <w:tcPr>
            <w:tcW w:w="2126" w:type="dxa"/>
            <w:shd w:val="clear" w:color="auto" w:fill="EDCDCF"/>
          </w:tcPr>
          <w:p w14:paraId="1D843DD1" w14:textId="77777777" w:rsidR="00A44D67" w:rsidRPr="00F768B7" w:rsidRDefault="00A44D67" w:rsidP="00A44D67">
            <w:pPr>
              <w:pStyle w:val="DHHStablecolhead"/>
            </w:pPr>
            <w:r w:rsidRPr="00F768B7">
              <w:t>Baseline</w:t>
            </w:r>
          </w:p>
          <w:p w14:paraId="36D0B9FC" w14:textId="75444148" w:rsidR="00A44D67" w:rsidRPr="007D2F75" w:rsidRDefault="00A44D67" w:rsidP="00A44D67">
            <w:pPr>
              <w:pStyle w:val="DHHStablecolhead"/>
              <w:rPr>
                <w:color w:val="7030A0"/>
              </w:rPr>
            </w:pPr>
            <w:r w:rsidRPr="00F768B7">
              <w:t>(year)</w:t>
            </w:r>
          </w:p>
        </w:tc>
        <w:tc>
          <w:tcPr>
            <w:tcW w:w="1701" w:type="dxa"/>
            <w:shd w:val="clear" w:color="auto" w:fill="EDCDCF"/>
          </w:tcPr>
          <w:p w14:paraId="56895680" w14:textId="77777777" w:rsidR="00A44D67" w:rsidRPr="00F768B7" w:rsidRDefault="00A44D67" w:rsidP="00A44D67">
            <w:pPr>
              <w:pStyle w:val="DHHStablecolhead"/>
            </w:pPr>
            <w:r w:rsidRPr="00F768B7">
              <w:t>Most recent</w:t>
            </w:r>
          </w:p>
          <w:p w14:paraId="007BDB92" w14:textId="6DC84357" w:rsidR="00A44D67" w:rsidRPr="007D2F75" w:rsidRDefault="00A44D67" w:rsidP="00A44D67">
            <w:pPr>
              <w:pStyle w:val="DHHStablecolhead"/>
              <w:rPr>
                <w:color w:val="7030A0"/>
              </w:rPr>
            </w:pPr>
            <w:r w:rsidRPr="00F768B7">
              <w:t>(year)</w:t>
            </w:r>
          </w:p>
        </w:tc>
        <w:tc>
          <w:tcPr>
            <w:tcW w:w="1701" w:type="dxa"/>
            <w:shd w:val="clear" w:color="auto" w:fill="EDCDCF"/>
          </w:tcPr>
          <w:p w14:paraId="2AA311C2" w14:textId="36CC4E74" w:rsidR="00A44D67" w:rsidRDefault="00A44D67" w:rsidP="00A44D67">
            <w:pPr>
              <w:pStyle w:val="DHHStablecolhead"/>
            </w:pPr>
            <w:r w:rsidRPr="00F768B7">
              <w:t>Target</w:t>
            </w:r>
          </w:p>
        </w:tc>
        <w:tc>
          <w:tcPr>
            <w:tcW w:w="1276" w:type="dxa"/>
            <w:shd w:val="clear" w:color="auto" w:fill="EDCDCF"/>
          </w:tcPr>
          <w:p w14:paraId="4CED0F47" w14:textId="56EA76B4" w:rsidR="00A44D67" w:rsidRPr="00E35095" w:rsidRDefault="00A44D67" w:rsidP="00A44D67">
            <w:pPr>
              <w:pStyle w:val="DHHStablecolhead"/>
            </w:pPr>
            <w:r w:rsidRPr="00F768B7">
              <w:t>Trend</w:t>
            </w:r>
          </w:p>
        </w:tc>
      </w:tr>
      <w:tr w:rsidR="00A44D67" w:rsidRPr="00885FE2" w14:paraId="07D7971F" w14:textId="77777777" w:rsidTr="00247D94">
        <w:trPr>
          <w:trHeight w:val="621"/>
        </w:trPr>
        <w:tc>
          <w:tcPr>
            <w:tcW w:w="2127" w:type="dxa"/>
          </w:tcPr>
          <w:p w14:paraId="6D128D0D" w14:textId="5AAEB305" w:rsidR="00A44D67" w:rsidRPr="00885FE2" w:rsidRDefault="009D1534" w:rsidP="00A44D67">
            <w:pPr>
              <w:pStyle w:val="DHHStabletext"/>
            </w:pPr>
            <w:hyperlink w:anchor="_Appendix_1:_Measures" w:history="1">
              <w:r w:rsidR="00A44D67" w:rsidRPr="00E2554E">
                <w:rPr>
                  <w:rStyle w:val="Hyperlink"/>
                </w:rPr>
                <w:t>11.1</w:t>
              </w:r>
            </w:hyperlink>
          </w:p>
        </w:tc>
        <w:tc>
          <w:tcPr>
            <w:tcW w:w="3260" w:type="dxa"/>
          </w:tcPr>
          <w:p w14:paraId="7BBA0C14" w14:textId="6589438B" w:rsidR="00A44D67" w:rsidRPr="00885FE2" w:rsidRDefault="00A44D67" w:rsidP="00A44D67">
            <w:pPr>
              <w:pStyle w:val="DHHStabletext"/>
            </w:pPr>
            <w:r w:rsidRPr="008335F5">
              <w:t>Proportion of all cancers diagnosed at stages 1</w:t>
            </w:r>
            <w:r>
              <w:t xml:space="preserve"> or</w:t>
            </w:r>
            <w:r w:rsidRPr="008335F5">
              <w:t xml:space="preserve"> 2</w:t>
            </w:r>
          </w:p>
        </w:tc>
        <w:tc>
          <w:tcPr>
            <w:tcW w:w="2268" w:type="dxa"/>
          </w:tcPr>
          <w:p w14:paraId="2B6E4BE2" w14:textId="77777777" w:rsidR="00A44D67" w:rsidRPr="00885FE2" w:rsidRDefault="00A44D67" w:rsidP="00A44D67">
            <w:pPr>
              <w:pStyle w:val="DHHStabletext"/>
            </w:pPr>
            <w:r>
              <w:t>Per cent</w:t>
            </w:r>
          </w:p>
        </w:tc>
        <w:tc>
          <w:tcPr>
            <w:tcW w:w="2126" w:type="dxa"/>
          </w:tcPr>
          <w:p w14:paraId="5B775700" w14:textId="77777777" w:rsidR="00A44D67" w:rsidRPr="005F4D6D" w:rsidRDefault="00A44D67" w:rsidP="00A44D67">
            <w:pPr>
              <w:pStyle w:val="DHHStabletext"/>
              <w:rPr>
                <w:color w:val="87189D"/>
              </w:rPr>
            </w:pPr>
            <w:r w:rsidRPr="005F4D6D">
              <w:rPr>
                <w:color w:val="87189D"/>
              </w:rPr>
              <w:t>No data available (refer to Appendix 1)</w:t>
            </w:r>
          </w:p>
        </w:tc>
        <w:tc>
          <w:tcPr>
            <w:tcW w:w="1701" w:type="dxa"/>
          </w:tcPr>
          <w:p w14:paraId="4161F73E" w14:textId="4C4E281D" w:rsidR="00A44D67" w:rsidRPr="005F4D6D" w:rsidRDefault="00A44D67" w:rsidP="00A44D67">
            <w:pPr>
              <w:pStyle w:val="DHHStabletext"/>
              <w:rPr>
                <w:color w:val="87189D"/>
              </w:rPr>
            </w:pPr>
            <w:r w:rsidRPr="005F4D6D">
              <w:rPr>
                <w:color w:val="87189D"/>
              </w:rPr>
              <w:t>No data available (refer to Appendix 1)</w:t>
            </w:r>
          </w:p>
        </w:tc>
        <w:tc>
          <w:tcPr>
            <w:tcW w:w="1701" w:type="dxa"/>
          </w:tcPr>
          <w:p w14:paraId="6656CCB4" w14:textId="77777777" w:rsidR="00A44D67" w:rsidRPr="00DF0D35" w:rsidRDefault="00A44D67" w:rsidP="00A44D67">
            <w:pPr>
              <w:pStyle w:val="DHHStabletext"/>
            </w:pPr>
            <w:r>
              <w:t>N/S</w:t>
            </w:r>
          </w:p>
        </w:tc>
        <w:tc>
          <w:tcPr>
            <w:tcW w:w="1276" w:type="dxa"/>
          </w:tcPr>
          <w:p w14:paraId="2AF804A9" w14:textId="77777777" w:rsidR="00A44D67" w:rsidRPr="00E35095" w:rsidRDefault="00A44D67" w:rsidP="00A44D67">
            <w:pPr>
              <w:pStyle w:val="DHHStabletext"/>
            </w:pPr>
            <w:r w:rsidRPr="00E35095">
              <w:t>N/A</w:t>
            </w:r>
          </w:p>
        </w:tc>
      </w:tr>
      <w:tr w:rsidR="00A44D67" w:rsidRPr="00885FE2" w14:paraId="4EFBF128" w14:textId="77777777" w:rsidTr="00247D94">
        <w:trPr>
          <w:trHeight w:val="621"/>
        </w:trPr>
        <w:tc>
          <w:tcPr>
            <w:tcW w:w="2127" w:type="dxa"/>
            <w:hideMark/>
          </w:tcPr>
          <w:p w14:paraId="74CD3DED" w14:textId="72A6201A" w:rsidR="00A44D67" w:rsidRPr="00885FE2" w:rsidRDefault="009D1534" w:rsidP="00A44D67">
            <w:pPr>
              <w:pStyle w:val="DHHStabletext"/>
            </w:pPr>
            <w:hyperlink w:anchor="_Measure_11.2_–" w:history="1">
              <w:r w:rsidR="00A44D67" w:rsidRPr="001B5858">
                <w:rPr>
                  <w:rStyle w:val="Hyperlink"/>
                </w:rPr>
                <w:t>11.2</w:t>
              </w:r>
            </w:hyperlink>
          </w:p>
        </w:tc>
        <w:tc>
          <w:tcPr>
            <w:tcW w:w="3260" w:type="dxa"/>
          </w:tcPr>
          <w:p w14:paraId="00CD99BF" w14:textId="162F100E" w:rsidR="00A44D67" w:rsidRPr="00885FE2" w:rsidRDefault="00A44D67" w:rsidP="00A44D67">
            <w:pPr>
              <w:pStyle w:val="DHHStabletext"/>
            </w:pPr>
            <w:r w:rsidRPr="00677F9F">
              <w:t xml:space="preserve">Proportion of female breast cancers diagnosed at stages 1 </w:t>
            </w:r>
            <w:r>
              <w:t>or</w:t>
            </w:r>
            <w:r w:rsidRPr="00677F9F">
              <w:t xml:space="preserve"> 2</w:t>
            </w:r>
          </w:p>
        </w:tc>
        <w:tc>
          <w:tcPr>
            <w:tcW w:w="2268" w:type="dxa"/>
          </w:tcPr>
          <w:p w14:paraId="6A8FF68C" w14:textId="77777777" w:rsidR="00A44D67" w:rsidRPr="00885FE2" w:rsidRDefault="00A44D67" w:rsidP="00A44D67">
            <w:pPr>
              <w:pStyle w:val="DHHStabletext"/>
            </w:pPr>
            <w:r>
              <w:t>Per cent</w:t>
            </w:r>
          </w:p>
        </w:tc>
        <w:tc>
          <w:tcPr>
            <w:tcW w:w="2126" w:type="dxa"/>
            <w:noWrap/>
          </w:tcPr>
          <w:p w14:paraId="679A61C5" w14:textId="33903FEB" w:rsidR="00A44D67" w:rsidRDefault="00A44D67" w:rsidP="00A44D67">
            <w:pPr>
              <w:pStyle w:val="DHHStabletext"/>
            </w:pPr>
            <w:r>
              <w:t>84.3</w:t>
            </w:r>
          </w:p>
          <w:p w14:paraId="2FF2419D" w14:textId="20FF05E8" w:rsidR="00A44D67" w:rsidRPr="00295C17" w:rsidRDefault="00A44D67" w:rsidP="00A44D67">
            <w:pPr>
              <w:pStyle w:val="DHHStabletext"/>
            </w:pPr>
            <w:r>
              <w:t>(2014)</w:t>
            </w:r>
          </w:p>
        </w:tc>
        <w:tc>
          <w:tcPr>
            <w:tcW w:w="1701" w:type="dxa"/>
            <w:noWrap/>
          </w:tcPr>
          <w:p w14:paraId="189C3B63" w14:textId="61EF3631" w:rsidR="00A44D67" w:rsidRDefault="00A44D67" w:rsidP="00A44D67">
            <w:pPr>
              <w:pStyle w:val="DHHStabletext"/>
            </w:pPr>
            <w:r>
              <w:t>84.8</w:t>
            </w:r>
          </w:p>
          <w:p w14:paraId="7BCBE06D" w14:textId="3FF0EC0B" w:rsidR="00A44D67" w:rsidRPr="00295C17" w:rsidRDefault="00A44D67" w:rsidP="00A44D67">
            <w:pPr>
              <w:pStyle w:val="DHHStabletext"/>
            </w:pPr>
            <w:r>
              <w:t>(2016)</w:t>
            </w:r>
          </w:p>
        </w:tc>
        <w:tc>
          <w:tcPr>
            <w:tcW w:w="1701" w:type="dxa"/>
            <w:noWrap/>
          </w:tcPr>
          <w:p w14:paraId="576D9EDF" w14:textId="77C3D32A" w:rsidR="00A44D67" w:rsidRPr="00295C17" w:rsidRDefault="00A44D67" w:rsidP="00A44D67">
            <w:pPr>
              <w:pStyle w:val="DHHStabletext"/>
            </w:pPr>
            <w:r>
              <w:t>N/S</w:t>
            </w:r>
          </w:p>
        </w:tc>
        <w:tc>
          <w:tcPr>
            <w:tcW w:w="1276" w:type="dxa"/>
          </w:tcPr>
          <w:p w14:paraId="2374B2CC" w14:textId="26DF664D" w:rsidR="00A44D67" w:rsidRPr="00A70392" w:rsidRDefault="00CF3B53" w:rsidP="00A44D67">
            <w:pPr>
              <w:pStyle w:val="DHHStabletext"/>
            </w:pPr>
            <w:r w:rsidRPr="00AD1B27">
              <w:t>■</w:t>
            </w:r>
            <w:r>
              <w:t xml:space="preserve"> </w:t>
            </w:r>
            <w:r>
              <w:br/>
              <w:t>No change</w:t>
            </w:r>
          </w:p>
        </w:tc>
      </w:tr>
      <w:tr w:rsidR="00A44D67" w:rsidRPr="00885FE2" w14:paraId="2167DB84" w14:textId="77777777" w:rsidTr="00247D94">
        <w:trPr>
          <w:trHeight w:val="621"/>
        </w:trPr>
        <w:tc>
          <w:tcPr>
            <w:tcW w:w="2127" w:type="dxa"/>
            <w:hideMark/>
          </w:tcPr>
          <w:p w14:paraId="325F7C73" w14:textId="209D4074" w:rsidR="00A44D67" w:rsidRPr="00885FE2" w:rsidRDefault="009D1534" w:rsidP="00A44D67">
            <w:pPr>
              <w:pStyle w:val="DHHStabletext"/>
            </w:pPr>
            <w:hyperlink w:anchor="_Measure_11.3_–" w:history="1">
              <w:r w:rsidR="00A44D67" w:rsidRPr="001B5858">
                <w:rPr>
                  <w:rStyle w:val="Hyperlink"/>
                </w:rPr>
                <w:t>11.3</w:t>
              </w:r>
            </w:hyperlink>
          </w:p>
        </w:tc>
        <w:tc>
          <w:tcPr>
            <w:tcW w:w="3260" w:type="dxa"/>
          </w:tcPr>
          <w:p w14:paraId="1436175B" w14:textId="223D4919" w:rsidR="00A44D67" w:rsidRPr="00885FE2" w:rsidRDefault="00A44D67" w:rsidP="00A44D67">
            <w:pPr>
              <w:pStyle w:val="DHHStabletext"/>
            </w:pPr>
            <w:r w:rsidRPr="00677F9F">
              <w:t xml:space="preserve">Proportion of colorectal cancers diagnosed at stages 1 </w:t>
            </w:r>
            <w:r>
              <w:t>or</w:t>
            </w:r>
            <w:r w:rsidRPr="00677F9F">
              <w:t xml:space="preserve"> 2</w:t>
            </w:r>
          </w:p>
        </w:tc>
        <w:tc>
          <w:tcPr>
            <w:tcW w:w="2268" w:type="dxa"/>
          </w:tcPr>
          <w:p w14:paraId="7A2AADC9" w14:textId="77777777" w:rsidR="00A44D67" w:rsidRPr="00885FE2" w:rsidRDefault="00A44D67" w:rsidP="00A44D67">
            <w:pPr>
              <w:pStyle w:val="DHHStabletext"/>
            </w:pPr>
            <w:r>
              <w:t>Per cent</w:t>
            </w:r>
          </w:p>
        </w:tc>
        <w:tc>
          <w:tcPr>
            <w:tcW w:w="2126" w:type="dxa"/>
            <w:noWrap/>
          </w:tcPr>
          <w:p w14:paraId="3F643F38" w14:textId="6B0529C1" w:rsidR="00A44D67" w:rsidRPr="00922344" w:rsidRDefault="00A44D67" w:rsidP="00A44D67">
            <w:pPr>
              <w:pStyle w:val="DHHStabletext"/>
            </w:pPr>
            <w:r>
              <w:t>53.3</w:t>
            </w:r>
          </w:p>
          <w:p w14:paraId="5259ECE8" w14:textId="30FEF0AF" w:rsidR="00A44D67" w:rsidRPr="00922344" w:rsidRDefault="00A44D67" w:rsidP="00A44D67">
            <w:pPr>
              <w:pStyle w:val="DHHStabletext"/>
            </w:pPr>
            <w:r w:rsidRPr="00922344">
              <w:t>(2014)</w:t>
            </w:r>
          </w:p>
        </w:tc>
        <w:tc>
          <w:tcPr>
            <w:tcW w:w="1701" w:type="dxa"/>
            <w:noWrap/>
          </w:tcPr>
          <w:p w14:paraId="64EBB4F2" w14:textId="6956F3E1" w:rsidR="00A44D67" w:rsidRPr="00922344" w:rsidRDefault="00A44D67" w:rsidP="00A44D67">
            <w:pPr>
              <w:pStyle w:val="DHHStabletext"/>
            </w:pPr>
            <w:r>
              <w:t>55</w:t>
            </w:r>
          </w:p>
          <w:p w14:paraId="5EE267E8" w14:textId="145D9361" w:rsidR="00A44D67" w:rsidRPr="00922344" w:rsidRDefault="00A44D67" w:rsidP="00A44D67">
            <w:pPr>
              <w:pStyle w:val="DHHStabletext"/>
            </w:pPr>
            <w:r w:rsidRPr="00922344">
              <w:t>(2016)</w:t>
            </w:r>
          </w:p>
        </w:tc>
        <w:tc>
          <w:tcPr>
            <w:tcW w:w="1701" w:type="dxa"/>
            <w:noWrap/>
          </w:tcPr>
          <w:p w14:paraId="2EB91124" w14:textId="2E88EA5F" w:rsidR="00A44D67" w:rsidRPr="00A70392" w:rsidRDefault="00A44D67" w:rsidP="00A44D67">
            <w:pPr>
              <w:pStyle w:val="DHHStabletext"/>
            </w:pPr>
            <w:r>
              <w:t>N/S</w:t>
            </w:r>
          </w:p>
        </w:tc>
        <w:tc>
          <w:tcPr>
            <w:tcW w:w="1276" w:type="dxa"/>
            <w:hideMark/>
          </w:tcPr>
          <w:p w14:paraId="0CD34E19" w14:textId="3D8DAFC1" w:rsidR="00A44D67" w:rsidRPr="00A70392" w:rsidRDefault="0034479E" w:rsidP="00A44D67">
            <w:pPr>
              <w:pStyle w:val="DHHStabletext"/>
            </w:pPr>
            <w:r w:rsidRPr="0010585A">
              <w:t>▲</w:t>
            </w:r>
            <w:r>
              <w:br/>
              <w:t>Upward</w:t>
            </w:r>
          </w:p>
        </w:tc>
      </w:tr>
      <w:tr w:rsidR="00A44D67" w:rsidRPr="00885FE2" w14:paraId="7B58878C" w14:textId="77777777" w:rsidTr="00247D94">
        <w:trPr>
          <w:trHeight w:val="621"/>
        </w:trPr>
        <w:tc>
          <w:tcPr>
            <w:tcW w:w="2127" w:type="dxa"/>
            <w:hideMark/>
          </w:tcPr>
          <w:p w14:paraId="285D26E7" w14:textId="3DDA4FF3" w:rsidR="00A44D67" w:rsidRPr="00885FE2" w:rsidRDefault="009D1534" w:rsidP="00A44D67">
            <w:pPr>
              <w:pStyle w:val="DHHStabletext"/>
            </w:pPr>
            <w:hyperlink w:anchor="_Appendix_1:_Measures" w:history="1">
              <w:r w:rsidR="00A44D67" w:rsidRPr="000760F7">
                <w:rPr>
                  <w:rStyle w:val="Hyperlink"/>
                </w:rPr>
                <w:t>11.4</w:t>
              </w:r>
            </w:hyperlink>
          </w:p>
        </w:tc>
        <w:tc>
          <w:tcPr>
            <w:tcW w:w="3260" w:type="dxa"/>
          </w:tcPr>
          <w:p w14:paraId="18AA3E7E" w14:textId="437BD813" w:rsidR="00A44D67" w:rsidRPr="00885FE2" w:rsidRDefault="00A44D67" w:rsidP="00A44D67">
            <w:pPr>
              <w:pStyle w:val="DHHStabletext"/>
            </w:pPr>
            <w:r w:rsidRPr="00677F9F">
              <w:t>Proportion of cervi</w:t>
            </w:r>
            <w:r>
              <w:t>cal</w:t>
            </w:r>
            <w:r w:rsidRPr="00677F9F">
              <w:t xml:space="preserve"> cancers diagnosed at stages 1 </w:t>
            </w:r>
            <w:r>
              <w:t>or</w:t>
            </w:r>
            <w:r w:rsidRPr="00677F9F">
              <w:t xml:space="preserve"> 2</w:t>
            </w:r>
          </w:p>
        </w:tc>
        <w:tc>
          <w:tcPr>
            <w:tcW w:w="2268" w:type="dxa"/>
          </w:tcPr>
          <w:p w14:paraId="562C21B1" w14:textId="77777777" w:rsidR="00A44D67" w:rsidRPr="00885FE2" w:rsidRDefault="00A44D67" w:rsidP="00A44D67">
            <w:pPr>
              <w:pStyle w:val="DHHStabletext"/>
            </w:pPr>
            <w:r>
              <w:t>Per cent</w:t>
            </w:r>
          </w:p>
        </w:tc>
        <w:tc>
          <w:tcPr>
            <w:tcW w:w="2126" w:type="dxa"/>
            <w:noWrap/>
          </w:tcPr>
          <w:p w14:paraId="1FBD55AA" w14:textId="77777777" w:rsidR="00A44D67" w:rsidRPr="005F4D6D" w:rsidRDefault="00A44D67" w:rsidP="00A44D67">
            <w:pPr>
              <w:pStyle w:val="DHHStabletext"/>
              <w:rPr>
                <w:color w:val="87189D"/>
              </w:rPr>
            </w:pPr>
            <w:r w:rsidRPr="005F4D6D">
              <w:rPr>
                <w:color w:val="87189D"/>
              </w:rPr>
              <w:t>No data available (refer to Appendix 1)</w:t>
            </w:r>
          </w:p>
        </w:tc>
        <w:tc>
          <w:tcPr>
            <w:tcW w:w="1701" w:type="dxa"/>
          </w:tcPr>
          <w:p w14:paraId="76156CCC" w14:textId="408969E8" w:rsidR="00A44D67" w:rsidRPr="005F4D6D" w:rsidRDefault="00A44D67" w:rsidP="00A44D67">
            <w:pPr>
              <w:pStyle w:val="DHHStabletext"/>
              <w:rPr>
                <w:color w:val="87189D"/>
              </w:rPr>
            </w:pPr>
            <w:r w:rsidRPr="005F4D6D">
              <w:rPr>
                <w:color w:val="87189D"/>
              </w:rPr>
              <w:t>No data available (refer to Appendix 1)</w:t>
            </w:r>
          </w:p>
        </w:tc>
        <w:tc>
          <w:tcPr>
            <w:tcW w:w="1701" w:type="dxa"/>
            <w:noWrap/>
          </w:tcPr>
          <w:p w14:paraId="2EFBC4B9" w14:textId="77777777" w:rsidR="00A44D67" w:rsidRPr="00DF0D35" w:rsidRDefault="00A44D67" w:rsidP="00A44D67">
            <w:pPr>
              <w:pStyle w:val="DHHStabletext"/>
            </w:pPr>
            <w:r>
              <w:t>N/S</w:t>
            </w:r>
          </w:p>
        </w:tc>
        <w:tc>
          <w:tcPr>
            <w:tcW w:w="1276" w:type="dxa"/>
            <w:hideMark/>
          </w:tcPr>
          <w:p w14:paraId="0BB6B55E" w14:textId="77777777" w:rsidR="00A44D67" w:rsidRPr="00E35095" w:rsidRDefault="00A44D67" w:rsidP="00A44D67">
            <w:pPr>
              <w:pStyle w:val="DHHStabletext"/>
            </w:pPr>
            <w:r w:rsidRPr="00E35095">
              <w:t>N/A</w:t>
            </w:r>
          </w:p>
        </w:tc>
      </w:tr>
      <w:tr w:rsidR="00A44D67" w:rsidRPr="00885FE2" w14:paraId="7DE43D54" w14:textId="77777777" w:rsidTr="00247D94">
        <w:trPr>
          <w:trHeight w:val="621"/>
        </w:trPr>
        <w:tc>
          <w:tcPr>
            <w:tcW w:w="2127" w:type="dxa"/>
            <w:hideMark/>
          </w:tcPr>
          <w:p w14:paraId="0E55131A" w14:textId="7F8ADD7E" w:rsidR="00A44D67" w:rsidRPr="00885FE2" w:rsidRDefault="009D1534" w:rsidP="00A44D67">
            <w:pPr>
              <w:pStyle w:val="DHHStabletext"/>
            </w:pPr>
            <w:hyperlink w:anchor="_Appendix_1:_Measures" w:history="1">
              <w:r w:rsidR="00A44D67" w:rsidRPr="000760F7">
                <w:rPr>
                  <w:rStyle w:val="Hyperlink"/>
                </w:rPr>
                <w:t>11.5</w:t>
              </w:r>
            </w:hyperlink>
          </w:p>
        </w:tc>
        <w:tc>
          <w:tcPr>
            <w:tcW w:w="3260" w:type="dxa"/>
          </w:tcPr>
          <w:p w14:paraId="70CA8F0E" w14:textId="5E50FD56" w:rsidR="00A44D67" w:rsidRPr="00885FE2" w:rsidRDefault="00A44D67" w:rsidP="00A44D67">
            <w:pPr>
              <w:pStyle w:val="DHHStabletext"/>
            </w:pPr>
            <w:r w:rsidRPr="00677F9F">
              <w:t xml:space="preserve">Proportion of lung cancers diagnosed at stages 1 </w:t>
            </w:r>
            <w:r>
              <w:t xml:space="preserve">or </w:t>
            </w:r>
            <w:r w:rsidRPr="00677F9F">
              <w:t>2</w:t>
            </w:r>
          </w:p>
        </w:tc>
        <w:tc>
          <w:tcPr>
            <w:tcW w:w="2268" w:type="dxa"/>
          </w:tcPr>
          <w:p w14:paraId="25DEF849" w14:textId="77777777" w:rsidR="00A44D67" w:rsidRPr="00885FE2" w:rsidRDefault="00A44D67" w:rsidP="00A44D67">
            <w:pPr>
              <w:pStyle w:val="DHHStabletext"/>
            </w:pPr>
            <w:r>
              <w:t>Per cent</w:t>
            </w:r>
          </w:p>
        </w:tc>
        <w:tc>
          <w:tcPr>
            <w:tcW w:w="2126" w:type="dxa"/>
            <w:noWrap/>
          </w:tcPr>
          <w:p w14:paraId="5F2F2C63" w14:textId="77777777" w:rsidR="00A44D67" w:rsidRPr="005F4D6D" w:rsidRDefault="00A44D67" w:rsidP="00A44D67">
            <w:pPr>
              <w:pStyle w:val="DHHStabletext"/>
              <w:rPr>
                <w:color w:val="87189D"/>
              </w:rPr>
            </w:pPr>
            <w:r w:rsidRPr="005F4D6D">
              <w:rPr>
                <w:color w:val="87189D"/>
              </w:rPr>
              <w:t>No data available (refer to Appendix 1)</w:t>
            </w:r>
          </w:p>
        </w:tc>
        <w:tc>
          <w:tcPr>
            <w:tcW w:w="1701" w:type="dxa"/>
          </w:tcPr>
          <w:p w14:paraId="75E7C715" w14:textId="72B0CCB5" w:rsidR="00A44D67" w:rsidRPr="005F4D6D" w:rsidRDefault="00A44D67" w:rsidP="00A44D67">
            <w:pPr>
              <w:pStyle w:val="DHHStabletext"/>
              <w:rPr>
                <w:color w:val="87189D"/>
              </w:rPr>
            </w:pPr>
            <w:r w:rsidRPr="005F4D6D">
              <w:rPr>
                <w:color w:val="87189D"/>
              </w:rPr>
              <w:t>No data available (refer to Appendix 1)</w:t>
            </w:r>
          </w:p>
        </w:tc>
        <w:tc>
          <w:tcPr>
            <w:tcW w:w="1701" w:type="dxa"/>
            <w:noWrap/>
          </w:tcPr>
          <w:p w14:paraId="57CD642B" w14:textId="77777777" w:rsidR="00A44D67" w:rsidRPr="00DF0D35" w:rsidRDefault="00A44D67" w:rsidP="00A44D67">
            <w:pPr>
              <w:pStyle w:val="DHHStabletext"/>
            </w:pPr>
            <w:r>
              <w:t>N/S</w:t>
            </w:r>
          </w:p>
        </w:tc>
        <w:tc>
          <w:tcPr>
            <w:tcW w:w="1276" w:type="dxa"/>
            <w:hideMark/>
          </w:tcPr>
          <w:p w14:paraId="7D88A30E" w14:textId="77777777" w:rsidR="00A44D67" w:rsidRPr="00E35095" w:rsidRDefault="00A44D67" w:rsidP="00A44D67">
            <w:pPr>
              <w:pStyle w:val="DHHStabletext"/>
            </w:pPr>
            <w:r w:rsidRPr="00E35095">
              <w:t>N/A</w:t>
            </w:r>
          </w:p>
        </w:tc>
      </w:tr>
      <w:tr w:rsidR="00A44D67" w:rsidRPr="00885FE2" w14:paraId="1B8191FD" w14:textId="77777777" w:rsidTr="00247D94">
        <w:trPr>
          <w:trHeight w:val="621"/>
        </w:trPr>
        <w:tc>
          <w:tcPr>
            <w:tcW w:w="2127" w:type="dxa"/>
          </w:tcPr>
          <w:p w14:paraId="3811B96D" w14:textId="28108DDF" w:rsidR="00A44D67" w:rsidRDefault="009D1534" w:rsidP="00A44D67">
            <w:pPr>
              <w:pStyle w:val="DHHStabletext"/>
            </w:pPr>
            <w:hyperlink w:anchor="_Measure_11.6_–" w:history="1">
              <w:r w:rsidR="00A44D67" w:rsidRPr="001B5858">
                <w:rPr>
                  <w:rStyle w:val="Hyperlink"/>
                </w:rPr>
                <w:t>11.6</w:t>
              </w:r>
            </w:hyperlink>
          </w:p>
        </w:tc>
        <w:tc>
          <w:tcPr>
            <w:tcW w:w="3260" w:type="dxa"/>
          </w:tcPr>
          <w:p w14:paraId="1B035275" w14:textId="77777777" w:rsidR="00A44D67" w:rsidRPr="00677F9F" w:rsidRDefault="00A44D67" w:rsidP="00A44D67">
            <w:pPr>
              <w:pStyle w:val="DHHStabletext"/>
            </w:pPr>
            <w:r w:rsidRPr="00677F9F">
              <w:t>Proportion of all solid tumours diagnosed at metastatic stage</w:t>
            </w:r>
          </w:p>
        </w:tc>
        <w:tc>
          <w:tcPr>
            <w:tcW w:w="2268" w:type="dxa"/>
          </w:tcPr>
          <w:p w14:paraId="697F0D65" w14:textId="77777777" w:rsidR="00A44D67" w:rsidRPr="00677F9F" w:rsidRDefault="00A44D67" w:rsidP="00A44D67">
            <w:pPr>
              <w:pStyle w:val="DHHStabletext"/>
            </w:pPr>
            <w:r>
              <w:t>Per cent</w:t>
            </w:r>
          </w:p>
        </w:tc>
        <w:tc>
          <w:tcPr>
            <w:tcW w:w="2126" w:type="dxa"/>
            <w:noWrap/>
          </w:tcPr>
          <w:p w14:paraId="2D0F0794" w14:textId="697D10F0" w:rsidR="00A44D67" w:rsidRPr="00922344" w:rsidRDefault="00A44D67" w:rsidP="00A44D67">
            <w:pPr>
              <w:pStyle w:val="DHHStabletext"/>
            </w:pPr>
            <w:r w:rsidRPr="00922344">
              <w:t>19.6</w:t>
            </w:r>
          </w:p>
          <w:p w14:paraId="4A31D30D" w14:textId="1527A5C4" w:rsidR="00A44D67" w:rsidRPr="00922344" w:rsidRDefault="00A44D67" w:rsidP="00A44D67">
            <w:pPr>
              <w:pStyle w:val="DHHStabletext"/>
            </w:pPr>
            <w:r w:rsidRPr="00922344">
              <w:t xml:space="preserve"> (2014)</w:t>
            </w:r>
          </w:p>
        </w:tc>
        <w:tc>
          <w:tcPr>
            <w:tcW w:w="1701" w:type="dxa"/>
            <w:noWrap/>
          </w:tcPr>
          <w:p w14:paraId="56E4CC45" w14:textId="23545BBA" w:rsidR="00A44D67" w:rsidRPr="00922344" w:rsidRDefault="00A44D67" w:rsidP="00A44D67">
            <w:pPr>
              <w:pStyle w:val="DHHStabletext"/>
            </w:pPr>
            <w:r w:rsidRPr="00922344">
              <w:t>18.8</w:t>
            </w:r>
          </w:p>
          <w:p w14:paraId="747A811F" w14:textId="7DFFBC39" w:rsidR="00A44D67" w:rsidRPr="00922344" w:rsidRDefault="00A44D67" w:rsidP="00A44D67">
            <w:pPr>
              <w:pStyle w:val="DHHStabletext"/>
            </w:pPr>
            <w:r w:rsidRPr="00922344">
              <w:t>(2016)</w:t>
            </w:r>
          </w:p>
        </w:tc>
        <w:tc>
          <w:tcPr>
            <w:tcW w:w="1701" w:type="dxa"/>
            <w:noWrap/>
          </w:tcPr>
          <w:p w14:paraId="1AB87594" w14:textId="5593F895" w:rsidR="00A44D67" w:rsidRPr="00A70392" w:rsidRDefault="00A44D67" w:rsidP="00A44D67">
            <w:pPr>
              <w:pStyle w:val="DHHStabletext"/>
            </w:pPr>
            <w:r>
              <w:t>N/S</w:t>
            </w:r>
          </w:p>
        </w:tc>
        <w:tc>
          <w:tcPr>
            <w:tcW w:w="1276" w:type="dxa"/>
          </w:tcPr>
          <w:p w14:paraId="31837739" w14:textId="1BA375F3" w:rsidR="00A44D67" w:rsidRPr="00A70392" w:rsidRDefault="00CF3B53" w:rsidP="00A44D67">
            <w:pPr>
              <w:pStyle w:val="DHHStabletext"/>
            </w:pPr>
            <w:r w:rsidRPr="00AD1B27">
              <w:t>■</w:t>
            </w:r>
            <w:r>
              <w:t xml:space="preserve"> </w:t>
            </w:r>
            <w:r>
              <w:br/>
              <w:t>No change</w:t>
            </w:r>
          </w:p>
        </w:tc>
      </w:tr>
    </w:tbl>
    <w:p w14:paraId="152362CA" w14:textId="77777777" w:rsidR="00360C87" w:rsidRDefault="00360C87">
      <w:pPr>
        <w:rPr>
          <w:rFonts w:ascii="Arial" w:eastAsia="MS Gothic" w:hAnsi="Arial"/>
          <w:b/>
          <w:bCs/>
          <w:sz w:val="24"/>
          <w:szCs w:val="26"/>
          <w:lang w:eastAsia="en-US"/>
        </w:rPr>
      </w:pPr>
      <w:r>
        <w:br w:type="page"/>
      </w:r>
    </w:p>
    <w:p w14:paraId="5978B905" w14:textId="3D202475" w:rsidR="00C1114C" w:rsidRDefault="00A44D67" w:rsidP="00E25B4F">
      <w:pPr>
        <w:pStyle w:val="Heading3"/>
      </w:pPr>
      <w:bookmarkStart w:id="34" w:name="_Toc19007976"/>
      <w:r w:rsidRPr="00CF2A9F">
        <w:lastRenderedPageBreak/>
        <w:t>Action: Victorians with cancer have timely access to optimal treatment</w:t>
      </w:r>
      <w:bookmarkEnd w:id="34"/>
    </w:p>
    <w:p w14:paraId="370C1D3A" w14:textId="48DB8264" w:rsidR="00E25B4F" w:rsidRDefault="00E25B4F" w:rsidP="00E25B4F">
      <w:pPr>
        <w:pStyle w:val="Heading4"/>
      </w:pPr>
      <w:r w:rsidRPr="00374FD0">
        <w:t>Outcome: Optimal diagnostics and treatment</w:t>
      </w:r>
    </w:p>
    <w:p w14:paraId="50D4AA9E" w14:textId="77777777" w:rsidR="00E25B4F" w:rsidRPr="0007466C" w:rsidRDefault="00E25B4F" w:rsidP="00E25B4F">
      <w:pPr>
        <w:pStyle w:val="Heading5"/>
      </w:pPr>
      <w:r w:rsidRPr="0007466C">
        <w:t xml:space="preserve">Key result: Increase adherence to optimal care pathways </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1848"/>
        <w:gridCol w:w="3539"/>
        <w:gridCol w:w="2268"/>
        <w:gridCol w:w="2126"/>
        <w:gridCol w:w="1848"/>
        <w:gridCol w:w="1554"/>
        <w:gridCol w:w="1276"/>
      </w:tblGrid>
      <w:tr w:rsidR="00E25B4F" w:rsidRPr="00885FE2" w14:paraId="26DD4F3D" w14:textId="77777777" w:rsidTr="00C1304E">
        <w:trPr>
          <w:trHeight w:val="621"/>
          <w:tblHeader/>
        </w:trPr>
        <w:tc>
          <w:tcPr>
            <w:tcW w:w="1848" w:type="dxa"/>
            <w:shd w:val="clear" w:color="auto" w:fill="EDCDCF"/>
          </w:tcPr>
          <w:p w14:paraId="786041AF" w14:textId="2487E970" w:rsidR="00E25B4F" w:rsidRPr="00E25B4F" w:rsidRDefault="00E25B4F" w:rsidP="00E25B4F">
            <w:pPr>
              <w:pStyle w:val="DHHStablecolhead"/>
            </w:pPr>
            <w:r w:rsidRPr="00E25B4F">
              <w:t>Measure #</w:t>
            </w:r>
          </w:p>
        </w:tc>
        <w:tc>
          <w:tcPr>
            <w:tcW w:w="3539" w:type="dxa"/>
            <w:shd w:val="clear" w:color="auto" w:fill="EDCDCF"/>
          </w:tcPr>
          <w:p w14:paraId="1FC4C612" w14:textId="0D133061" w:rsidR="00E25B4F" w:rsidRPr="00E25B4F" w:rsidRDefault="00E25B4F" w:rsidP="00E25B4F">
            <w:pPr>
              <w:pStyle w:val="DHHStablecolhead"/>
            </w:pPr>
            <w:r w:rsidRPr="00E25B4F">
              <w:t>Description</w:t>
            </w:r>
          </w:p>
        </w:tc>
        <w:tc>
          <w:tcPr>
            <w:tcW w:w="2268" w:type="dxa"/>
            <w:shd w:val="clear" w:color="auto" w:fill="EDCDCF"/>
          </w:tcPr>
          <w:p w14:paraId="5AEF5ECE" w14:textId="4290654C" w:rsidR="00E25B4F" w:rsidRPr="00E25B4F" w:rsidRDefault="00E25B4F" w:rsidP="00E25B4F">
            <w:pPr>
              <w:pStyle w:val="DHHStablecolhead"/>
            </w:pPr>
            <w:r w:rsidRPr="00E25B4F">
              <w:t>Unit of measure</w:t>
            </w:r>
          </w:p>
        </w:tc>
        <w:tc>
          <w:tcPr>
            <w:tcW w:w="2126" w:type="dxa"/>
            <w:shd w:val="clear" w:color="auto" w:fill="EDCDCF"/>
            <w:noWrap/>
          </w:tcPr>
          <w:p w14:paraId="388AF75E" w14:textId="77777777" w:rsidR="00E25B4F" w:rsidRPr="00E25B4F" w:rsidRDefault="00E25B4F" w:rsidP="00E25B4F">
            <w:pPr>
              <w:pStyle w:val="DHHStablecolhead"/>
            </w:pPr>
            <w:r w:rsidRPr="00E25B4F">
              <w:t>Baseline</w:t>
            </w:r>
          </w:p>
          <w:p w14:paraId="2C14DC81" w14:textId="4640940F" w:rsidR="00E25B4F" w:rsidRPr="00E25B4F" w:rsidRDefault="00E25B4F" w:rsidP="00E25B4F">
            <w:pPr>
              <w:pStyle w:val="DHHStablecolhead"/>
            </w:pPr>
            <w:r w:rsidRPr="00E25B4F">
              <w:t>(year)</w:t>
            </w:r>
          </w:p>
        </w:tc>
        <w:tc>
          <w:tcPr>
            <w:tcW w:w="1848" w:type="dxa"/>
            <w:shd w:val="clear" w:color="auto" w:fill="EDCDCF"/>
            <w:noWrap/>
          </w:tcPr>
          <w:p w14:paraId="367CE528" w14:textId="77777777" w:rsidR="00E25B4F" w:rsidRPr="00E25B4F" w:rsidRDefault="00E25B4F" w:rsidP="00E25B4F">
            <w:pPr>
              <w:pStyle w:val="DHHStablecolhead"/>
            </w:pPr>
            <w:r w:rsidRPr="00E25B4F">
              <w:t>Most recent</w:t>
            </w:r>
          </w:p>
          <w:p w14:paraId="375C0845" w14:textId="707003F9" w:rsidR="00E25B4F" w:rsidRPr="00E25B4F" w:rsidRDefault="00E25B4F" w:rsidP="00E25B4F">
            <w:pPr>
              <w:pStyle w:val="DHHStablecolhead"/>
            </w:pPr>
            <w:r w:rsidRPr="00E25B4F">
              <w:t>(year)</w:t>
            </w:r>
          </w:p>
        </w:tc>
        <w:tc>
          <w:tcPr>
            <w:tcW w:w="1554" w:type="dxa"/>
            <w:shd w:val="clear" w:color="auto" w:fill="EDCDCF"/>
            <w:noWrap/>
          </w:tcPr>
          <w:p w14:paraId="60B61CE0" w14:textId="14555C7F" w:rsidR="00E25B4F" w:rsidRPr="00E25B4F" w:rsidRDefault="00E25B4F" w:rsidP="00E25B4F">
            <w:pPr>
              <w:pStyle w:val="DHHStablecolhead"/>
            </w:pPr>
            <w:r w:rsidRPr="00E25B4F">
              <w:t>Target</w:t>
            </w:r>
          </w:p>
        </w:tc>
        <w:tc>
          <w:tcPr>
            <w:tcW w:w="1276" w:type="dxa"/>
            <w:shd w:val="clear" w:color="auto" w:fill="EDCDCF"/>
          </w:tcPr>
          <w:p w14:paraId="457EA719" w14:textId="29CA437D" w:rsidR="00E25B4F" w:rsidRPr="00E25B4F" w:rsidRDefault="00E25B4F" w:rsidP="00E25B4F">
            <w:pPr>
              <w:pStyle w:val="DHHStablecolhead"/>
            </w:pPr>
            <w:r w:rsidRPr="00E25B4F">
              <w:t>Trend</w:t>
            </w:r>
          </w:p>
        </w:tc>
      </w:tr>
      <w:tr w:rsidR="0064412C" w:rsidRPr="00885FE2" w14:paraId="3BE2E811" w14:textId="77777777" w:rsidTr="00C1304E">
        <w:trPr>
          <w:trHeight w:val="621"/>
        </w:trPr>
        <w:tc>
          <w:tcPr>
            <w:tcW w:w="1848" w:type="dxa"/>
          </w:tcPr>
          <w:p w14:paraId="51793B64" w14:textId="6E384A72" w:rsidR="0064412C" w:rsidRPr="00885FE2" w:rsidRDefault="009D1534" w:rsidP="00C1114C">
            <w:pPr>
              <w:pStyle w:val="DHHStabletext"/>
            </w:pPr>
            <w:hyperlink w:anchor="_Measure_12.1_–" w:history="1">
              <w:r w:rsidR="0064412C" w:rsidRPr="000760F7">
                <w:rPr>
                  <w:rStyle w:val="Hyperlink"/>
                </w:rPr>
                <w:t>12.1</w:t>
              </w:r>
            </w:hyperlink>
          </w:p>
        </w:tc>
        <w:tc>
          <w:tcPr>
            <w:tcW w:w="3539" w:type="dxa"/>
          </w:tcPr>
          <w:p w14:paraId="32E83CB4" w14:textId="1AD1D0D2" w:rsidR="0064412C" w:rsidRPr="00885FE2" w:rsidRDefault="0064412C" w:rsidP="00C1114C">
            <w:pPr>
              <w:pStyle w:val="DHHStabletext"/>
            </w:pPr>
            <w:r w:rsidRPr="00686AA3">
              <w:t>Me</w:t>
            </w:r>
            <w:r>
              <w:t>dian</w:t>
            </w:r>
            <w:r w:rsidRPr="00686AA3">
              <w:t xml:space="preserve"> days from diagnosis to start of primary </w:t>
            </w:r>
            <w:r>
              <w:t xml:space="preserve">curative </w:t>
            </w:r>
            <w:r w:rsidRPr="00686AA3">
              <w:t>treatment</w:t>
            </w:r>
          </w:p>
        </w:tc>
        <w:tc>
          <w:tcPr>
            <w:tcW w:w="2268" w:type="dxa"/>
          </w:tcPr>
          <w:p w14:paraId="179B2BE2" w14:textId="320575DA" w:rsidR="0064412C" w:rsidRDefault="0064412C" w:rsidP="00C1114C">
            <w:pPr>
              <w:pStyle w:val="DHHStabletext"/>
            </w:pPr>
            <w:r w:rsidRPr="006636EE">
              <w:t>Number</w:t>
            </w:r>
            <w:r>
              <w:t xml:space="preserve"> </w:t>
            </w:r>
          </w:p>
          <w:p w14:paraId="126D82E9" w14:textId="0E12E0DA" w:rsidR="0064412C" w:rsidRPr="006636EE" w:rsidRDefault="0064412C" w:rsidP="00C1114C">
            <w:pPr>
              <w:pStyle w:val="DHHStabletext"/>
            </w:pPr>
            <w:r>
              <w:t>(overall)</w:t>
            </w:r>
          </w:p>
        </w:tc>
        <w:tc>
          <w:tcPr>
            <w:tcW w:w="2126" w:type="dxa"/>
            <w:noWrap/>
          </w:tcPr>
          <w:p w14:paraId="7DBBE42C" w14:textId="23FCF9C2" w:rsidR="0064412C" w:rsidRDefault="0064412C" w:rsidP="00C1114C">
            <w:pPr>
              <w:pStyle w:val="DHHStabletext"/>
            </w:pPr>
            <w:r>
              <w:t>2</w:t>
            </w:r>
            <w:r w:rsidR="007841D2">
              <w:t>1</w:t>
            </w:r>
          </w:p>
          <w:p w14:paraId="0E43DCFE" w14:textId="1053E66F" w:rsidR="0064412C" w:rsidRPr="006307A0" w:rsidRDefault="0064412C" w:rsidP="00C1114C">
            <w:pPr>
              <w:pStyle w:val="DHHStabletext"/>
            </w:pPr>
            <w:r w:rsidRPr="006307A0">
              <w:t>(2014)</w:t>
            </w:r>
          </w:p>
        </w:tc>
        <w:tc>
          <w:tcPr>
            <w:tcW w:w="1848" w:type="dxa"/>
            <w:noWrap/>
          </w:tcPr>
          <w:p w14:paraId="06EB62CD" w14:textId="3FCC8666" w:rsidR="0064412C" w:rsidRDefault="0064412C" w:rsidP="00C1114C">
            <w:pPr>
              <w:pStyle w:val="DHHStabletext"/>
            </w:pPr>
            <w:r>
              <w:t>22</w:t>
            </w:r>
          </w:p>
          <w:p w14:paraId="5C81C687" w14:textId="0348477E" w:rsidR="0064412C" w:rsidRPr="006307A0" w:rsidRDefault="0064412C" w:rsidP="00C1114C">
            <w:pPr>
              <w:pStyle w:val="DHHStabletext"/>
            </w:pPr>
            <w:r>
              <w:t>(2016)</w:t>
            </w:r>
          </w:p>
        </w:tc>
        <w:tc>
          <w:tcPr>
            <w:tcW w:w="1554" w:type="dxa"/>
            <w:noWrap/>
          </w:tcPr>
          <w:p w14:paraId="79AA031B" w14:textId="651A1C9D" w:rsidR="0064412C" w:rsidRPr="00885FE2" w:rsidRDefault="0064412C" w:rsidP="00C1114C">
            <w:pPr>
              <w:pStyle w:val="DHHStabletext"/>
            </w:pPr>
            <w:r>
              <w:t>N/S</w:t>
            </w:r>
          </w:p>
        </w:tc>
        <w:tc>
          <w:tcPr>
            <w:tcW w:w="1276" w:type="dxa"/>
          </w:tcPr>
          <w:p w14:paraId="0A460964" w14:textId="73BC1020" w:rsidR="0064412C" w:rsidRPr="00885FE2" w:rsidRDefault="00CF3B53" w:rsidP="00C1114C">
            <w:pPr>
              <w:pStyle w:val="DHHStabletext"/>
            </w:pPr>
            <w:r w:rsidRPr="00AD1B27">
              <w:t>■</w:t>
            </w:r>
            <w:r>
              <w:t xml:space="preserve"> </w:t>
            </w:r>
            <w:r>
              <w:br/>
              <w:t>No change</w:t>
            </w:r>
          </w:p>
        </w:tc>
      </w:tr>
      <w:tr w:rsidR="0064412C" w:rsidRPr="00885FE2" w14:paraId="7641F058" w14:textId="77777777" w:rsidTr="00C1304E">
        <w:trPr>
          <w:trHeight w:val="621"/>
        </w:trPr>
        <w:tc>
          <w:tcPr>
            <w:tcW w:w="1848" w:type="dxa"/>
          </w:tcPr>
          <w:p w14:paraId="0AEDAA7F" w14:textId="5A1D12B1" w:rsidR="0064412C" w:rsidRPr="00885FE2" w:rsidRDefault="009D1534" w:rsidP="00C1114C">
            <w:pPr>
              <w:pStyle w:val="DHHStabletext"/>
            </w:pPr>
            <w:hyperlink w:anchor="_Measure_12.2_–" w:history="1">
              <w:r w:rsidR="0064412C" w:rsidRPr="000760F7">
                <w:rPr>
                  <w:rStyle w:val="Hyperlink"/>
                </w:rPr>
                <w:t>12.2</w:t>
              </w:r>
            </w:hyperlink>
          </w:p>
        </w:tc>
        <w:tc>
          <w:tcPr>
            <w:tcW w:w="3539" w:type="dxa"/>
          </w:tcPr>
          <w:p w14:paraId="5AB28734" w14:textId="00456C19" w:rsidR="0064412C" w:rsidRPr="00885FE2" w:rsidRDefault="0064412C" w:rsidP="00C1114C">
            <w:pPr>
              <w:pStyle w:val="DHHStabletext"/>
            </w:pPr>
            <w:r w:rsidRPr="00686AA3">
              <w:t>Proportion of patients receiving</w:t>
            </w:r>
            <w:r>
              <w:t xml:space="preserve"> </w:t>
            </w:r>
            <w:r w:rsidRPr="00686AA3">
              <w:t xml:space="preserve">PET prior to primary </w:t>
            </w:r>
            <w:r>
              <w:t>treatment</w:t>
            </w:r>
            <w:r w:rsidRPr="00686AA3">
              <w:t xml:space="preserve"> where appropriate</w:t>
            </w:r>
          </w:p>
        </w:tc>
        <w:tc>
          <w:tcPr>
            <w:tcW w:w="2268" w:type="dxa"/>
          </w:tcPr>
          <w:p w14:paraId="0DF9B128" w14:textId="77777777" w:rsidR="0064412C" w:rsidRPr="00885FE2" w:rsidRDefault="0064412C" w:rsidP="00C1114C">
            <w:pPr>
              <w:pStyle w:val="DHHStabletext"/>
            </w:pPr>
            <w:r>
              <w:t>Per cent</w:t>
            </w:r>
          </w:p>
        </w:tc>
        <w:tc>
          <w:tcPr>
            <w:tcW w:w="2126" w:type="dxa"/>
            <w:noWrap/>
          </w:tcPr>
          <w:p w14:paraId="2111A6A3" w14:textId="73BB8ABA" w:rsidR="0064412C" w:rsidRPr="005F4D6D" w:rsidRDefault="0064412C" w:rsidP="00C1114C">
            <w:pPr>
              <w:pStyle w:val="DHHStabletext"/>
              <w:rPr>
                <w:color w:val="87189D"/>
              </w:rPr>
            </w:pPr>
            <w:r w:rsidRPr="005F4D6D">
              <w:rPr>
                <w:color w:val="87189D"/>
              </w:rPr>
              <w:t>No data currently available (refer to Appendix 1)</w:t>
            </w:r>
          </w:p>
        </w:tc>
        <w:tc>
          <w:tcPr>
            <w:tcW w:w="1848" w:type="dxa"/>
          </w:tcPr>
          <w:p w14:paraId="185B71A0" w14:textId="1516558C" w:rsidR="0064412C" w:rsidRPr="005F4D6D" w:rsidRDefault="0064412C" w:rsidP="00C1114C">
            <w:pPr>
              <w:pStyle w:val="DHHStabletext"/>
              <w:rPr>
                <w:color w:val="87189D"/>
              </w:rPr>
            </w:pPr>
            <w:r w:rsidRPr="005F4D6D">
              <w:rPr>
                <w:color w:val="87189D"/>
              </w:rPr>
              <w:t>No data currently available (refer to Appendix 1)</w:t>
            </w:r>
          </w:p>
        </w:tc>
        <w:tc>
          <w:tcPr>
            <w:tcW w:w="1554" w:type="dxa"/>
            <w:noWrap/>
          </w:tcPr>
          <w:p w14:paraId="0722B61C" w14:textId="77777777" w:rsidR="0064412C" w:rsidRPr="00885FE2" w:rsidRDefault="0064412C" w:rsidP="00C1114C">
            <w:pPr>
              <w:pStyle w:val="DHHStabletext"/>
            </w:pPr>
            <w:r>
              <w:t>N/S</w:t>
            </w:r>
          </w:p>
        </w:tc>
        <w:tc>
          <w:tcPr>
            <w:tcW w:w="1276" w:type="dxa"/>
          </w:tcPr>
          <w:p w14:paraId="59B0FF60" w14:textId="77777777" w:rsidR="0064412C" w:rsidRPr="00885FE2" w:rsidRDefault="0064412C" w:rsidP="00C1114C">
            <w:pPr>
              <w:pStyle w:val="DHHStabletext"/>
            </w:pPr>
            <w:r>
              <w:t>N/A</w:t>
            </w:r>
          </w:p>
        </w:tc>
      </w:tr>
      <w:tr w:rsidR="0064412C" w:rsidRPr="00885FE2" w14:paraId="02F72494" w14:textId="77777777" w:rsidTr="00C1304E">
        <w:trPr>
          <w:trHeight w:val="621"/>
        </w:trPr>
        <w:tc>
          <w:tcPr>
            <w:tcW w:w="1848" w:type="dxa"/>
          </w:tcPr>
          <w:p w14:paraId="5AAE6471" w14:textId="13B5F823" w:rsidR="0064412C" w:rsidRPr="00885FE2" w:rsidRDefault="009D1534" w:rsidP="00C1114C">
            <w:pPr>
              <w:pStyle w:val="DHHStabletext"/>
            </w:pPr>
            <w:hyperlink w:anchor="_Measure_12.3_–" w:history="1">
              <w:r w:rsidR="0064412C" w:rsidRPr="000760F7">
                <w:rPr>
                  <w:rStyle w:val="Hyperlink"/>
                </w:rPr>
                <w:t>12.3</w:t>
              </w:r>
            </w:hyperlink>
          </w:p>
        </w:tc>
        <w:tc>
          <w:tcPr>
            <w:tcW w:w="3539" w:type="dxa"/>
          </w:tcPr>
          <w:p w14:paraId="6F502248" w14:textId="482530D1" w:rsidR="0064412C" w:rsidRPr="00885FE2" w:rsidRDefault="0064412C" w:rsidP="00C1114C">
            <w:pPr>
              <w:pStyle w:val="DHHStabletext"/>
            </w:pPr>
            <w:r w:rsidRPr="00686AA3">
              <w:t xml:space="preserve">Proportion of patients receiving molecular diagnostics prior to primary </w:t>
            </w:r>
            <w:r>
              <w:t>treatment</w:t>
            </w:r>
            <w:r w:rsidRPr="00686AA3">
              <w:t xml:space="preserve"> where appropriate</w:t>
            </w:r>
          </w:p>
        </w:tc>
        <w:tc>
          <w:tcPr>
            <w:tcW w:w="2268" w:type="dxa"/>
          </w:tcPr>
          <w:p w14:paraId="70401F30" w14:textId="77777777" w:rsidR="0064412C" w:rsidRPr="00885FE2" w:rsidRDefault="0064412C" w:rsidP="00C1114C">
            <w:pPr>
              <w:pStyle w:val="DHHStabletext"/>
            </w:pPr>
            <w:r>
              <w:t>Per cent</w:t>
            </w:r>
          </w:p>
        </w:tc>
        <w:tc>
          <w:tcPr>
            <w:tcW w:w="2126" w:type="dxa"/>
            <w:noWrap/>
          </w:tcPr>
          <w:p w14:paraId="15F99C0D" w14:textId="4F08EB19" w:rsidR="0064412C" w:rsidRPr="005F4D6D" w:rsidRDefault="0064412C" w:rsidP="00C1114C">
            <w:pPr>
              <w:pStyle w:val="DHHStabletext"/>
              <w:rPr>
                <w:color w:val="87189D"/>
              </w:rPr>
            </w:pPr>
            <w:r w:rsidRPr="005F4D6D">
              <w:rPr>
                <w:color w:val="87189D"/>
              </w:rPr>
              <w:t>No data available (refer to Appendix 1)</w:t>
            </w:r>
          </w:p>
        </w:tc>
        <w:tc>
          <w:tcPr>
            <w:tcW w:w="1848" w:type="dxa"/>
          </w:tcPr>
          <w:p w14:paraId="06B83A79" w14:textId="6BDB4EC4" w:rsidR="0064412C" w:rsidRPr="005F4D6D" w:rsidRDefault="0064412C" w:rsidP="00C1114C">
            <w:pPr>
              <w:pStyle w:val="DHHStabletext"/>
              <w:rPr>
                <w:color w:val="87189D"/>
              </w:rPr>
            </w:pPr>
            <w:r w:rsidRPr="005F4D6D">
              <w:rPr>
                <w:color w:val="87189D"/>
              </w:rPr>
              <w:t>No data currently available (refer to Appendix 1)</w:t>
            </w:r>
          </w:p>
        </w:tc>
        <w:tc>
          <w:tcPr>
            <w:tcW w:w="1554" w:type="dxa"/>
            <w:noWrap/>
          </w:tcPr>
          <w:p w14:paraId="64A7E70E" w14:textId="77777777" w:rsidR="0064412C" w:rsidRPr="00885FE2" w:rsidRDefault="0064412C" w:rsidP="00C1114C">
            <w:pPr>
              <w:pStyle w:val="DHHStabletext"/>
            </w:pPr>
            <w:r>
              <w:t>N/S</w:t>
            </w:r>
          </w:p>
        </w:tc>
        <w:tc>
          <w:tcPr>
            <w:tcW w:w="1276" w:type="dxa"/>
          </w:tcPr>
          <w:p w14:paraId="1857FFA5" w14:textId="77777777" w:rsidR="0064412C" w:rsidRPr="00885FE2" w:rsidRDefault="0064412C" w:rsidP="00C1114C">
            <w:pPr>
              <w:pStyle w:val="DHHStabletext"/>
            </w:pPr>
            <w:r>
              <w:t>N/A</w:t>
            </w:r>
          </w:p>
        </w:tc>
      </w:tr>
      <w:tr w:rsidR="0064412C" w:rsidRPr="00885FE2" w14:paraId="5B0563D0" w14:textId="77777777" w:rsidTr="00C1304E">
        <w:trPr>
          <w:trHeight w:val="621"/>
        </w:trPr>
        <w:tc>
          <w:tcPr>
            <w:tcW w:w="1848" w:type="dxa"/>
          </w:tcPr>
          <w:p w14:paraId="5E42E7C1" w14:textId="52B8CC6B" w:rsidR="0064412C" w:rsidRPr="00885FE2" w:rsidRDefault="009D1534" w:rsidP="00C1114C">
            <w:pPr>
              <w:pStyle w:val="DHHStabletext"/>
            </w:pPr>
            <w:hyperlink w:anchor="_Measure_12.4_–" w:history="1">
              <w:r w:rsidR="0064412C" w:rsidRPr="000760F7">
                <w:rPr>
                  <w:rStyle w:val="Hyperlink"/>
                </w:rPr>
                <w:t>12.4</w:t>
              </w:r>
            </w:hyperlink>
          </w:p>
        </w:tc>
        <w:tc>
          <w:tcPr>
            <w:tcW w:w="3539" w:type="dxa"/>
          </w:tcPr>
          <w:p w14:paraId="47C1B47A" w14:textId="5E75FC36" w:rsidR="0064412C" w:rsidRPr="00E25847" w:rsidRDefault="0064412C" w:rsidP="00C1114C">
            <w:pPr>
              <w:pStyle w:val="DHHStabletext"/>
              <w:rPr>
                <w:highlight w:val="yellow"/>
              </w:rPr>
            </w:pPr>
            <w:r w:rsidRPr="00E25847">
              <w:t>Proportion of patients with non-metastatic lung, breast, rectal and oesophageal cancers receiving radical radiotherapy as part of their primary treatment</w:t>
            </w:r>
          </w:p>
        </w:tc>
        <w:tc>
          <w:tcPr>
            <w:tcW w:w="2268" w:type="dxa"/>
          </w:tcPr>
          <w:p w14:paraId="6D35833C" w14:textId="77777777" w:rsidR="0064412C" w:rsidRPr="00885FE2" w:rsidRDefault="0064412C" w:rsidP="00C1114C">
            <w:pPr>
              <w:pStyle w:val="DHHStabletext"/>
            </w:pPr>
            <w:r>
              <w:t>Per cent</w:t>
            </w:r>
          </w:p>
        </w:tc>
        <w:tc>
          <w:tcPr>
            <w:tcW w:w="2126" w:type="dxa"/>
            <w:noWrap/>
          </w:tcPr>
          <w:p w14:paraId="20BA0132" w14:textId="566F449A" w:rsidR="0064412C" w:rsidRDefault="0064412C" w:rsidP="00C1114C">
            <w:pPr>
              <w:pStyle w:val="DHHStabletext"/>
            </w:pPr>
            <w:r>
              <w:t>20.4 [lung]</w:t>
            </w:r>
          </w:p>
          <w:p w14:paraId="05A7AE9A" w14:textId="5F0C0423" w:rsidR="0064412C" w:rsidRDefault="0064412C" w:rsidP="00C1114C">
            <w:pPr>
              <w:pStyle w:val="DHHStabletext"/>
            </w:pPr>
            <w:r>
              <w:t>63.6 [breast]</w:t>
            </w:r>
          </w:p>
          <w:p w14:paraId="61492BF8" w14:textId="62A63231" w:rsidR="0064412C" w:rsidRDefault="0064412C" w:rsidP="00C1114C">
            <w:pPr>
              <w:pStyle w:val="DHHStabletext"/>
            </w:pPr>
            <w:r>
              <w:t>36.2 [colorectal]</w:t>
            </w:r>
          </w:p>
          <w:p w14:paraId="1CE05F17" w14:textId="12ADFDF1" w:rsidR="0064412C" w:rsidRDefault="0064412C" w:rsidP="00C1114C">
            <w:pPr>
              <w:pStyle w:val="DHHStabletext"/>
            </w:pPr>
            <w:r>
              <w:t>32.5 [oesophageal]</w:t>
            </w:r>
          </w:p>
          <w:p w14:paraId="38F8899C" w14:textId="6AF6F00A" w:rsidR="0064412C" w:rsidRPr="00A015E8" w:rsidRDefault="0064412C" w:rsidP="00C1114C">
            <w:pPr>
              <w:pStyle w:val="DHHStabletext"/>
            </w:pPr>
            <w:r w:rsidRPr="00A015E8">
              <w:t>(2014)</w:t>
            </w:r>
            <w:r>
              <w:t xml:space="preserve"> </w:t>
            </w:r>
          </w:p>
        </w:tc>
        <w:tc>
          <w:tcPr>
            <w:tcW w:w="1848" w:type="dxa"/>
            <w:noWrap/>
          </w:tcPr>
          <w:p w14:paraId="6588549E" w14:textId="35FE26ED" w:rsidR="0064412C" w:rsidRDefault="0064412C" w:rsidP="00C1114C">
            <w:pPr>
              <w:pStyle w:val="DHHStabletext"/>
            </w:pPr>
            <w:r>
              <w:t>23.</w:t>
            </w:r>
            <w:r w:rsidR="0094432A">
              <w:t>3</w:t>
            </w:r>
            <w:r>
              <w:t xml:space="preserve"> [lung]</w:t>
            </w:r>
          </w:p>
          <w:p w14:paraId="59D447A2" w14:textId="23A9B2CC" w:rsidR="0064412C" w:rsidRDefault="0064412C" w:rsidP="00C1114C">
            <w:pPr>
              <w:pStyle w:val="DHHStabletext"/>
            </w:pPr>
            <w:r>
              <w:t>64.6 [breast]</w:t>
            </w:r>
          </w:p>
          <w:p w14:paraId="0863AD23" w14:textId="219C847E" w:rsidR="0064412C" w:rsidRDefault="0064412C" w:rsidP="00C1114C">
            <w:pPr>
              <w:pStyle w:val="DHHStabletext"/>
            </w:pPr>
            <w:r>
              <w:t>39.7 [colorectal]</w:t>
            </w:r>
          </w:p>
          <w:p w14:paraId="0C93ABB8" w14:textId="01DCC424" w:rsidR="0064412C" w:rsidRDefault="0064412C" w:rsidP="00C1114C">
            <w:pPr>
              <w:pStyle w:val="DHHStabletext"/>
            </w:pPr>
            <w:r>
              <w:t>3</w:t>
            </w:r>
            <w:r w:rsidR="00647D0E">
              <w:t>7</w:t>
            </w:r>
            <w:r>
              <w:t>.</w:t>
            </w:r>
            <w:r w:rsidR="00647D0E">
              <w:t>0</w:t>
            </w:r>
            <w:r>
              <w:t xml:space="preserve"> [oesophageal]</w:t>
            </w:r>
          </w:p>
          <w:p w14:paraId="31C40668" w14:textId="51813984" w:rsidR="0064412C" w:rsidRPr="00A015E8" w:rsidRDefault="0064412C" w:rsidP="00C1114C">
            <w:pPr>
              <w:pStyle w:val="DHHStabletext"/>
            </w:pPr>
            <w:r w:rsidRPr="00A015E8">
              <w:t>(2016)</w:t>
            </w:r>
          </w:p>
        </w:tc>
        <w:tc>
          <w:tcPr>
            <w:tcW w:w="1554" w:type="dxa"/>
            <w:noWrap/>
          </w:tcPr>
          <w:p w14:paraId="48368A5D" w14:textId="0757D13C" w:rsidR="0064412C" w:rsidRPr="00885FE2" w:rsidRDefault="0064412C" w:rsidP="00C1114C">
            <w:pPr>
              <w:pStyle w:val="DHHStabletext"/>
            </w:pPr>
            <w:r>
              <w:t>N/S</w:t>
            </w:r>
          </w:p>
        </w:tc>
        <w:tc>
          <w:tcPr>
            <w:tcW w:w="1276" w:type="dxa"/>
          </w:tcPr>
          <w:p w14:paraId="6F66EFAB" w14:textId="28FF7D7E" w:rsidR="0064412C" w:rsidRPr="00885FE2" w:rsidRDefault="0034479E" w:rsidP="00C1114C">
            <w:pPr>
              <w:pStyle w:val="DHHStabletext"/>
            </w:pPr>
            <w:r w:rsidRPr="0010585A">
              <w:t>▲</w:t>
            </w:r>
            <w:r>
              <w:br/>
              <w:t>Upward</w:t>
            </w:r>
          </w:p>
        </w:tc>
      </w:tr>
      <w:tr w:rsidR="0064412C" w:rsidRPr="00885FE2" w14:paraId="48500949" w14:textId="77777777" w:rsidTr="00C1304E">
        <w:trPr>
          <w:trHeight w:val="621"/>
        </w:trPr>
        <w:tc>
          <w:tcPr>
            <w:tcW w:w="1848" w:type="dxa"/>
          </w:tcPr>
          <w:p w14:paraId="78D30397" w14:textId="78FD1906" w:rsidR="0064412C" w:rsidRPr="00885FE2" w:rsidRDefault="009D1534" w:rsidP="00C1114C">
            <w:pPr>
              <w:pStyle w:val="DHHStabletext"/>
            </w:pPr>
            <w:hyperlink w:anchor="_Measure_12.5_–" w:history="1">
              <w:r w:rsidR="0064412C" w:rsidRPr="000760F7">
                <w:rPr>
                  <w:rStyle w:val="Hyperlink"/>
                </w:rPr>
                <w:t>12.5</w:t>
              </w:r>
            </w:hyperlink>
          </w:p>
        </w:tc>
        <w:tc>
          <w:tcPr>
            <w:tcW w:w="3539" w:type="dxa"/>
          </w:tcPr>
          <w:p w14:paraId="523DC0AC" w14:textId="615683DF" w:rsidR="0064412C" w:rsidRPr="00885FE2" w:rsidRDefault="0064412C" w:rsidP="00C1114C">
            <w:pPr>
              <w:pStyle w:val="DHHStabletext"/>
            </w:pPr>
            <w:r w:rsidRPr="00686AA3">
              <w:t>Proportion of patients receiving systemic therapy within recommended timelines and where appropriate</w:t>
            </w:r>
          </w:p>
        </w:tc>
        <w:tc>
          <w:tcPr>
            <w:tcW w:w="2268" w:type="dxa"/>
          </w:tcPr>
          <w:p w14:paraId="26157A66" w14:textId="77777777" w:rsidR="0064412C" w:rsidRPr="00885FE2" w:rsidRDefault="0064412C" w:rsidP="00C1114C">
            <w:pPr>
              <w:pStyle w:val="DHHStabletext"/>
            </w:pPr>
            <w:r>
              <w:t>Per cent</w:t>
            </w:r>
          </w:p>
        </w:tc>
        <w:tc>
          <w:tcPr>
            <w:tcW w:w="2126" w:type="dxa"/>
            <w:noWrap/>
          </w:tcPr>
          <w:p w14:paraId="7910F563" w14:textId="77777777" w:rsidR="0064412C" w:rsidRPr="00922344" w:rsidRDefault="0064412C" w:rsidP="00C1114C">
            <w:pPr>
              <w:pStyle w:val="DHHStabletext"/>
            </w:pPr>
            <w:r w:rsidRPr="00922344">
              <w:t>41.9</w:t>
            </w:r>
          </w:p>
          <w:p w14:paraId="210574D2" w14:textId="40EF18C3" w:rsidR="0064412C" w:rsidRPr="00922344" w:rsidRDefault="0064412C" w:rsidP="00C1114C">
            <w:pPr>
              <w:pStyle w:val="DHHStabletext"/>
            </w:pPr>
            <w:r w:rsidRPr="00922344">
              <w:t>(2014)</w:t>
            </w:r>
          </w:p>
        </w:tc>
        <w:tc>
          <w:tcPr>
            <w:tcW w:w="1848" w:type="dxa"/>
            <w:noWrap/>
          </w:tcPr>
          <w:p w14:paraId="02B1CD11" w14:textId="77777777" w:rsidR="0064412C" w:rsidRPr="00922344" w:rsidRDefault="0064412C" w:rsidP="00C1114C">
            <w:pPr>
              <w:pStyle w:val="DHHStabletext"/>
            </w:pPr>
            <w:r w:rsidRPr="00922344">
              <w:t>42.2</w:t>
            </w:r>
          </w:p>
          <w:p w14:paraId="695F66FE" w14:textId="7A14B25B" w:rsidR="0064412C" w:rsidRPr="00922344" w:rsidRDefault="0064412C" w:rsidP="00C1114C">
            <w:pPr>
              <w:pStyle w:val="DHHStabletext"/>
            </w:pPr>
            <w:r w:rsidRPr="00922344">
              <w:t>(2016)</w:t>
            </w:r>
          </w:p>
        </w:tc>
        <w:tc>
          <w:tcPr>
            <w:tcW w:w="1554" w:type="dxa"/>
            <w:noWrap/>
          </w:tcPr>
          <w:p w14:paraId="0BFEFBCA" w14:textId="5CE755FF" w:rsidR="0064412C" w:rsidRPr="00885FE2" w:rsidRDefault="0064412C" w:rsidP="00C1114C">
            <w:pPr>
              <w:pStyle w:val="DHHStabletext"/>
            </w:pPr>
            <w:r>
              <w:t>N/S</w:t>
            </w:r>
          </w:p>
        </w:tc>
        <w:tc>
          <w:tcPr>
            <w:tcW w:w="1276" w:type="dxa"/>
          </w:tcPr>
          <w:p w14:paraId="500E1BDF" w14:textId="3949BC44" w:rsidR="0064412C" w:rsidRPr="00885FE2" w:rsidRDefault="00CF3B53" w:rsidP="00C1114C">
            <w:pPr>
              <w:pStyle w:val="DHHStabletext"/>
            </w:pPr>
            <w:r w:rsidRPr="00AD1B27">
              <w:t>■</w:t>
            </w:r>
            <w:r>
              <w:t xml:space="preserve"> </w:t>
            </w:r>
            <w:r>
              <w:br/>
              <w:t>No change</w:t>
            </w:r>
          </w:p>
        </w:tc>
      </w:tr>
      <w:tr w:rsidR="0064412C" w:rsidRPr="00885FE2" w14:paraId="5AC69F08" w14:textId="77777777" w:rsidTr="00C1304E">
        <w:trPr>
          <w:trHeight w:val="385"/>
        </w:trPr>
        <w:tc>
          <w:tcPr>
            <w:tcW w:w="1848" w:type="dxa"/>
            <w:vMerge w:val="restart"/>
          </w:tcPr>
          <w:p w14:paraId="4181161A" w14:textId="2528F502" w:rsidR="0064412C" w:rsidRPr="00885FE2" w:rsidRDefault="009D1534" w:rsidP="00C1114C">
            <w:pPr>
              <w:pStyle w:val="DHHStabletext"/>
            </w:pPr>
            <w:hyperlink w:anchor="_Measure_12.6_–" w:history="1">
              <w:r w:rsidR="0064412C" w:rsidRPr="000760F7">
                <w:rPr>
                  <w:rStyle w:val="Hyperlink"/>
                </w:rPr>
                <w:t>12.6</w:t>
              </w:r>
            </w:hyperlink>
          </w:p>
        </w:tc>
        <w:tc>
          <w:tcPr>
            <w:tcW w:w="3539" w:type="dxa"/>
            <w:vMerge w:val="restart"/>
          </w:tcPr>
          <w:p w14:paraId="1039C275" w14:textId="0CF83EEB" w:rsidR="0064412C" w:rsidRPr="003508C9" w:rsidRDefault="0064412C" w:rsidP="00C1114C">
            <w:pPr>
              <w:pStyle w:val="DHHStabletext"/>
            </w:pPr>
            <w:r w:rsidRPr="003508C9">
              <w:t>Proportion of cancer</w:t>
            </w:r>
            <w:r>
              <w:t>-</w:t>
            </w:r>
            <w:r w:rsidRPr="003508C9">
              <w:t>related pancreatectomies</w:t>
            </w:r>
            <w:r>
              <w:t xml:space="preserve"> (P)</w:t>
            </w:r>
            <w:r w:rsidRPr="003508C9">
              <w:t xml:space="preserve"> and oesophagectomies </w:t>
            </w:r>
            <w:r>
              <w:t xml:space="preserve">(O) </w:t>
            </w:r>
            <w:r w:rsidRPr="003508C9">
              <w:t>taking place at appropriate volume facilities</w:t>
            </w:r>
          </w:p>
        </w:tc>
        <w:tc>
          <w:tcPr>
            <w:tcW w:w="2268" w:type="dxa"/>
            <w:vMerge w:val="restart"/>
          </w:tcPr>
          <w:p w14:paraId="12E5C245" w14:textId="77777777" w:rsidR="0064412C" w:rsidRPr="00885FE2" w:rsidRDefault="0064412C" w:rsidP="00C1114C">
            <w:pPr>
              <w:pStyle w:val="DHHStabletext"/>
            </w:pPr>
            <w:r>
              <w:t>Per cent</w:t>
            </w:r>
          </w:p>
        </w:tc>
        <w:tc>
          <w:tcPr>
            <w:tcW w:w="2126" w:type="dxa"/>
            <w:noWrap/>
          </w:tcPr>
          <w:p w14:paraId="0538C099" w14:textId="77777777" w:rsidR="0064412C" w:rsidRPr="00870376" w:rsidRDefault="0064412C" w:rsidP="00C1114C">
            <w:pPr>
              <w:pStyle w:val="DHHStabletext"/>
              <w:rPr>
                <w:sz w:val="16"/>
                <w:szCs w:val="16"/>
              </w:rPr>
            </w:pPr>
            <w:r w:rsidRPr="00870376">
              <w:rPr>
                <w:sz w:val="16"/>
                <w:szCs w:val="16"/>
              </w:rPr>
              <w:t>P</w:t>
            </w:r>
          </w:p>
          <w:p w14:paraId="01ADDD2F" w14:textId="737C81F2" w:rsidR="0064412C" w:rsidRDefault="0064412C" w:rsidP="00C1114C">
            <w:pPr>
              <w:pStyle w:val="DHHStabletext"/>
              <w:rPr>
                <w:sz w:val="16"/>
                <w:szCs w:val="16"/>
              </w:rPr>
            </w:pPr>
            <w:r w:rsidRPr="00870376">
              <w:rPr>
                <w:sz w:val="16"/>
                <w:szCs w:val="16"/>
              </w:rPr>
              <w:t>91.7</w:t>
            </w:r>
          </w:p>
          <w:p w14:paraId="060B0468" w14:textId="77777777" w:rsidR="0064412C" w:rsidRPr="00870376" w:rsidRDefault="0064412C" w:rsidP="00C1114C">
            <w:pPr>
              <w:pStyle w:val="DHHStabletext"/>
              <w:rPr>
                <w:sz w:val="16"/>
                <w:szCs w:val="16"/>
              </w:rPr>
            </w:pPr>
            <w:r w:rsidRPr="00870376">
              <w:rPr>
                <w:sz w:val="16"/>
                <w:szCs w:val="16"/>
              </w:rPr>
              <w:t>O</w:t>
            </w:r>
          </w:p>
          <w:p w14:paraId="30A741B0" w14:textId="11BB0736" w:rsidR="0064412C" w:rsidRPr="00870376" w:rsidRDefault="0064412C" w:rsidP="00C1114C">
            <w:pPr>
              <w:pStyle w:val="DHHStabletext"/>
              <w:rPr>
                <w:sz w:val="16"/>
                <w:szCs w:val="16"/>
              </w:rPr>
            </w:pPr>
            <w:r w:rsidRPr="00870376">
              <w:rPr>
                <w:sz w:val="16"/>
                <w:szCs w:val="16"/>
              </w:rPr>
              <w:t>75</w:t>
            </w:r>
            <w:r w:rsidR="0094432A">
              <w:rPr>
                <w:sz w:val="16"/>
                <w:szCs w:val="16"/>
              </w:rPr>
              <w:t>.0</w:t>
            </w:r>
          </w:p>
        </w:tc>
        <w:tc>
          <w:tcPr>
            <w:tcW w:w="1848" w:type="dxa"/>
            <w:noWrap/>
          </w:tcPr>
          <w:p w14:paraId="1E8F14EE" w14:textId="77777777" w:rsidR="0064412C" w:rsidRDefault="0064412C" w:rsidP="00C1114C">
            <w:pPr>
              <w:pStyle w:val="DHHStabletext"/>
              <w:rPr>
                <w:sz w:val="16"/>
                <w:szCs w:val="16"/>
              </w:rPr>
            </w:pPr>
            <w:r>
              <w:rPr>
                <w:sz w:val="16"/>
                <w:szCs w:val="16"/>
              </w:rPr>
              <w:t>P</w:t>
            </w:r>
          </w:p>
          <w:p w14:paraId="1E92D98A" w14:textId="0A921B3D" w:rsidR="0064412C" w:rsidRDefault="0064412C" w:rsidP="00C1114C">
            <w:pPr>
              <w:pStyle w:val="DHHStabletext"/>
              <w:rPr>
                <w:sz w:val="16"/>
                <w:szCs w:val="16"/>
              </w:rPr>
            </w:pPr>
            <w:r>
              <w:rPr>
                <w:sz w:val="16"/>
                <w:szCs w:val="16"/>
              </w:rPr>
              <w:t>89.8</w:t>
            </w:r>
          </w:p>
          <w:p w14:paraId="381DE9AB" w14:textId="77777777" w:rsidR="0064412C" w:rsidRDefault="0064412C" w:rsidP="00C1114C">
            <w:pPr>
              <w:pStyle w:val="DHHStabletext"/>
              <w:rPr>
                <w:sz w:val="16"/>
                <w:szCs w:val="16"/>
              </w:rPr>
            </w:pPr>
            <w:r>
              <w:rPr>
                <w:sz w:val="16"/>
                <w:szCs w:val="16"/>
              </w:rPr>
              <w:t>O</w:t>
            </w:r>
          </w:p>
          <w:p w14:paraId="15EB9405" w14:textId="272A317E" w:rsidR="0064412C" w:rsidRPr="00A27588" w:rsidRDefault="0064412C" w:rsidP="00C1114C">
            <w:pPr>
              <w:pStyle w:val="DHHStabletext"/>
              <w:rPr>
                <w:sz w:val="16"/>
                <w:szCs w:val="16"/>
              </w:rPr>
            </w:pPr>
            <w:r>
              <w:rPr>
                <w:sz w:val="16"/>
                <w:szCs w:val="16"/>
              </w:rPr>
              <w:t>76.7</w:t>
            </w:r>
          </w:p>
        </w:tc>
        <w:tc>
          <w:tcPr>
            <w:tcW w:w="1554" w:type="dxa"/>
            <w:vMerge w:val="restart"/>
            <w:noWrap/>
          </w:tcPr>
          <w:p w14:paraId="099A42C3" w14:textId="6439C540" w:rsidR="0064412C" w:rsidRPr="00885FE2" w:rsidRDefault="0064412C" w:rsidP="00C1114C">
            <w:pPr>
              <w:pStyle w:val="DHHStabletext"/>
            </w:pPr>
            <w:r>
              <w:t>N/S</w:t>
            </w:r>
          </w:p>
        </w:tc>
        <w:tc>
          <w:tcPr>
            <w:tcW w:w="1276" w:type="dxa"/>
            <w:vMerge w:val="restart"/>
          </w:tcPr>
          <w:p w14:paraId="7DFFD621" w14:textId="4FD15B07" w:rsidR="0064412C" w:rsidRPr="00885FE2" w:rsidRDefault="00B267F0" w:rsidP="00C1114C">
            <w:pPr>
              <w:pStyle w:val="DHHStabletext"/>
            </w:pPr>
            <w:r w:rsidRPr="00C1114C">
              <w:t>▼</w:t>
            </w:r>
            <w:r>
              <w:br/>
            </w:r>
            <w:r w:rsidRPr="00C1114C">
              <w:t>Downward</w:t>
            </w:r>
          </w:p>
        </w:tc>
      </w:tr>
      <w:tr w:rsidR="0064412C" w:rsidRPr="00885FE2" w14:paraId="2BE208D4" w14:textId="77777777" w:rsidTr="00C1304E">
        <w:trPr>
          <w:trHeight w:val="142"/>
        </w:trPr>
        <w:tc>
          <w:tcPr>
            <w:tcW w:w="1848" w:type="dxa"/>
            <w:vMerge/>
          </w:tcPr>
          <w:p w14:paraId="35782612" w14:textId="77777777" w:rsidR="0064412C" w:rsidRDefault="0064412C" w:rsidP="00C1114C">
            <w:pPr>
              <w:pStyle w:val="DHHStabletext"/>
            </w:pPr>
          </w:p>
        </w:tc>
        <w:tc>
          <w:tcPr>
            <w:tcW w:w="3539" w:type="dxa"/>
            <w:vMerge/>
          </w:tcPr>
          <w:p w14:paraId="5D595BE0" w14:textId="77777777" w:rsidR="0064412C" w:rsidRPr="003508C9" w:rsidRDefault="0064412C" w:rsidP="00C1114C">
            <w:pPr>
              <w:pStyle w:val="DHHStabletext"/>
            </w:pPr>
          </w:p>
        </w:tc>
        <w:tc>
          <w:tcPr>
            <w:tcW w:w="2268" w:type="dxa"/>
            <w:vMerge/>
          </w:tcPr>
          <w:p w14:paraId="48268A53" w14:textId="77777777" w:rsidR="0064412C" w:rsidRDefault="0064412C" w:rsidP="00C1114C">
            <w:pPr>
              <w:pStyle w:val="DHHStabletext"/>
            </w:pPr>
          </w:p>
        </w:tc>
        <w:tc>
          <w:tcPr>
            <w:tcW w:w="2126" w:type="dxa"/>
            <w:noWrap/>
          </w:tcPr>
          <w:p w14:paraId="099565DA" w14:textId="231C75E3" w:rsidR="0064412C" w:rsidRPr="00870376" w:rsidRDefault="0064412C" w:rsidP="00C1114C">
            <w:pPr>
              <w:pStyle w:val="DHHStabletext"/>
              <w:rPr>
                <w:sz w:val="16"/>
                <w:szCs w:val="16"/>
              </w:rPr>
            </w:pPr>
            <w:r>
              <w:rPr>
                <w:sz w:val="16"/>
                <w:szCs w:val="16"/>
              </w:rPr>
              <w:t>2013–14</w:t>
            </w:r>
          </w:p>
        </w:tc>
        <w:tc>
          <w:tcPr>
            <w:tcW w:w="1848" w:type="dxa"/>
            <w:noWrap/>
          </w:tcPr>
          <w:p w14:paraId="62D4F244" w14:textId="55A0981C" w:rsidR="0064412C" w:rsidRPr="00A27588" w:rsidRDefault="0064412C" w:rsidP="00C1114C">
            <w:pPr>
              <w:pStyle w:val="DHHStabletext"/>
              <w:rPr>
                <w:sz w:val="16"/>
                <w:szCs w:val="16"/>
              </w:rPr>
            </w:pPr>
            <w:r>
              <w:rPr>
                <w:sz w:val="16"/>
                <w:szCs w:val="16"/>
              </w:rPr>
              <w:t>2015–16</w:t>
            </w:r>
          </w:p>
        </w:tc>
        <w:tc>
          <w:tcPr>
            <w:tcW w:w="1554" w:type="dxa"/>
            <w:vMerge/>
            <w:noWrap/>
          </w:tcPr>
          <w:p w14:paraId="1E5F16F0" w14:textId="77777777" w:rsidR="0064412C" w:rsidRDefault="0064412C" w:rsidP="00C1114C">
            <w:pPr>
              <w:pStyle w:val="DHHStabletext"/>
            </w:pPr>
          </w:p>
        </w:tc>
        <w:tc>
          <w:tcPr>
            <w:tcW w:w="1276" w:type="dxa"/>
            <w:vMerge/>
          </w:tcPr>
          <w:p w14:paraId="40FFAECF" w14:textId="77777777" w:rsidR="0064412C" w:rsidRPr="00885FE2" w:rsidRDefault="0064412C" w:rsidP="00C1114C">
            <w:pPr>
              <w:pStyle w:val="DHHStabletext"/>
            </w:pPr>
          </w:p>
        </w:tc>
      </w:tr>
      <w:tr w:rsidR="0064412C" w:rsidRPr="00885FE2" w14:paraId="12FE1F47" w14:textId="77777777" w:rsidTr="00C1304E">
        <w:trPr>
          <w:trHeight w:val="621"/>
        </w:trPr>
        <w:tc>
          <w:tcPr>
            <w:tcW w:w="1848" w:type="dxa"/>
          </w:tcPr>
          <w:p w14:paraId="10CFD73E" w14:textId="6A0A0E44" w:rsidR="0064412C" w:rsidRPr="00885FE2" w:rsidRDefault="009D1534" w:rsidP="00C1114C">
            <w:pPr>
              <w:pStyle w:val="DHHStabletext"/>
            </w:pPr>
            <w:hyperlink w:anchor="_Appendix_1:_Measures" w:history="1">
              <w:r w:rsidR="0064412C" w:rsidRPr="000760F7">
                <w:rPr>
                  <w:rStyle w:val="Hyperlink"/>
                </w:rPr>
                <w:t>12.7</w:t>
              </w:r>
            </w:hyperlink>
          </w:p>
        </w:tc>
        <w:tc>
          <w:tcPr>
            <w:tcW w:w="3539" w:type="dxa"/>
          </w:tcPr>
          <w:p w14:paraId="10811721" w14:textId="5BB36115" w:rsidR="0064412C" w:rsidRPr="00885FE2" w:rsidRDefault="0064412C" w:rsidP="00C1114C">
            <w:pPr>
              <w:pStyle w:val="DHHStabletext"/>
            </w:pPr>
            <w:r w:rsidRPr="00686AA3">
              <w:t xml:space="preserve">Proportion of patients aged less than </w:t>
            </w:r>
            <w:r>
              <w:t>4</w:t>
            </w:r>
            <w:r w:rsidRPr="00686AA3">
              <w:t xml:space="preserve">0 years referred to fertility preservation </w:t>
            </w:r>
            <w:r>
              <w:t>treatment</w:t>
            </w:r>
            <w:r w:rsidRPr="00686AA3">
              <w:t xml:space="preserve"> as part of their primary treatment</w:t>
            </w:r>
          </w:p>
        </w:tc>
        <w:tc>
          <w:tcPr>
            <w:tcW w:w="2268" w:type="dxa"/>
          </w:tcPr>
          <w:p w14:paraId="436109E8" w14:textId="77777777" w:rsidR="0064412C" w:rsidRPr="00885FE2" w:rsidRDefault="0064412C" w:rsidP="00C1114C">
            <w:pPr>
              <w:pStyle w:val="DHHStabletext"/>
            </w:pPr>
            <w:r>
              <w:t>Per cent</w:t>
            </w:r>
          </w:p>
        </w:tc>
        <w:tc>
          <w:tcPr>
            <w:tcW w:w="2126" w:type="dxa"/>
            <w:noWrap/>
          </w:tcPr>
          <w:p w14:paraId="0704AC8A" w14:textId="08D3AB1A" w:rsidR="0064412C" w:rsidRPr="005F4D6D" w:rsidRDefault="0064412C" w:rsidP="00C1114C">
            <w:pPr>
              <w:pStyle w:val="DHHStabletext"/>
              <w:rPr>
                <w:color w:val="87189D"/>
              </w:rPr>
            </w:pPr>
            <w:r w:rsidRPr="005F4D6D">
              <w:rPr>
                <w:color w:val="87189D"/>
              </w:rPr>
              <w:t>No data currently available (refer to Appendix 1)</w:t>
            </w:r>
          </w:p>
        </w:tc>
        <w:tc>
          <w:tcPr>
            <w:tcW w:w="1848" w:type="dxa"/>
          </w:tcPr>
          <w:p w14:paraId="4CC6E388" w14:textId="5B98FBB7" w:rsidR="0064412C" w:rsidRPr="005F4D6D" w:rsidRDefault="0064412C" w:rsidP="00C1114C">
            <w:pPr>
              <w:pStyle w:val="DHHStabletext"/>
              <w:rPr>
                <w:color w:val="87189D"/>
              </w:rPr>
            </w:pPr>
            <w:r w:rsidRPr="005F4D6D">
              <w:rPr>
                <w:color w:val="87189D"/>
              </w:rPr>
              <w:t>No data currently available (refer to Appendix 1)</w:t>
            </w:r>
          </w:p>
        </w:tc>
        <w:tc>
          <w:tcPr>
            <w:tcW w:w="1554" w:type="dxa"/>
            <w:noWrap/>
          </w:tcPr>
          <w:p w14:paraId="0513AF8D" w14:textId="0899755E" w:rsidR="0064412C" w:rsidRPr="00885FE2" w:rsidRDefault="0064412C" w:rsidP="00C1114C">
            <w:pPr>
              <w:pStyle w:val="DHHStabletext"/>
            </w:pPr>
            <w:r>
              <w:t>N/S</w:t>
            </w:r>
          </w:p>
        </w:tc>
        <w:tc>
          <w:tcPr>
            <w:tcW w:w="1276" w:type="dxa"/>
          </w:tcPr>
          <w:p w14:paraId="5F427136" w14:textId="77777777" w:rsidR="0064412C" w:rsidRPr="00885FE2" w:rsidRDefault="0064412C" w:rsidP="00C1114C">
            <w:pPr>
              <w:pStyle w:val="DHHStabletext"/>
            </w:pPr>
            <w:r>
              <w:t>N/A</w:t>
            </w:r>
          </w:p>
        </w:tc>
      </w:tr>
      <w:tr w:rsidR="0064412C" w:rsidRPr="00885FE2" w14:paraId="02650B20" w14:textId="77777777" w:rsidTr="00C1304E">
        <w:trPr>
          <w:trHeight w:val="621"/>
        </w:trPr>
        <w:tc>
          <w:tcPr>
            <w:tcW w:w="1848" w:type="dxa"/>
          </w:tcPr>
          <w:p w14:paraId="3A02A788" w14:textId="34E1AC23" w:rsidR="0064412C" w:rsidRPr="00885FE2" w:rsidRDefault="009D1534" w:rsidP="00C1114C">
            <w:pPr>
              <w:pStyle w:val="DHHStabletext"/>
            </w:pPr>
            <w:hyperlink w:anchor="_Measure_12.8_–" w:history="1">
              <w:r w:rsidR="0064412C" w:rsidRPr="000760F7">
                <w:rPr>
                  <w:rStyle w:val="Hyperlink"/>
                </w:rPr>
                <w:t>12.8</w:t>
              </w:r>
            </w:hyperlink>
          </w:p>
        </w:tc>
        <w:tc>
          <w:tcPr>
            <w:tcW w:w="3539" w:type="dxa"/>
          </w:tcPr>
          <w:p w14:paraId="12E1E3DA" w14:textId="629C35C1" w:rsidR="0064412C" w:rsidRPr="00885FE2" w:rsidRDefault="0064412C" w:rsidP="00C1114C">
            <w:pPr>
              <w:pStyle w:val="DHHStabletext"/>
            </w:pPr>
            <w:r w:rsidRPr="00316A97">
              <w:t>Proportion of admitted cancer separations with a LOS &gt; 1 who have been coded as having malnutrition</w:t>
            </w:r>
            <w:r w:rsidRPr="00686AA3">
              <w:t xml:space="preserve"> </w:t>
            </w:r>
          </w:p>
        </w:tc>
        <w:tc>
          <w:tcPr>
            <w:tcW w:w="2268" w:type="dxa"/>
          </w:tcPr>
          <w:p w14:paraId="7EEED4B2" w14:textId="77777777" w:rsidR="0064412C" w:rsidRPr="00885FE2" w:rsidRDefault="0064412C" w:rsidP="00C1114C">
            <w:pPr>
              <w:pStyle w:val="DHHStabletext"/>
            </w:pPr>
            <w:r>
              <w:t>Per cent</w:t>
            </w:r>
          </w:p>
        </w:tc>
        <w:tc>
          <w:tcPr>
            <w:tcW w:w="2126" w:type="dxa"/>
            <w:noWrap/>
          </w:tcPr>
          <w:p w14:paraId="2AEA5FE7" w14:textId="77777777" w:rsidR="0064412C" w:rsidRPr="00922344" w:rsidRDefault="0064412C" w:rsidP="00C1114C">
            <w:pPr>
              <w:pStyle w:val="DHHStabletext"/>
            </w:pPr>
            <w:r w:rsidRPr="00922344">
              <w:t>8</w:t>
            </w:r>
          </w:p>
          <w:p w14:paraId="2B629AD7" w14:textId="7F6FEC48" w:rsidR="0064412C" w:rsidRPr="00922344" w:rsidRDefault="0064412C" w:rsidP="00C1114C">
            <w:pPr>
              <w:pStyle w:val="DHHStabletext"/>
            </w:pPr>
            <w:r w:rsidRPr="00922344">
              <w:t>(2012)</w:t>
            </w:r>
          </w:p>
        </w:tc>
        <w:tc>
          <w:tcPr>
            <w:tcW w:w="1848" w:type="dxa"/>
            <w:noWrap/>
          </w:tcPr>
          <w:p w14:paraId="798097C3" w14:textId="77777777" w:rsidR="0064412C" w:rsidRPr="00922344" w:rsidRDefault="0064412C" w:rsidP="00C1114C">
            <w:pPr>
              <w:pStyle w:val="DHHStabletext"/>
            </w:pPr>
            <w:r w:rsidRPr="00922344">
              <w:t>12</w:t>
            </w:r>
          </w:p>
          <w:p w14:paraId="00DAEC6C" w14:textId="48C7D0A0" w:rsidR="0064412C" w:rsidRPr="00922344" w:rsidRDefault="0064412C" w:rsidP="00C1114C">
            <w:pPr>
              <w:pStyle w:val="DHHStabletext"/>
            </w:pPr>
            <w:r w:rsidRPr="00922344">
              <w:t>(2017)</w:t>
            </w:r>
          </w:p>
        </w:tc>
        <w:tc>
          <w:tcPr>
            <w:tcW w:w="1554" w:type="dxa"/>
            <w:noWrap/>
          </w:tcPr>
          <w:p w14:paraId="69AC9531" w14:textId="0238508C" w:rsidR="0064412C" w:rsidRPr="00885FE2" w:rsidRDefault="0064412C" w:rsidP="00C1114C">
            <w:pPr>
              <w:pStyle w:val="DHHStabletext"/>
            </w:pPr>
            <w:r>
              <w:t>N/S</w:t>
            </w:r>
          </w:p>
        </w:tc>
        <w:tc>
          <w:tcPr>
            <w:tcW w:w="1276" w:type="dxa"/>
          </w:tcPr>
          <w:p w14:paraId="1CE46E38" w14:textId="39C620F5" w:rsidR="0064412C" w:rsidRPr="00885FE2" w:rsidRDefault="0034479E" w:rsidP="00C1114C">
            <w:pPr>
              <w:pStyle w:val="DHHStabletext"/>
            </w:pPr>
            <w:r w:rsidRPr="0010585A">
              <w:t>▲</w:t>
            </w:r>
            <w:r>
              <w:br/>
              <w:t>Upward</w:t>
            </w:r>
          </w:p>
        </w:tc>
      </w:tr>
      <w:tr w:rsidR="0064412C" w:rsidRPr="00885FE2" w14:paraId="54D5910D" w14:textId="77777777" w:rsidTr="00C1304E">
        <w:trPr>
          <w:trHeight w:val="621"/>
        </w:trPr>
        <w:tc>
          <w:tcPr>
            <w:tcW w:w="1848" w:type="dxa"/>
          </w:tcPr>
          <w:p w14:paraId="7968879D" w14:textId="096929BD" w:rsidR="0064412C" w:rsidRPr="00885FE2" w:rsidRDefault="009D1534" w:rsidP="00C1114C">
            <w:pPr>
              <w:pStyle w:val="DHHStabletext"/>
            </w:pPr>
            <w:hyperlink w:anchor="_Measure_12.9_–" w:history="1">
              <w:r w:rsidR="0064412C" w:rsidRPr="000760F7">
                <w:rPr>
                  <w:rStyle w:val="Hyperlink"/>
                </w:rPr>
                <w:t>12.9</w:t>
              </w:r>
            </w:hyperlink>
          </w:p>
        </w:tc>
        <w:tc>
          <w:tcPr>
            <w:tcW w:w="3539" w:type="dxa"/>
          </w:tcPr>
          <w:p w14:paraId="3A278CB2" w14:textId="514CB311" w:rsidR="0064412C" w:rsidRPr="00885FE2" w:rsidRDefault="0064412C" w:rsidP="00C1114C">
            <w:pPr>
              <w:pStyle w:val="DHHStabletext"/>
            </w:pPr>
            <w:r w:rsidRPr="00686AA3">
              <w:t>Proportion of patients who reported</w:t>
            </w:r>
            <w:r>
              <w:t xml:space="preserve"> being involved in the decisions about their care and treatment as much as they wanted to</w:t>
            </w:r>
            <w:r w:rsidRPr="00686AA3">
              <w:t xml:space="preserve"> </w:t>
            </w:r>
          </w:p>
        </w:tc>
        <w:tc>
          <w:tcPr>
            <w:tcW w:w="2268" w:type="dxa"/>
          </w:tcPr>
          <w:p w14:paraId="1A4D6068" w14:textId="77777777" w:rsidR="0064412C" w:rsidRPr="00885FE2" w:rsidRDefault="0064412C" w:rsidP="00C1114C">
            <w:pPr>
              <w:pStyle w:val="DHHStabletext"/>
            </w:pPr>
            <w:r>
              <w:t>Per cent</w:t>
            </w:r>
          </w:p>
        </w:tc>
        <w:tc>
          <w:tcPr>
            <w:tcW w:w="2126" w:type="dxa"/>
            <w:noWrap/>
          </w:tcPr>
          <w:p w14:paraId="25784428" w14:textId="194E3502" w:rsidR="0064412C" w:rsidRPr="00922344" w:rsidRDefault="0064412C" w:rsidP="00C1114C">
            <w:pPr>
              <w:pStyle w:val="DHHStabletext"/>
            </w:pPr>
            <w:r w:rsidRPr="00922344">
              <w:t>N/A</w:t>
            </w:r>
          </w:p>
        </w:tc>
        <w:tc>
          <w:tcPr>
            <w:tcW w:w="1848" w:type="dxa"/>
            <w:noWrap/>
          </w:tcPr>
          <w:p w14:paraId="676F25E0" w14:textId="4A41EDC4" w:rsidR="0064412C" w:rsidRPr="00922344" w:rsidRDefault="0064412C" w:rsidP="00C1114C">
            <w:pPr>
              <w:pStyle w:val="DHHStabletext"/>
            </w:pPr>
            <w:r w:rsidRPr="00922344">
              <w:t>77.4</w:t>
            </w:r>
          </w:p>
          <w:p w14:paraId="11DB8C39" w14:textId="2656B51F" w:rsidR="0064412C" w:rsidRPr="00922344" w:rsidRDefault="0064412C" w:rsidP="00C1114C">
            <w:pPr>
              <w:pStyle w:val="DHHStabletext"/>
            </w:pPr>
            <w:r w:rsidRPr="00922344">
              <w:t>(2018)</w:t>
            </w:r>
          </w:p>
        </w:tc>
        <w:tc>
          <w:tcPr>
            <w:tcW w:w="1554" w:type="dxa"/>
            <w:noWrap/>
          </w:tcPr>
          <w:p w14:paraId="2E9F2A72" w14:textId="791FEE89" w:rsidR="0064412C" w:rsidRPr="00885FE2" w:rsidRDefault="0064412C" w:rsidP="00C1114C">
            <w:pPr>
              <w:pStyle w:val="DHHStabletext"/>
            </w:pPr>
            <w:r>
              <w:t>N/S</w:t>
            </w:r>
          </w:p>
        </w:tc>
        <w:tc>
          <w:tcPr>
            <w:tcW w:w="1276" w:type="dxa"/>
          </w:tcPr>
          <w:p w14:paraId="2B2C12AF" w14:textId="55C654B6" w:rsidR="0064412C" w:rsidRPr="00885FE2" w:rsidRDefault="0064412C" w:rsidP="00C1114C">
            <w:pPr>
              <w:pStyle w:val="DHHStabletext"/>
            </w:pPr>
            <w:r>
              <w:t>N/A</w:t>
            </w:r>
          </w:p>
        </w:tc>
      </w:tr>
      <w:tr w:rsidR="0064412C" w:rsidRPr="00885FE2" w14:paraId="64970B00" w14:textId="77777777" w:rsidTr="00C1304E">
        <w:trPr>
          <w:trHeight w:val="621"/>
        </w:trPr>
        <w:tc>
          <w:tcPr>
            <w:tcW w:w="1848" w:type="dxa"/>
          </w:tcPr>
          <w:p w14:paraId="202A7285" w14:textId="757065AB" w:rsidR="0064412C" w:rsidRPr="00885FE2" w:rsidRDefault="009D1534" w:rsidP="00C1114C">
            <w:pPr>
              <w:pStyle w:val="DHHStabletext"/>
            </w:pPr>
            <w:hyperlink w:anchor="_Measure_12.10_–" w:history="1">
              <w:r w:rsidR="0064412C" w:rsidRPr="000760F7">
                <w:rPr>
                  <w:rStyle w:val="Hyperlink"/>
                </w:rPr>
                <w:t>12.10</w:t>
              </w:r>
            </w:hyperlink>
          </w:p>
        </w:tc>
        <w:tc>
          <w:tcPr>
            <w:tcW w:w="3539" w:type="dxa"/>
          </w:tcPr>
          <w:p w14:paraId="17782725" w14:textId="06109B09" w:rsidR="0064412C" w:rsidRPr="00885FE2" w:rsidRDefault="0064412C" w:rsidP="00C1114C">
            <w:pPr>
              <w:pStyle w:val="DHHStabletext"/>
            </w:pPr>
            <w:r w:rsidRPr="00686AA3">
              <w:t xml:space="preserve">Proportion of newly diagnosed patients with evidence of </w:t>
            </w:r>
            <w:r>
              <w:t xml:space="preserve">a </w:t>
            </w:r>
            <w:r w:rsidRPr="00686AA3">
              <w:t>multidisciplinary treatment plan in the</w:t>
            </w:r>
            <w:r>
              <w:t xml:space="preserve"> patient</w:t>
            </w:r>
            <w:r w:rsidRPr="00686AA3">
              <w:t xml:space="preserve"> records</w:t>
            </w:r>
          </w:p>
        </w:tc>
        <w:tc>
          <w:tcPr>
            <w:tcW w:w="2268" w:type="dxa"/>
          </w:tcPr>
          <w:p w14:paraId="77826D36" w14:textId="77777777" w:rsidR="0064412C" w:rsidRPr="00885FE2" w:rsidRDefault="0064412C" w:rsidP="00C1114C">
            <w:pPr>
              <w:pStyle w:val="DHHStabletext"/>
            </w:pPr>
            <w:r>
              <w:t>Per cent</w:t>
            </w:r>
          </w:p>
        </w:tc>
        <w:tc>
          <w:tcPr>
            <w:tcW w:w="2126" w:type="dxa"/>
            <w:noWrap/>
          </w:tcPr>
          <w:p w14:paraId="61A4A85A" w14:textId="77777777" w:rsidR="0064412C" w:rsidRPr="00922344" w:rsidRDefault="0064412C" w:rsidP="00C1114C">
            <w:pPr>
              <w:pStyle w:val="DHHStabletext"/>
            </w:pPr>
            <w:r w:rsidRPr="00922344">
              <w:t>70</w:t>
            </w:r>
          </w:p>
          <w:p w14:paraId="04DB68BB" w14:textId="77777777" w:rsidR="0064412C" w:rsidRPr="00922344" w:rsidRDefault="0064412C" w:rsidP="00C1114C">
            <w:pPr>
              <w:pStyle w:val="DHHStabletext"/>
            </w:pPr>
            <w:r w:rsidRPr="00922344">
              <w:t>(2014)</w:t>
            </w:r>
          </w:p>
        </w:tc>
        <w:tc>
          <w:tcPr>
            <w:tcW w:w="1848" w:type="dxa"/>
            <w:noWrap/>
          </w:tcPr>
          <w:p w14:paraId="704D6DDA" w14:textId="77777777" w:rsidR="0064412C" w:rsidRPr="00922344" w:rsidRDefault="0064412C" w:rsidP="00C1114C">
            <w:pPr>
              <w:pStyle w:val="DHHStabletext"/>
            </w:pPr>
            <w:r w:rsidRPr="00922344">
              <w:t>69</w:t>
            </w:r>
          </w:p>
          <w:p w14:paraId="657C2C92" w14:textId="77777777" w:rsidR="0064412C" w:rsidRPr="00922344" w:rsidRDefault="0064412C" w:rsidP="00C1114C">
            <w:pPr>
              <w:pStyle w:val="DHHStabletext"/>
            </w:pPr>
            <w:r w:rsidRPr="00922344">
              <w:t>(2017)</w:t>
            </w:r>
          </w:p>
        </w:tc>
        <w:tc>
          <w:tcPr>
            <w:tcW w:w="1554" w:type="dxa"/>
            <w:noWrap/>
          </w:tcPr>
          <w:p w14:paraId="67C6B7ED" w14:textId="77777777" w:rsidR="0064412C" w:rsidRPr="00885FE2" w:rsidRDefault="0064412C" w:rsidP="00C1114C">
            <w:pPr>
              <w:pStyle w:val="DHHStabletext"/>
            </w:pPr>
            <w:r>
              <w:t>N/S</w:t>
            </w:r>
          </w:p>
        </w:tc>
        <w:tc>
          <w:tcPr>
            <w:tcW w:w="1276" w:type="dxa"/>
          </w:tcPr>
          <w:p w14:paraId="4D8AE599" w14:textId="0BE0CD5B" w:rsidR="0064412C" w:rsidRPr="00885FE2" w:rsidRDefault="00CF3B53" w:rsidP="00C1114C">
            <w:pPr>
              <w:pStyle w:val="DHHStabletext"/>
            </w:pPr>
            <w:r w:rsidRPr="00AD1B27">
              <w:t>■</w:t>
            </w:r>
            <w:r>
              <w:t xml:space="preserve"> </w:t>
            </w:r>
            <w:r>
              <w:br/>
              <w:t>No change</w:t>
            </w:r>
          </w:p>
        </w:tc>
      </w:tr>
      <w:tr w:rsidR="0064412C" w:rsidRPr="00885FE2" w14:paraId="1E22BE36" w14:textId="77777777" w:rsidTr="00C1304E">
        <w:trPr>
          <w:trHeight w:val="621"/>
        </w:trPr>
        <w:tc>
          <w:tcPr>
            <w:tcW w:w="1848" w:type="dxa"/>
          </w:tcPr>
          <w:p w14:paraId="118DF8D6" w14:textId="73575973" w:rsidR="0064412C" w:rsidRPr="00885FE2" w:rsidRDefault="009D1534" w:rsidP="00C1114C">
            <w:pPr>
              <w:pStyle w:val="DHHStabletext"/>
            </w:pPr>
            <w:hyperlink w:anchor="_Appendix_1:_Measures" w:history="1">
              <w:r w:rsidR="0064412C" w:rsidRPr="000760F7">
                <w:rPr>
                  <w:rStyle w:val="Hyperlink"/>
                </w:rPr>
                <w:t>12.11</w:t>
              </w:r>
            </w:hyperlink>
          </w:p>
        </w:tc>
        <w:tc>
          <w:tcPr>
            <w:tcW w:w="3539" w:type="dxa"/>
          </w:tcPr>
          <w:p w14:paraId="0E8FEA8F" w14:textId="3C5F76A9" w:rsidR="0064412C" w:rsidRPr="00885FE2" w:rsidRDefault="0064412C" w:rsidP="00C1114C">
            <w:pPr>
              <w:pStyle w:val="DHHStabletext"/>
            </w:pPr>
            <w:r w:rsidRPr="00686AA3">
              <w:t>Proportion of patients with local recurrence of primary tumour within two years</w:t>
            </w:r>
            <w:r>
              <w:t xml:space="preserve"> of surgical resection or curative radiotherapy of a primary tumour</w:t>
            </w:r>
          </w:p>
        </w:tc>
        <w:tc>
          <w:tcPr>
            <w:tcW w:w="2268" w:type="dxa"/>
          </w:tcPr>
          <w:p w14:paraId="422627FF" w14:textId="77777777" w:rsidR="0064412C" w:rsidRPr="00885FE2" w:rsidRDefault="0064412C" w:rsidP="00C1114C">
            <w:pPr>
              <w:pStyle w:val="DHHStabletext"/>
            </w:pPr>
            <w:r>
              <w:t>Per cent</w:t>
            </w:r>
          </w:p>
        </w:tc>
        <w:tc>
          <w:tcPr>
            <w:tcW w:w="2126" w:type="dxa"/>
            <w:noWrap/>
          </w:tcPr>
          <w:p w14:paraId="1884FF94" w14:textId="0FC88C35" w:rsidR="0064412C" w:rsidRPr="005F4D6D" w:rsidRDefault="00F90C56" w:rsidP="00C1114C">
            <w:pPr>
              <w:pStyle w:val="DHHStabletext"/>
              <w:rPr>
                <w:color w:val="87189D"/>
              </w:rPr>
            </w:pPr>
            <w:r>
              <w:rPr>
                <w:color w:val="87189D"/>
              </w:rPr>
              <w:t xml:space="preserve">Requires more extensive data validation </w:t>
            </w:r>
            <w:r w:rsidRPr="005F4D6D">
              <w:rPr>
                <w:color w:val="87189D"/>
              </w:rPr>
              <w:t>(refer to Appendix 1)</w:t>
            </w:r>
          </w:p>
        </w:tc>
        <w:tc>
          <w:tcPr>
            <w:tcW w:w="1848" w:type="dxa"/>
          </w:tcPr>
          <w:p w14:paraId="440811C9" w14:textId="4CEE8A4B" w:rsidR="0064412C" w:rsidRPr="005F4D6D" w:rsidRDefault="00F90C56" w:rsidP="00C1114C">
            <w:pPr>
              <w:pStyle w:val="DHHStabletext"/>
              <w:rPr>
                <w:color w:val="87189D"/>
              </w:rPr>
            </w:pPr>
            <w:r>
              <w:rPr>
                <w:color w:val="87189D"/>
              </w:rPr>
              <w:t xml:space="preserve">Requires more extensive data validation </w:t>
            </w:r>
            <w:r w:rsidRPr="005F4D6D">
              <w:rPr>
                <w:color w:val="87189D"/>
              </w:rPr>
              <w:t>(refer to Appendix 1)</w:t>
            </w:r>
          </w:p>
        </w:tc>
        <w:tc>
          <w:tcPr>
            <w:tcW w:w="1554" w:type="dxa"/>
            <w:noWrap/>
          </w:tcPr>
          <w:p w14:paraId="049F311A" w14:textId="77777777" w:rsidR="0064412C" w:rsidRPr="00885FE2" w:rsidRDefault="0064412C" w:rsidP="00C1114C">
            <w:pPr>
              <w:pStyle w:val="DHHStabletext"/>
            </w:pPr>
            <w:r>
              <w:t>N/S</w:t>
            </w:r>
          </w:p>
        </w:tc>
        <w:tc>
          <w:tcPr>
            <w:tcW w:w="1276" w:type="dxa"/>
          </w:tcPr>
          <w:p w14:paraId="6A2B6731" w14:textId="77777777" w:rsidR="0064412C" w:rsidRPr="00885FE2" w:rsidRDefault="0064412C" w:rsidP="00C1114C">
            <w:pPr>
              <w:pStyle w:val="DHHStabletext"/>
            </w:pPr>
            <w:r>
              <w:t>N/A</w:t>
            </w:r>
          </w:p>
        </w:tc>
      </w:tr>
      <w:tr w:rsidR="0064412C" w:rsidRPr="00885FE2" w14:paraId="0992ACDE" w14:textId="77777777" w:rsidTr="00C1304E">
        <w:trPr>
          <w:trHeight w:val="621"/>
        </w:trPr>
        <w:tc>
          <w:tcPr>
            <w:tcW w:w="1848" w:type="dxa"/>
          </w:tcPr>
          <w:p w14:paraId="35E7D750" w14:textId="62F43F9C" w:rsidR="0064412C" w:rsidRPr="00885FE2" w:rsidRDefault="009D1534" w:rsidP="00C1114C">
            <w:pPr>
              <w:pStyle w:val="DHHStabletext"/>
            </w:pPr>
            <w:hyperlink w:anchor="_Measure_12.12_–" w:history="1">
              <w:r w:rsidR="0064412C" w:rsidRPr="001B5858">
                <w:rPr>
                  <w:rStyle w:val="Hyperlink"/>
                </w:rPr>
                <w:t>12.12</w:t>
              </w:r>
            </w:hyperlink>
          </w:p>
        </w:tc>
        <w:tc>
          <w:tcPr>
            <w:tcW w:w="3539" w:type="dxa"/>
          </w:tcPr>
          <w:p w14:paraId="1A3BECA9" w14:textId="6CF1DEC1" w:rsidR="0064412C" w:rsidRPr="00885FE2" w:rsidRDefault="0064412C" w:rsidP="00C1114C">
            <w:pPr>
              <w:pStyle w:val="DHHStabletext"/>
            </w:pPr>
            <w:r w:rsidRPr="00686AA3">
              <w:t>Proportion of patients re</w:t>
            </w:r>
            <w:r>
              <w:t>ceiving specialist</w:t>
            </w:r>
            <w:r w:rsidRPr="00686AA3">
              <w:t xml:space="preserve"> palliative care within 12 months prior to death</w:t>
            </w:r>
          </w:p>
        </w:tc>
        <w:tc>
          <w:tcPr>
            <w:tcW w:w="2268" w:type="dxa"/>
          </w:tcPr>
          <w:p w14:paraId="07F2C5A5" w14:textId="77777777" w:rsidR="0064412C" w:rsidRPr="00885FE2" w:rsidRDefault="0064412C" w:rsidP="00C1114C">
            <w:pPr>
              <w:pStyle w:val="DHHStabletext"/>
            </w:pPr>
            <w:r>
              <w:t>Per cent</w:t>
            </w:r>
          </w:p>
        </w:tc>
        <w:tc>
          <w:tcPr>
            <w:tcW w:w="2126" w:type="dxa"/>
            <w:noWrap/>
          </w:tcPr>
          <w:p w14:paraId="5F59B3EC" w14:textId="77777777" w:rsidR="0064412C" w:rsidRPr="0017304D" w:rsidRDefault="0064412C" w:rsidP="00C1114C">
            <w:pPr>
              <w:pStyle w:val="DHHStabletext"/>
              <w:rPr>
                <w:color w:val="000000" w:themeColor="text1"/>
              </w:rPr>
            </w:pPr>
            <w:r w:rsidRPr="0017304D">
              <w:rPr>
                <w:color w:val="000000" w:themeColor="text1"/>
              </w:rPr>
              <w:t>73</w:t>
            </w:r>
          </w:p>
          <w:p w14:paraId="079511E7" w14:textId="0BCA656F" w:rsidR="0064412C" w:rsidRPr="0017304D" w:rsidRDefault="0064412C" w:rsidP="00C1114C">
            <w:pPr>
              <w:pStyle w:val="DHHStabletext"/>
              <w:rPr>
                <w:color w:val="000000" w:themeColor="text1"/>
              </w:rPr>
            </w:pPr>
            <w:r w:rsidRPr="0017304D">
              <w:rPr>
                <w:color w:val="000000" w:themeColor="text1"/>
              </w:rPr>
              <w:t>(2014)</w:t>
            </w:r>
          </w:p>
        </w:tc>
        <w:tc>
          <w:tcPr>
            <w:tcW w:w="1848" w:type="dxa"/>
            <w:noWrap/>
          </w:tcPr>
          <w:p w14:paraId="0910F5DE" w14:textId="77777777" w:rsidR="0064412C" w:rsidRDefault="0064412C" w:rsidP="00C1114C">
            <w:pPr>
              <w:pStyle w:val="DHHStabletext"/>
            </w:pPr>
            <w:r>
              <w:t>77</w:t>
            </w:r>
          </w:p>
          <w:p w14:paraId="7CDC7EEA" w14:textId="299751C3" w:rsidR="0064412C" w:rsidRPr="00885FE2" w:rsidRDefault="0064412C" w:rsidP="00C1114C">
            <w:pPr>
              <w:pStyle w:val="DHHStabletext"/>
            </w:pPr>
            <w:r>
              <w:t>(2016)</w:t>
            </w:r>
          </w:p>
        </w:tc>
        <w:tc>
          <w:tcPr>
            <w:tcW w:w="1554" w:type="dxa"/>
            <w:noWrap/>
          </w:tcPr>
          <w:p w14:paraId="31FDD976" w14:textId="59E275C9" w:rsidR="0064412C" w:rsidRPr="00885FE2" w:rsidRDefault="0064412C" w:rsidP="00C1114C">
            <w:pPr>
              <w:pStyle w:val="DHHStabletext"/>
            </w:pPr>
            <w:r>
              <w:t>N/S</w:t>
            </w:r>
          </w:p>
        </w:tc>
        <w:tc>
          <w:tcPr>
            <w:tcW w:w="1276" w:type="dxa"/>
          </w:tcPr>
          <w:p w14:paraId="728C407B" w14:textId="563CC87D" w:rsidR="0064412C" w:rsidRPr="00885FE2" w:rsidRDefault="0034479E" w:rsidP="00C1114C">
            <w:pPr>
              <w:pStyle w:val="DHHStabletext"/>
            </w:pPr>
            <w:r w:rsidRPr="0010585A">
              <w:t>▲</w:t>
            </w:r>
            <w:r>
              <w:br/>
              <w:t>Upward</w:t>
            </w:r>
          </w:p>
        </w:tc>
      </w:tr>
      <w:tr w:rsidR="0064412C" w:rsidRPr="00885FE2" w14:paraId="7599E429" w14:textId="77777777" w:rsidTr="00C1304E">
        <w:trPr>
          <w:trHeight w:val="621"/>
        </w:trPr>
        <w:tc>
          <w:tcPr>
            <w:tcW w:w="1848" w:type="dxa"/>
          </w:tcPr>
          <w:p w14:paraId="5AFE6FA1" w14:textId="46BD7D32" w:rsidR="0064412C" w:rsidRPr="00885FE2" w:rsidRDefault="009D1534" w:rsidP="00C1114C">
            <w:pPr>
              <w:pStyle w:val="DHHStabletext"/>
            </w:pPr>
            <w:hyperlink w:anchor="_Measure_12.13_–" w:history="1">
              <w:r w:rsidR="0064412C" w:rsidRPr="001B5858">
                <w:rPr>
                  <w:rStyle w:val="Hyperlink"/>
                </w:rPr>
                <w:t>12.13</w:t>
              </w:r>
            </w:hyperlink>
          </w:p>
        </w:tc>
        <w:tc>
          <w:tcPr>
            <w:tcW w:w="3539" w:type="dxa"/>
          </w:tcPr>
          <w:p w14:paraId="6E0D490E" w14:textId="6931630C" w:rsidR="0064412C" w:rsidRPr="00885FE2" w:rsidRDefault="0064412C" w:rsidP="00C1114C">
            <w:pPr>
              <w:pStyle w:val="DHHStabletext"/>
            </w:pPr>
            <w:r w:rsidRPr="00686AA3">
              <w:t xml:space="preserve">Proportion of patients receiving </w:t>
            </w:r>
            <w:r>
              <w:t>aggressive interventions within 30 days prior to death</w:t>
            </w:r>
          </w:p>
        </w:tc>
        <w:tc>
          <w:tcPr>
            <w:tcW w:w="2268" w:type="dxa"/>
          </w:tcPr>
          <w:p w14:paraId="0EB88890" w14:textId="77777777" w:rsidR="0064412C" w:rsidRPr="00FA5DB7" w:rsidRDefault="0064412C" w:rsidP="00C1114C">
            <w:pPr>
              <w:pStyle w:val="DHHStabletext"/>
            </w:pPr>
            <w:r w:rsidRPr="00FA5DB7">
              <w:t>Per cent</w:t>
            </w:r>
          </w:p>
        </w:tc>
        <w:tc>
          <w:tcPr>
            <w:tcW w:w="2126" w:type="dxa"/>
            <w:noWrap/>
          </w:tcPr>
          <w:p w14:paraId="6EF61CFE" w14:textId="46CE8F59" w:rsidR="0064412C" w:rsidRDefault="00C1304E" w:rsidP="00C1114C">
            <w:pPr>
              <w:pStyle w:val="DHHStabletext"/>
              <w:rPr>
                <w:color w:val="000000" w:themeColor="text1"/>
              </w:rPr>
            </w:pPr>
            <w:r>
              <w:rPr>
                <w:color w:val="000000" w:themeColor="text1"/>
              </w:rPr>
              <w:t>10.0 [SACT]</w:t>
            </w:r>
          </w:p>
          <w:p w14:paraId="7D5E1B9A" w14:textId="6FA54311" w:rsidR="00C1304E" w:rsidRDefault="00C1304E" w:rsidP="00C1114C">
            <w:pPr>
              <w:pStyle w:val="DHHStabletext"/>
              <w:rPr>
                <w:color w:val="000000" w:themeColor="text1"/>
              </w:rPr>
            </w:pPr>
            <w:r>
              <w:rPr>
                <w:color w:val="000000" w:themeColor="text1"/>
              </w:rPr>
              <w:t>0.2 [Radical radiation]</w:t>
            </w:r>
          </w:p>
          <w:p w14:paraId="320AD67E" w14:textId="7C0E56EF" w:rsidR="00C1304E" w:rsidRDefault="00C1304E" w:rsidP="00C1114C">
            <w:pPr>
              <w:pStyle w:val="DHHStabletext"/>
              <w:rPr>
                <w:color w:val="000000" w:themeColor="text1"/>
              </w:rPr>
            </w:pPr>
            <w:r>
              <w:rPr>
                <w:color w:val="000000" w:themeColor="text1"/>
              </w:rPr>
              <w:t>6.0 [ICU]</w:t>
            </w:r>
          </w:p>
          <w:p w14:paraId="585BB422" w14:textId="64F3905D" w:rsidR="0064412C" w:rsidRPr="00FA5DB7" w:rsidRDefault="0064412C" w:rsidP="00C1114C">
            <w:pPr>
              <w:pStyle w:val="DHHStabletext"/>
              <w:rPr>
                <w:color w:val="000000" w:themeColor="text1"/>
              </w:rPr>
            </w:pPr>
            <w:r w:rsidRPr="00FA5DB7">
              <w:rPr>
                <w:color w:val="000000" w:themeColor="text1"/>
              </w:rPr>
              <w:t>(2014)</w:t>
            </w:r>
          </w:p>
        </w:tc>
        <w:tc>
          <w:tcPr>
            <w:tcW w:w="1848" w:type="dxa"/>
            <w:noWrap/>
          </w:tcPr>
          <w:p w14:paraId="56716383" w14:textId="452A935A" w:rsidR="00C1304E" w:rsidRDefault="00C1304E" w:rsidP="00C1304E">
            <w:pPr>
              <w:pStyle w:val="DHHStabletext"/>
              <w:rPr>
                <w:color w:val="000000" w:themeColor="text1"/>
              </w:rPr>
            </w:pPr>
            <w:r>
              <w:rPr>
                <w:color w:val="000000" w:themeColor="text1"/>
              </w:rPr>
              <w:t>11.0 [SACT]</w:t>
            </w:r>
          </w:p>
          <w:p w14:paraId="5703823D" w14:textId="77777777" w:rsidR="00C1304E" w:rsidRDefault="00C1304E" w:rsidP="00C1304E">
            <w:pPr>
              <w:pStyle w:val="DHHStabletext"/>
              <w:rPr>
                <w:color w:val="000000" w:themeColor="text1"/>
              </w:rPr>
            </w:pPr>
            <w:r>
              <w:rPr>
                <w:color w:val="000000" w:themeColor="text1"/>
              </w:rPr>
              <w:t>0.2 [Radical radiation]</w:t>
            </w:r>
          </w:p>
          <w:p w14:paraId="77CCBAF6" w14:textId="1D1FE22C" w:rsidR="0064412C" w:rsidRPr="00C1304E" w:rsidRDefault="00C1304E" w:rsidP="00C1114C">
            <w:pPr>
              <w:pStyle w:val="DHHStabletext"/>
              <w:rPr>
                <w:color w:val="000000" w:themeColor="text1"/>
              </w:rPr>
            </w:pPr>
            <w:r>
              <w:rPr>
                <w:color w:val="000000" w:themeColor="text1"/>
              </w:rPr>
              <w:t>6.0 [ICU]</w:t>
            </w:r>
          </w:p>
          <w:p w14:paraId="511A628E" w14:textId="19A205FF" w:rsidR="0064412C" w:rsidRPr="00FA5DB7" w:rsidRDefault="0064412C" w:rsidP="00C1114C">
            <w:pPr>
              <w:pStyle w:val="DHHStabletext"/>
            </w:pPr>
            <w:r w:rsidRPr="00FA5DB7">
              <w:t>(2016)</w:t>
            </w:r>
          </w:p>
        </w:tc>
        <w:tc>
          <w:tcPr>
            <w:tcW w:w="1554" w:type="dxa"/>
            <w:noWrap/>
          </w:tcPr>
          <w:p w14:paraId="7C43B221" w14:textId="0760DB2D" w:rsidR="0064412C" w:rsidRPr="00FA5DB7" w:rsidRDefault="0064412C" w:rsidP="00C1114C">
            <w:pPr>
              <w:pStyle w:val="DHHStabletext"/>
            </w:pPr>
            <w:r w:rsidRPr="00FA5DB7">
              <w:t>N/S</w:t>
            </w:r>
          </w:p>
        </w:tc>
        <w:tc>
          <w:tcPr>
            <w:tcW w:w="1276" w:type="dxa"/>
          </w:tcPr>
          <w:p w14:paraId="4C15A64E" w14:textId="181A45EC" w:rsidR="0064412C" w:rsidRPr="009B16E8" w:rsidRDefault="00CF3B53" w:rsidP="00C1114C">
            <w:pPr>
              <w:pStyle w:val="DHHStabletext"/>
              <w:rPr>
                <w:highlight w:val="yellow"/>
              </w:rPr>
            </w:pPr>
            <w:r w:rsidRPr="00AD1B27">
              <w:t>■</w:t>
            </w:r>
            <w:r>
              <w:t xml:space="preserve"> </w:t>
            </w:r>
            <w:r>
              <w:br/>
              <w:t>No change</w:t>
            </w:r>
          </w:p>
        </w:tc>
      </w:tr>
      <w:tr w:rsidR="0064412C" w:rsidRPr="00885FE2" w14:paraId="7D0FD0AF" w14:textId="77777777" w:rsidTr="00C1304E">
        <w:trPr>
          <w:trHeight w:val="621"/>
        </w:trPr>
        <w:tc>
          <w:tcPr>
            <w:tcW w:w="1848" w:type="dxa"/>
          </w:tcPr>
          <w:p w14:paraId="2BD2F354" w14:textId="42C0BFAD" w:rsidR="0064412C" w:rsidRPr="00885FE2" w:rsidRDefault="009D1534" w:rsidP="00C1114C">
            <w:pPr>
              <w:pStyle w:val="DHHStabletext"/>
            </w:pPr>
            <w:hyperlink w:anchor="_Measure_12.14_–" w:history="1">
              <w:r w:rsidR="0064412C" w:rsidRPr="000760F7">
                <w:rPr>
                  <w:rStyle w:val="Hyperlink"/>
                </w:rPr>
                <w:t>12.14</w:t>
              </w:r>
            </w:hyperlink>
          </w:p>
        </w:tc>
        <w:tc>
          <w:tcPr>
            <w:tcW w:w="3539" w:type="dxa"/>
          </w:tcPr>
          <w:p w14:paraId="56CDAFDC" w14:textId="77777777" w:rsidR="0064412C" w:rsidRPr="00885FE2" w:rsidRDefault="0064412C" w:rsidP="00C1114C">
            <w:pPr>
              <w:pStyle w:val="DHHStabletext"/>
            </w:pPr>
            <w:r w:rsidRPr="00686AA3">
              <w:t>Proportion of deaths due to cancer that occur in hospitals</w:t>
            </w:r>
          </w:p>
        </w:tc>
        <w:tc>
          <w:tcPr>
            <w:tcW w:w="2268" w:type="dxa"/>
          </w:tcPr>
          <w:p w14:paraId="2BE07CAA" w14:textId="77777777" w:rsidR="0064412C" w:rsidRPr="00885FE2" w:rsidRDefault="0064412C" w:rsidP="00C1114C">
            <w:pPr>
              <w:pStyle w:val="DHHStabletext"/>
            </w:pPr>
            <w:r>
              <w:t>Per cent</w:t>
            </w:r>
          </w:p>
        </w:tc>
        <w:tc>
          <w:tcPr>
            <w:tcW w:w="2126" w:type="dxa"/>
            <w:noWrap/>
          </w:tcPr>
          <w:p w14:paraId="3A9E3EB3" w14:textId="74D72657" w:rsidR="0064412C" w:rsidRDefault="0064412C" w:rsidP="00C1114C">
            <w:pPr>
              <w:pStyle w:val="DHHStabletext"/>
              <w:rPr>
                <w:color w:val="000000" w:themeColor="text1"/>
              </w:rPr>
            </w:pPr>
            <w:r>
              <w:rPr>
                <w:color w:val="000000" w:themeColor="text1"/>
              </w:rPr>
              <w:t>72</w:t>
            </w:r>
          </w:p>
          <w:p w14:paraId="5E1B5541" w14:textId="4A4455D9" w:rsidR="0064412C" w:rsidRPr="0017304D" w:rsidRDefault="0064412C" w:rsidP="00C1114C">
            <w:pPr>
              <w:pStyle w:val="DHHStabletext"/>
              <w:rPr>
                <w:color w:val="000000" w:themeColor="text1"/>
              </w:rPr>
            </w:pPr>
            <w:r>
              <w:rPr>
                <w:color w:val="000000" w:themeColor="text1"/>
              </w:rPr>
              <w:t>(2014)</w:t>
            </w:r>
          </w:p>
        </w:tc>
        <w:tc>
          <w:tcPr>
            <w:tcW w:w="1848" w:type="dxa"/>
            <w:noWrap/>
          </w:tcPr>
          <w:p w14:paraId="3C798E66" w14:textId="4B9A87CC" w:rsidR="0064412C" w:rsidRDefault="0064412C" w:rsidP="00C1114C">
            <w:pPr>
              <w:pStyle w:val="DHHStabletext"/>
            </w:pPr>
            <w:r>
              <w:t>71</w:t>
            </w:r>
          </w:p>
          <w:p w14:paraId="59A29419" w14:textId="7CE6C752" w:rsidR="0064412C" w:rsidRPr="00885FE2" w:rsidRDefault="0064412C" w:rsidP="00C1114C">
            <w:pPr>
              <w:pStyle w:val="DHHStabletext"/>
            </w:pPr>
            <w:r>
              <w:t>(2016)</w:t>
            </w:r>
          </w:p>
        </w:tc>
        <w:tc>
          <w:tcPr>
            <w:tcW w:w="1554" w:type="dxa"/>
            <w:noWrap/>
          </w:tcPr>
          <w:p w14:paraId="4D187C17" w14:textId="159E0147" w:rsidR="0064412C" w:rsidRPr="00885FE2" w:rsidRDefault="0064412C" w:rsidP="00C1114C">
            <w:pPr>
              <w:pStyle w:val="DHHStabletext"/>
            </w:pPr>
            <w:r>
              <w:t>N/S</w:t>
            </w:r>
          </w:p>
        </w:tc>
        <w:tc>
          <w:tcPr>
            <w:tcW w:w="1276" w:type="dxa"/>
          </w:tcPr>
          <w:p w14:paraId="3F5D659B" w14:textId="6B7F9954" w:rsidR="0064412C" w:rsidRPr="00885FE2" w:rsidRDefault="00CF3B53" w:rsidP="00C1114C">
            <w:pPr>
              <w:pStyle w:val="DHHStabletext"/>
            </w:pPr>
            <w:r w:rsidRPr="00AD1B27">
              <w:t>■</w:t>
            </w:r>
            <w:r>
              <w:t xml:space="preserve"> </w:t>
            </w:r>
            <w:r>
              <w:br/>
              <w:t>No change</w:t>
            </w:r>
          </w:p>
        </w:tc>
      </w:tr>
    </w:tbl>
    <w:p w14:paraId="501820EA" w14:textId="2D101F6B" w:rsidR="00E25B4F" w:rsidRDefault="00E25B4F" w:rsidP="00E25B4F">
      <w:pPr>
        <w:pStyle w:val="Heading5"/>
      </w:pPr>
      <w:r w:rsidRPr="0007466C">
        <w:lastRenderedPageBreak/>
        <w:t>Key result: Increase one-</w:t>
      </w:r>
      <w:r>
        <w:t xml:space="preserve"> </w:t>
      </w:r>
      <w:r w:rsidRPr="0007466C">
        <w:t>and five-year survival</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260"/>
        <w:gridCol w:w="2268"/>
        <w:gridCol w:w="2126"/>
        <w:gridCol w:w="1701"/>
        <w:gridCol w:w="1701"/>
        <w:gridCol w:w="1276"/>
      </w:tblGrid>
      <w:tr w:rsidR="00E25B4F" w:rsidRPr="00885FE2" w14:paraId="328B5A49" w14:textId="77777777" w:rsidTr="00360C87">
        <w:trPr>
          <w:trHeight w:val="621"/>
          <w:tblHeader/>
        </w:trPr>
        <w:tc>
          <w:tcPr>
            <w:tcW w:w="2127" w:type="dxa"/>
            <w:shd w:val="clear" w:color="auto" w:fill="EDCDCF"/>
          </w:tcPr>
          <w:p w14:paraId="5FE3AC9A" w14:textId="2F38EE42" w:rsidR="00E25B4F" w:rsidRPr="00E25B4F" w:rsidRDefault="00E25B4F" w:rsidP="00E25B4F">
            <w:pPr>
              <w:pStyle w:val="DHHStablecolhead"/>
            </w:pPr>
            <w:r w:rsidRPr="00E25B4F">
              <w:t>Measure #</w:t>
            </w:r>
          </w:p>
        </w:tc>
        <w:tc>
          <w:tcPr>
            <w:tcW w:w="3260" w:type="dxa"/>
            <w:shd w:val="clear" w:color="auto" w:fill="EDCDCF"/>
          </w:tcPr>
          <w:p w14:paraId="3C617FD0" w14:textId="36191F23" w:rsidR="00E25B4F" w:rsidRPr="00E25B4F" w:rsidRDefault="00E25B4F" w:rsidP="00E25B4F">
            <w:pPr>
              <w:pStyle w:val="DHHStablecolhead"/>
            </w:pPr>
            <w:r w:rsidRPr="00E25B4F">
              <w:t>Description</w:t>
            </w:r>
          </w:p>
        </w:tc>
        <w:tc>
          <w:tcPr>
            <w:tcW w:w="2268" w:type="dxa"/>
            <w:shd w:val="clear" w:color="auto" w:fill="EDCDCF"/>
          </w:tcPr>
          <w:p w14:paraId="03712FAC" w14:textId="5B64111D" w:rsidR="00E25B4F" w:rsidRPr="00E25B4F" w:rsidRDefault="00E25B4F" w:rsidP="00E25B4F">
            <w:pPr>
              <w:pStyle w:val="DHHStablecolhead"/>
            </w:pPr>
            <w:r w:rsidRPr="00E25B4F">
              <w:t>Unit of measure</w:t>
            </w:r>
          </w:p>
        </w:tc>
        <w:tc>
          <w:tcPr>
            <w:tcW w:w="2126" w:type="dxa"/>
            <w:shd w:val="clear" w:color="auto" w:fill="EDCDCF"/>
            <w:noWrap/>
          </w:tcPr>
          <w:p w14:paraId="28F169B7" w14:textId="77777777" w:rsidR="00E25B4F" w:rsidRPr="00E25B4F" w:rsidRDefault="00E25B4F" w:rsidP="00E25B4F">
            <w:pPr>
              <w:pStyle w:val="DHHStablecolhead"/>
            </w:pPr>
            <w:r w:rsidRPr="00E25B4F">
              <w:t>Baseline</w:t>
            </w:r>
          </w:p>
          <w:p w14:paraId="283E9C8C" w14:textId="507165B3" w:rsidR="00E25B4F" w:rsidRPr="00E25B4F" w:rsidRDefault="00E25B4F" w:rsidP="00E25B4F">
            <w:pPr>
              <w:pStyle w:val="DHHStablecolhead"/>
            </w:pPr>
            <w:r w:rsidRPr="00E25B4F">
              <w:t>(year)</w:t>
            </w:r>
          </w:p>
        </w:tc>
        <w:tc>
          <w:tcPr>
            <w:tcW w:w="1701" w:type="dxa"/>
            <w:shd w:val="clear" w:color="auto" w:fill="EDCDCF"/>
            <w:noWrap/>
          </w:tcPr>
          <w:p w14:paraId="29576429" w14:textId="77777777" w:rsidR="00E25B4F" w:rsidRPr="00E25B4F" w:rsidRDefault="00E25B4F" w:rsidP="00E25B4F">
            <w:pPr>
              <w:pStyle w:val="DHHStablecolhead"/>
            </w:pPr>
            <w:r w:rsidRPr="00E25B4F">
              <w:t>Most recent</w:t>
            </w:r>
          </w:p>
          <w:p w14:paraId="05087025" w14:textId="18AA5476" w:rsidR="00E25B4F" w:rsidRPr="00E25B4F" w:rsidRDefault="00E25B4F" w:rsidP="00E25B4F">
            <w:pPr>
              <w:pStyle w:val="DHHStablecolhead"/>
            </w:pPr>
            <w:r w:rsidRPr="00E25B4F">
              <w:t>(year)</w:t>
            </w:r>
          </w:p>
        </w:tc>
        <w:tc>
          <w:tcPr>
            <w:tcW w:w="1701" w:type="dxa"/>
            <w:shd w:val="clear" w:color="auto" w:fill="EDCDCF"/>
            <w:noWrap/>
          </w:tcPr>
          <w:p w14:paraId="2FC2E148" w14:textId="5976E4FE" w:rsidR="00E25B4F" w:rsidRPr="00E25B4F" w:rsidRDefault="00E25B4F" w:rsidP="00E25B4F">
            <w:pPr>
              <w:pStyle w:val="DHHStablecolhead"/>
            </w:pPr>
            <w:r w:rsidRPr="00E25B4F">
              <w:t>Target</w:t>
            </w:r>
          </w:p>
        </w:tc>
        <w:tc>
          <w:tcPr>
            <w:tcW w:w="1276" w:type="dxa"/>
            <w:shd w:val="clear" w:color="auto" w:fill="EDCDCF"/>
          </w:tcPr>
          <w:p w14:paraId="62495694" w14:textId="413BD1F8" w:rsidR="00E25B4F" w:rsidRPr="00E25B4F" w:rsidRDefault="00E25B4F" w:rsidP="00E25B4F">
            <w:pPr>
              <w:pStyle w:val="DHHStablecolhead"/>
            </w:pPr>
            <w:r w:rsidRPr="00E25B4F">
              <w:t>Trend</w:t>
            </w:r>
          </w:p>
        </w:tc>
      </w:tr>
      <w:tr w:rsidR="0064412C" w:rsidRPr="00885FE2" w14:paraId="14691320" w14:textId="77777777" w:rsidTr="00247D94">
        <w:trPr>
          <w:trHeight w:val="621"/>
        </w:trPr>
        <w:tc>
          <w:tcPr>
            <w:tcW w:w="2127" w:type="dxa"/>
          </w:tcPr>
          <w:p w14:paraId="53E10169" w14:textId="15C8FBED" w:rsidR="0064412C" w:rsidRDefault="009D1534" w:rsidP="00C1114C">
            <w:pPr>
              <w:pStyle w:val="DHHStabletext"/>
            </w:pPr>
            <w:hyperlink w:anchor="_Measure_13.1_–" w:history="1">
              <w:r w:rsidR="0064412C" w:rsidRPr="000760F7">
                <w:rPr>
                  <w:rStyle w:val="Hyperlink"/>
                </w:rPr>
                <w:t>13.1</w:t>
              </w:r>
            </w:hyperlink>
          </w:p>
        </w:tc>
        <w:tc>
          <w:tcPr>
            <w:tcW w:w="3260" w:type="dxa"/>
          </w:tcPr>
          <w:p w14:paraId="7A0006B0" w14:textId="77777777" w:rsidR="0064412C" w:rsidRPr="00686AA3" w:rsidRDefault="0064412C" w:rsidP="00C1114C">
            <w:pPr>
              <w:pStyle w:val="DHHStabletext"/>
            </w:pPr>
            <w:r w:rsidRPr="00686AA3">
              <w:t>One-year survival from all cancers</w:t>
            </w:r>
          </w:p>
        </w:tc>
        <w:tc>
          <w:tcPr>
            <w:tcW w:w="2268" w:type="dxa"/>
          </w:tcPr>
          <w:p w14:paraId="6E0D7D34" w14:textId="77777777" w:rsidR="0064412C" w:rsidRPr="00290910" w:rsidRDefault="0064412C" w:rsidP="00C1114C">
            <w:pPr>
              <w:pStyle w:val="DHHStabletext"/>
            </w:pPr>
            <w:r w:rsidRPr="00290910">
              <w:t>Per cent</w:t>
            </w:r>
          </w:p>
        </w:tc>
        <w:tc>
          <w:tcPr>
            <w:tcW w:w="2126" w:type="dxa"/>
            <w:noWrap/>
          </w:tcPr>
          <w:p w14:paraId="5AEF771E" w14:textId="6C064C74" w:rsidR="0064412C" w:rsidRDefault="0064412C" w:rsidP="00C1114C">
            <w:pPr>
              <w:pStyle w:val="DHHStabletext"/>
            </w:pPr>
            <w:r>
              <w:t>81.7</w:t>
            </w:r>
          </w:p>
          <w:p w14:paraId="16892A0E" w14:textId="5E2F62D5" w:rsidR="0064412C" w:rsidRPr="00005DF2" w:rsidRDefault="0064412C" w:rsidP="00C1114C">
            <w:pPr>
              <w:pStyle w:val="DHHStabletext"/>
            </w:pPr>
            <w:r>
              <w:t>(2010)</w:t>
            </w:r>
          </w:p>
        </w:tc>
        <w:tc>
          <w:tcPr>
            <w:tcW w:w="1701" w:type="dxa"/>
            <w:noWrap/>
          </w:tcPr>
          <w:p w14:paraId="29262B9D" w14:textId="4D74B82B" w:rsidR="0064412C" w:rsidRDefault="0064412C" w:rsidP="00C1114C">
            <w:pPr>
              <w:pStyle w:val="DHHStabletext"/>
            </w:pPr>
            <w:r>
              <w:t>83.2</w:t>
            </w:r>
          </w:p>
          <w:p w14:paraId="271F1FCC" w14:textId="180C40FF" w:rsidR="0064412C" w:rsidRPr="00885FE2" w:rsidRDefault="0064412C" w:rsidP="00C1114C">
            <w:pPr>
              <w:pStyle w:val="DHHStabletext"/>
            </w:pPr>
            <w:r>
              <w:t>(2016)</w:t>
            </w:r>
          </w:p>
        </w:tc>
        <w:tc>
          <w:tcPr>
            <w:tcW w:w="1701" w:type="dxa"/>
            <w:noWrap/>
          </w:tcPr>
          <w:p w14:paraId="70139E3D" w14:textId="4F9185CD" w:rsidR="0064412C" w:rsidRPr="00885FE2" w:rsidRDefault="0064412C" w:rsidP="00C1114C">
            <w:pPr>
              <w:pStyle w:val="DHHStabletext"/>
            </w:pPr>
            <w:r>
              <w:t>Double the improvement in one-year survival by 2040 from baseline</w:t>
            </w:r>
          </w:p>
        </w:tc>
        <w:tc>
          <w:tcPr>
            <w:tcW w:w="1276" w:type="dxa"/>
          </w:tcPr>
          <w:p w14:paraId="3BAA6ECA" w14:textId="75F43C04" w:rsidR="0064412C" w:rsidRPr="00885FE2" w:rsidRDefault="0034479E" w:rsidP="00C1114C">
            <w:pPr>
              <w:pStyle w:val="DHHStabletext"/>
            </w:pPr>
            <w:r w:rsidRPr="0010585A">
              <w:t>▲</w:t>
            </w:r>
            <w:r>
              <w:br/>
              <w:t>Upward</w:t>
            </w:r>
          </w:p>
        </w:tc>
      </w:tr>
      <w:tr w:rsidR="0064412C" w:rsidRPr="00885FE2" w14:paraId="683DE6B6" w14:textId="77777777" w:rsidTr="00247D94">
        <w:trPr>
          <w:trHeight w:val="621"/>
        </w:trPr>
        <w:tc>
          <w:tcPr>
            <w:tcW w:w="2127" w:type="dxa"/>
          </w:tcPr>
          <w:p w14:paraId="1E0F8101" w14:textId="78583F65" w:rsidR="0064412C" w:rsidRDefault="009D1534" w:rsidP="00C1114C">
            <w:pPr>
              <w:pStyle w:val="DHHStabletext"/>
            </w:pPr>
            <w:hyperlink w:anchor="_Measure_13.2_–" w:history="1">
              <w:r w:rsidR="0064412C" w:rsidRPr="000760F7">
                <w:rPr>
                  <w:rStyle w:val="Hyperlink"/>
                </w:rPr>
                <w:t>13.2</w:t>
              </w:r>
            </w:hyperlink>
          </w:p>
        </w:tc>
        <w:tc>
          <w:tcPr>
            <w:tcW w:w="3260" w:type="dxa"/>
          </w:tcPr>
          <w:p w14:paraId="53D4B6B0" w14:textId="77777777" w:rsidR="0064412C" w:rsidRPr="00686AA3" w:rsidRDefault="0064412C" w:rsidP="00C1114C">
            <w:pPr>
              <w:pStyle w:val="DHHStabletext"/>
            </w:pPr>
            <w:r w:rsidRPr="00686AA3">
              <w:t>One-year survival from lung cancer</w:t>
            </w:r>
          </w:p>
        </w:tc>
        <w:tc>
          <w:tcPr>
            <w:tcW w:w="2268" w:type="dxa"/>
          </w:tcPr>
          <w:p w14:paraId="2271680A" w14:textId="77777777" w:rsidR="0064412C" w:rsidRPr="00686AA3" w:rsidRDefault="0064412C" w:rsidP="00C1114C">
            <w:pPr>
              <w:pStyle w:val="DHHStabletext"/>
            </w:pPr>
            <w:r w:rsidRPr="00290910">
              <w:t>Per cent</w:t>
            </w:r>
          </w:p>
        </w:tc>
        <w:tc>
          <w:tcPr>
            <w:tcW w:w="2126" w:type="dxa"/>
            <w:noWrap/>
          </w:tcPr>
          <w:p w14:paraId="033C1234" w14:textId="164C2EF4" w:rsidR="0064412C" w:rsidRDefault="0064412C" w:rsidP="00C1114C">
            <w:pPr>
              <w:pStyle w:val="DHHStabletext"/>
            </w:pPr>
            <w:r>
              <w:t>42.1</w:t>
            </w:r>
          </w:p>
          <w:p w14:paraId="73B102E6" w14:textId="7E61A677" w:rsidR="0064412C" w:rsidRPr="00005DF2" w:rsidRDefault="0064412C" w:rsidP="00C1114C">
            <w:pPr>
              <w:pStyle w:val="DHHStabletext"/>
            </w:pPr>
            <w:r w:rsidRPr="00AB789D">
              <w:t>(2010)</w:t>
            </w:r>
          </w:p>
        </w:tc>
        <w:tc>
          <w:tcPr>
            <w:tcW w:w="1701" w:type="dxa"/>
            <w:noWrap/>
          </w:tcPr>
          <w:p w14:paraId="10EAAC9F" w14:textId="0738A1E7" w:rsidR="0064412C" w:rsidRDefault="0064412C" w:rsidP="00C1114C">
            <w:pPr>
              <w:pStyle w:val="DHHStabletext"/>
            </w:pPr>
            <w:r>
              <w:t>48.6</w:t>
            </w:r>
          </w:p>
          <w:p w14:paraId="68C92564" w14:textId="11CA1740" w:rsidR="0064412C" w:rsidRPr="00885FE2" w:rsidRDefault="0064412C" w:rsidP="00C1114C">
            <w:pPr>
              <w:pStyle w:val="DHHStabletext"/>
            </w:pPr>
            <w:r w:rsidRPr="00AB3827">
              <w:t>(2016)</w:t>
            </w:r>
          </w:p>
        </w:tc>
        <w:tc>
          <w:tcPr>
            <w:tcW w:w="1701" w:type="dxa"/>
            <w:noWrap/>
          </w:tcPr>
          <w:p w14:paraId="07AC66A4" w14:textId="4C9D7FDF" w:rsidR="0064412C" w:rsidRPr="00885FE2" w:rsidRDefault="0064412C" w:rsidP="00C1114C">
            <w:pPr>
              <w:pStyle w:val="DHHStabletext"/>
            </w:pPr>
            <w:r>
              <w:t>N/S</w:t>
            </w:r>
          </w:p>
        </w:tc>
        <w:tc>
          <w:tcPr>
            <w:tcW w:w="1276" w:type="dxa"/>
          </w:tcPr>
          <w:p w14:paraId="7BEA57F9" w14:textId="253D6B62" w:rsidR="0064412C" w:rsidRPr="00885FE2" w:rsidRDefault="0034479E" w:rsidP="00C1114C">
            <w:pPr>
              <w:pStyle w:val="DHHStabletext"/>
            </w:pPr>
            <w:r w:rsidRPr="0010585A">
              <w:t>▲</w:t>
            </w:r>
            <w:r>
              <w:br/>
              <w:t>Upward</w:t>
            </w:r>
          </w:p>
        </w:tc>
      </w:tr>
      <w:tr w:rsidR="0064412C" w:rsidRPr="00885FE2" w14:paraId="2A48A062" w14:textId="77777777" w:rsidTr="00247D94">
        <w:trPr>
          <w:trHeight w:val="621"/>
        </w:trPr>
        <w:tc>
          <w:tcPr>
            <w:tcW w:w="2127" w:type="dxa"/>
          </w:tcPr>
          <w:p w14:paraId="29C8CCAE" w14:textId="306AFD02" w:rsidR="0064412C" w:rsidRDefault="009D1534" w:rsidP="00C1114C">
            <w:pPr>
              <w:pStyle w:val="DHHStabletext"/>
            </w:pPr>
            <w:hyperlink w:anchor="_Measure_13.3_–" w:history="1">
              <w:r w:rsidR="0064412C" w:rsidRPr="000760F7">
                <w:rPr>
                  <w:rStyle w:val="Hyperlink"/>
                </w:rPr>
                <w:t>13.3</w:t>
              </w:r>
            </w:hyperlink>
          </w:p>
        </w:tc>
        <w:tc>
          <w:tcPr>
            <w:tcW w:w="3260" w:type="dxa"/>
          </w:tcPr>
          <w:p w14:paraId="1760ECA8" w14:textId="79E52139" w:rsidR="0064412C" w:rsidRPr="00686AA3" w:rsidRDefault="0064412C" w:rsidP="00C1114C">
            <w:pPr>
              <w:pStyle w:val="DHHStabletext"/>
            </w:pPr>
            <w:r w:rsidRPr="00686AA3">
              <w:t>One-year survival from pancrea</w:t>
            </w:r>
            <w:r>
              <w:t>tic</w:t>
            </w:r>
            <w:r w:rsidRPr="00686AA3">
              <w:t xml:space="preserve"> cancer</w:t>
            </w:r>
          </w:p>
        </w:tc>
        <w:tc>
          <w:tcPr>
            <w:tcW w:w="2268" w:type="dxa"/>
          </w:tcPr>
          <w:p w14:paraId="7C639A68" w14:textId="77777777" w:rsidR="0064412C" w:rsidRPr="00686AA3" w:rsidRDefault="0064412C" w:rsidP="00C1114C">
            <w:pPr>
              <w:pStyle w:val="DHHStabletext"/>
            </w:pPr>
            <w:r w:rsidRPr="00290910">
              <w:t>Per cent</w:t>
            </w:r>
          </w:p>
        </w:tc>
        <w:tc>
          <w:tcPr>
            <w:tcW w:w="2126" w:type="dxa"/>
            <w:noWrap/>
          </w:tcPr>
          <w:p w14:paraId="5E6D7BB7" w14:textId="185E64D2" w:rsidR="0064412C" w:rsidRDefault="0064412C" w:rsidP="00C1114C">
            <w:pPr>
              <w:pStyle w:val="DHHStabletext"/>
            </w:pPr>
            <w:r>
              <w:t>26.9</w:t>
            </w:r>
          </w:p>
          <w:p w14:paraId="14277C86" w14:textId="03B1FE17" w:rsidR="0064412C" w:rsidRPr="00005DF2" w:rsidRDefault="0064412C" w:rsidP="00C1114C">
            <w:pPr>
              <w:pStyle w:val="DHHStabletext"/>
            </w:pPr>
            <w:r w:rsidRPr="00AB789D">
              <w:t>(2010)</w:t>
            </w:r>
          </w:p>
        </w:tc>
        <w:tc>
          <w:tcPr>
            <w:tcW w:w="1701" w:type="dxa"/>
            <w:noWrap/>
          </w:tcPr>
          <w:p w14:paraId="437F0BDB" w14:textId="3C003067" w:rsidR="0064412C" w:rsidRDefault="0064412C" w:rsidP="00C1114C">
            <w:pPr>
              <w:pStyle w:val="DHHStabletext"/>
            </w:pPr>
            <w:r>
              <w:t>34.4</w:t>
            </w:r>
          </w:p>
          <w:p w14:paraId="49E0D428" w14:textId="15ED1659" w:rsidR="0064412C" w:rsidRPr="00885FE2" w:rsidRDefault="0064412C" w:rsidP="00C1114C">
            <w:pPr>
              <w:pStyle w:val="DHHStabletext"/>
            </w:pPr>
            <w:r w:rsidRPr="00AB3827">
              <w:t>(2016)</w:t>
            </w:r>
          </w:p>
        </w:tc>
        <w:tc>
          <w:tcPr>
            <w:tcW w:w="1701" w:type="dxa"/>
            <w:noWrap/>
          </w:tcPr>
          <w:p w14:paraId="5137D434" w14:textId="513F6BD2" w:rsidR="0064412C" w:rsidRPr="00885FE2" w:rsidRDefault="0064412C" w:rsidP="00C1114C">
            <w:pPr>
              <w:pStyle w:val="DHHStabletext"/>
            </w:pPr>
            <w:r>
              <w:t>N/S</w:t>
            </w:r>
          </w:p>
        </w:tc>
        <w:tc>
          <w:tcPr>
            <w:tcW w:w="1276" w:type="dxa"/>
          </w:tcPr>
          <w:p w14:paraId="65D4A847" w14:textId="43CA2BE0" w:rsidR="0064412C" w:rsidRPr="00885FE2" w:rsidRDefault="0034479E" w:rsidP="00C1114C">
            <w:pPr>
              <w:pStyle w:val="DHHStabletext"/>
            </w:pPr>
            <w:r w:rsidRPr="0010585A">
              <w:t>▲</w:t>
            </w:r>
            <w:r>
              <w:br/>
              <w:t>Upward</w:t>
            </w:r>
          </w:p>
        </w:tc>
      </w:tr>
      <w:tr w:rsidR="0064412C" w:rsidRPr="00885FE2" w14:paraId="4345F522" w14:textId="77777777" w:rsidTr="00247D94">
        <w:trPr>
          <w:trHeight w:val="621"/>
        </w:trPr>
        <w:tc>
          <w:tcPr>
            <w:tcW w:w="2127" w:type="dxa"/>
          </w:tcPr>
          <w:p w14:paraId="3F3D9B5B" w14:textId="4B979265" w:rsidR="0064412C" w:rsidRDefault="009D1534" w:rsidP="00C1114C">
            <w:pPr>
              <w:pStyle w:val="DHHStabletext"/>
            </w:pPr>
            <w:hyperlink w:anchor="_Measure_13.4_–" w:history="1">
              <w:r w:rsidR="0064412C" w:rsidRPr="000760F7">
                <w:rPr>
                  <w:rStyle w:val="Hyperlink"/>
                </w:rPr>
                <w:t>13.4</w:t>
              </w:r>
            </w:hyperlink>
          </w:p>
        </w:tc>
        <w:tc>
          <w:tcPr>
            <w:tcW w:w="3260" w:type="dxa"/>
          </w:tcPr>
          <w:p w14:paraId="397DBE09" w14:textId="6423F05A" w:rsidR="0064412C" w:rsidRPr="00686AA3" w:rsidRDefault="0064412C" w:rsidP="00C1114C">
            <w:pPr>
              <w:pStyle w:val="DHHStabletext"/>
            </w:pPr>
            <w:r w:rsidRPr="00686AA3">
              <w:t>One-year survival from ovar</w:t>
            </w:r>
            <w:r>
              <w:t>ian</w:t>
            </w:r>
            <w:r w:rsidRPr="00686AA3">
              <w:t xml:space="preserve"> cancer</w:t>
            </w:r>
          </w:p>
        </w:tc>
        <w:tc>
          <w:tcPr>
            <w:tcW w:w="2268" w:type="dxa"/>
          </w:tcPr>
          <w:p w14:paraId="27F04027" w14:textId="77777777" w:rsidR="0064412C" w:rsidRPr="00686AA3" w:rsidRDefault="0064412C" w:rsidP="00C1114C">
            <w:pPr>
              <w:pStyle w:val="DHHStabletext"/>
            </w:pPr>
            <w:r w:rsidRPr="00290910">
              <w:t>Per cent</w:t>
            </w:r>
          </w:p>
        </w:tc>
        <w:tc>
          <w:tcPr>
            <w:tcW w:w="2126" w:type="dxa"/>
            <w:noWrap/>
          </w:tcPr>
          <w:p w14:paraId="7AF7C0CA" w14:textId="26702399" w:rsidR="0064412C" w:rsidRDefault="0064412C" w:rsidP="00C1114C">
            <w:pPr>
              <w:pStyle w:val="DHHStabletext"/>
            </w:pPr>
            <w:r>
              <w:t>76.9</w:t>
            </w:r>
          </w:p>
          <w:p w14:paraId="46D9ECB0" w14:textId="784E9D5C" w:rsidR="0064412C" w:rsidRPr="00005DF2" w:rsidRDefault="0064412C" w:rsidP="00C1114C">
            <w:pPr>
              <w:pStyle w:val="DHHStabletext"/>
            </w:pPr>
            <w:r w:rsidRPr="00AB789D">
              <w:t>(2010)</w:t>
            </w:r>
          </w:p>
        </w:tc>
        <w:tc>
          <w:tcPr>
            <w:tcW w:w="1701" w:type="dxa"/>
            <w:noWrap/>
          </w:tcPr>
          <w:p w14:paraId="3EA0D77F" w14:textId="0FB0C300" w:rsidR="0064412C" w:rsidRDefault="0064412C" w:rsidP="00C1114C">
            <w:pPr>
              <w:pStyle w:val="DHHStabletext"/>
            </w:pPr>
            <w:r>
              <w:t>74.4</w:t>
            </w:r>
          </w:p>
          <w:p w14:paraId="3159F195" w14:textId="7BF69AE2" w:rsidR="0064412C" w:rsidRPr="00885FE2" w:rsidRDefault="0064412C" w:rsidP="00C1114C">
            <w:pPr>
              <w:pStyle w:val="DHHStabletext"/>
            </w:pPr>
            <w:r w:rsidRPr="00AB3827">
              <w:t>(2016)</w:t>
            </w:r>
          </w:p>
        </w:tc>
        <w:tc>
          <w:tcPr>
            <w:tcW w:w="1701" w:type="dxa"/>
            <w:noWrap/>
          </w:tcPr>
          <w:p w14:paraId="6295AC35" w14:textId="09184104" w:rsidR="0064412C" w:rsidRPr="00885FE2" w:rsidRDefault="0064412C" w:rsidP="00C1114C">
            <w:pPr>
              <w:pStyle w:val="DHHStabletext"/>
            </w:pPr>
            <w:r>
              <w:t>N/S</w:t>
            </w:r>
          </w:p>
        </w:tc>
        <w:tc>
          <w:tcPr>
            <w:tcW w:w="1276" w:type="dxa"/>
          </w:tcPr>
          <w:p w14:paraId="22FC473F" w14:textId="1F9F24FE" w:rsidR="0064412C" w:rsidRPr="00885FE2" w:rsidRDefault="00B267F0" w:rsidP="00C1114C">
            <w:pPr>
              <w:pStyle w:val="DHHStabletext"/>
            </w:pPr>
            <w:r w:rsidRPr="00C1114C">
              <w:t>▼</w:t>
            </w:r>
            <w:r>
              <w:br/>
            </w:r>
            <w:r w:rsidRPr="00C1114C">
              <w:t>Downward</w:t>
            </w:r>
          </w:p>
        </w:tc>
      </w:tr>
      <w:tr w:rsidR="0064412C" w:rsidRPr="00885FE2" w14:paraId="26CFF1BC" w14:textId="77777777" w:rsidTr="00247D94">
        <w:trPr>
          <w:trHeight w:val="621"/>
        </w:trPr>
        <w:tc>
          <w:tcPr>
            <w:tcW w:w="2127" w:type="dxa"/>
          </w:tcPr>
          <w:p w14:paraId="6DD9EA7F" w14:textId="0987C34E" w:rsidR="0064412C" w:rsidRDefault="009D1534" w:rsidP="00C1114C">
            <w:pPr>
              <w:pStyle w:val="DHHStabletext"/>
            </w:pPr>
            <w:hyperlink w:anchor="_Measure_13.5_–" w:history="1">
              <w:r w:rsidR="0064412C" w:rsidRPr="000760F7">
                <w:rPr>
                  <w:rStyle w:val="Hyperlink"/>
                </w:rPr>
                <w:t>13.5</w:t>
              </w:r>
            </w:hyperlink>
          </w:p>
        </w:tc>
        <w:tc>
          <w:tcPr>
            <w:tcW w:w="3260" w:type="dxa"/>
          </w:tcPr>
          <w:p w14:paraId="5C05FF79" w14:textId="77777777" w:rsidR="0064412C" w:rsidRPr="00686AA3" w:rsidRDefault="0064412C" w:rsidP="00C1114C">
            <w:pPr>
              <w:pStyle w:val="DHHStabletext"/>
            </w:pPr>
            <w:r w:rsidRPr="00686AA3">
              <w:t>One-year survival from colorectal cancer</w:t>
            </w:r>
          </w:p>
        </w:tc>
        <w:tc>
          <w:tcPr>
            <w:tcW w:w="2268" w:type="dxa"/>
          </w:tcPr>
          <w:p w14:paraId="6D26B02D" w14:textId="77777777" w:rsidR="0064412C" w:rsidRPr="00686AA3" w:rsidRDefault="0064412C" w:rsidP="00C1114C">
            <w:pPr>
              <w:pStyle w:val="DHHStabletext"/>
            </w:pPr>
            <w:r w:rsidRPr="00290910">
              <w:t>Per cent</w:t>
            </w:r>
          </w:p>
        </w:tc>
        <w:tc>
          <w:tcPr>
            <w:tcW w:w="2126" w:type="dxa"/>
            <w:noWrap/>
          </w:tcPr>
          <w:p w14:paraId="58050F62" w14:textId="42B28146" w:rsidR="0064412C" w:rsidRDefault="0064412C" w:rsidP="00C1114C">
            <w:pPr>
              <w:pStyle w:val="DHHStabletext"/>
            </w:pPr>
            <w:r>
              <w:t>85.4</w:t>
            </w:r>
          </w:p>
          <w:p w14:paraId="0041ABC8" w14:textId="371266F8" w:rsidR="0064412C" w:rsidRPr="00005DF2" w:rsidRDefault="0064412C" w:rsidP="00C1114C">
            <w:pPr>
              <w:pStyle w:val="DHHStabletext"/>
            </w:pPr>
            <w:r w:rsidRPr="00AB789D">
              <w:t>(2010)</w:t>
            </w:r>
          </w:p>
        </w:tc>
        <w:tc>
          <w:tcPr>
            <w:tcW w:w="1701" w:type="dxa"/>
            <w:noWrap/>
          </w:tcPr>
          <w:p w14:paraId="067E457F" w14:textId="1D66C670" w:rsidR="0064412C" w:rsidRDefault="0064412C" w:rsidP="00C1114C">
            <w:pPr>
              <w:pStyle w:val="DHHStabletext"/>
            </w:pPr>
            <w:r>
              <w:t>86.6</w:t>
            </w:r>
          </w:p>
          <w:p w14:paraId="7267CDD4" w14:textId="3B7805AB" w:rsidR="0064412C" w:rsidRPr="00885FE2" w:rsidRDefault="0064412C" w:rsidP="00C1114C">
            <w:pPr>
              <w:pStyle w:val="DHHStabletext"/>
            </w:pPr>
            <w:r w:rsidRPr="00AB3827">
              <w:t>(2016)</w:t>
            </w:r>
          </w:p>
        </w:tc>
        <w:tc>
          <w:tcPr>
            <w:tcW w:w="1701" w:type="dxa"/>
            <w:noWrap/>
          </w:tcPr>
          <w:p w14:paraId="1350245F" w14:textId="0282F53F" w:rsidR="0064412C" w:rsidRPr="00885FE2" w:rsidRDefault="0064412C" w:rsidP="00C1114C">
            <w:pPr>
              <w:pStyle w:val="DHHStabletext"/>
            </w:pPr>
            <w:r>
              <w:t>N/S</w:t>
            </w:r>
          </w:p>
        </w:tc>
        <w:tc>
          <w:tcPr>
            <w:tcW w:w="1276" w:type="dxa"/>
          </w:tcPr>
          <w:p w14:paraId="04901706" w14:textId="003B366C" w:rsidR="0064412C" w:rsidRPr="00885FE2" w:rsidRDefault="00CF3B53" w:rsidP="00C1114C">
            <w:pPr>
              <w:pStyle w:val="DHHStabletext"/>
            </w:pPr>
            <w:r w:rsidRPr="00AD1B27">
              <w:t>■</w:t>
            </w:r>
            <w:r>
              <w:t xml:space="preserve"> </w:t>
            </w:r>
            <w:r>
              <w:br/>
              <w:t>No change</w:t>
            </w:r>
          </w:p>
        </w:tc>
      </w:tr>
      <w:tr w:rsidR="0064412C" w:rsidRPr="00885FE2" w14:paraId="7D881FB4" w14:textId="77777777" w:rsidTr="00247D94">
        <w:trPr>
          <w:trHeight w:val="621"/>
        </w:trPr>
        <w:tc>
          <w:tcPr>
            <w:tcW w:w="2127" w:type="dxa"/>
          </w:tcPr>
          <w:p w14:paraId="127987C0" w14:textId="32F519E9" w:rsidR="0064412C" w:rsidRDefault="009D1534" w:rsidP="00C1114C">
            <w:pPr>
              <w:pStyle w:val="DHHStabletext"/>
            </w:pPr>
            <w:hyperlink w:anchor="_Measure_13.6_–" w:history="1">
              <w:r w:rsidR="0064412C" w:rsidRPr="003B08A5">
                <w:rPr>
                  <w:rStyle w:val="Hyperlink"/>
                </w:rPr>
                <w:t>13.6</w:t>
              </w:r>
            </w:hyperlink>
          </w:p>
        </w:tc>
        <w:tc>
          <w:tcPr>
            <w:tcW w:w="3260" w:type="dxa"/>
          </w:tcPr>
          <w:p w14:paraId="5B598B0B" w14:textId="77777777" w:rsidR="0064412C" w:rsidRPr="00686AA3" w:rsidRDefault="0064412C" w:rsidP="00C1114C">
            <w:pPr>
              <w:pStyle w:val="DHHStabletext"/>
            </w:pPr>
            <w:r w:rsidRPr="00686AA3">
              <w:t>One-year survival from brain cancer</w:t>
            </w:r>
          </w:p>
        </w:tc>
        <w:tc>
          <w:tcPr>
            <w:tcW w:w="2268" w:type="dxa"/>
          </w:tcPr>
          <w:p w14:paraId="15380AFA" w14:textId="77777777" w:rsidR="0064412C" w:rsidRPr="00686AA3" w:rsidRDefault="0064412C" w:rsidP="00C1114C">
            <w:pPr>
              <w:pStyle w:val="DHHStabletext"/>
            </w:pPr>
            <w:r w:rsidRPr="00290910">
              <w:t>Per cent</w:t>
            </w:r>
          </w:p>
        </w:tc>
        <w:tc>
          <w:tcPr>
            <w:tcW w:w="2126" w:type="dxa"/>
            <w:noWrap/>
          </w:tcPr>
          <w:p w14:paraId="4F4D7355" w14:textId="10D3B0A9" w:rsidR="0064412C" w:rsidRDefault="0064412C" w:rsidP="00C1114C">
            <w:pPr>
              <w:pStyle w:val="DHHStabletext"/>
            </w:pPr>
            <w:r>
              <w:t>50.9</w:t>
            </w:r>
          </w:p>
          <w:p w14:paraId="2209D477" w14:textId="55163072" w:rsidR="0064412C" w:rsidRPr="00005DF2" w:rsidRDefault="0064412C" w:rsidP="00C1114C">
            <w:pPr>
              <w:pStyle w:val="DHHStabletext"/>
            </w:pPr>
            <w:r w:rsidRPr="00AB789D">
              <w:t>(2010)</w:t>
            </w:r>
          </w:p>
        </w:tc>
        <w:tc>
          <w:tcPr>
            <w:tcW w:w="1701" w:type="dxa"/>
            <w:noWrap/>
          </w:tcPr>
          <w:p w14:paraId="75CAD400" w14:textId="2059131B" w:rsidR="0064412C" w:rsidRDefault="0064412C" w:rsidP="00C1114C">
            <w:pPr>
              <w:pStyle w:val="DHHStabletext"/>
            </w:pPr>
            <w:r>
              <w:t>56.1</w:t>
            </w:r>
          </w:p>
          <w:p w14:paraId="6E28A32F" w14:textId="353CBA7B" w:rsidR="0064412C" w:rsidRPr="00885FE2" w:rsidRDefault="0064412C" w:rsidP="00C1114C">
            <w:pPr>
              <w:pStyle w:val="DHHStabletext"/>
            </w:pPr>
            <w:r w:rsidRPr="00AB3827">
              <w:t>(2016)</w:t>
            </w:r>
          </w:p>
        </w:tc>
        <w:tc>
          <w:tcPr>
            <w:tcW w:w="1701" w:type="dxa"/>
            <w:noWrap/>
          </w:tcPr>
          <w:p w14:paraId="280926A1" w14:textId="75072D9A" w:rsidR="0064412C" w:rsidRPr="00885FE2" w:rsidRDefault="0064412C" w:rsidP="00C1114C">
            <w:pPr>
              <w:pStyle w:val="DHHStabletext"/>
            </w:pPr>
            <w:r>
              <w:t>N/S</w:t>
            </w:r>
          </w:p>
        </w:tc>
        <w:tc>
          <w:tcPr>
            <w:tcW w:w="1276" w:type="dxa"/>
          </w:tcPr>
          <w:p w14:paraId="021BBF57" w14:textId="71E688AA" w:rsidR="0064412C" w:rsidRPr="00885FE2" w:rsidRDefault="0034479E" w:rsidP="00C1114C">
            <w:pPr>
              <w:pStyle w:val="DHHStabletext"/>
            </w:pPr>
            <w:r w:rsidRPr="0010585A">
              <w:t>▲</w:t>
            </w:r>
            <w:r>
              <w:br/>
              <w:t>Upward</w:t>
            </w:r>
          </w:p>
        </w:tc>
      </w:tr>
      <w:tr w:rsidR="0064412C" w:rsidRPr="00885FE2" w14:paraId="3EBEB762" w14:textId="77777777" w:rsidTr="00247D94">
        <w:trPr>
          <w:trHeight w:val="621"/>
        </w:trPr>
        <w:tc>
          <w:tcPr>
            <w:tcW w:w="2127" w:type="dxa"/>
          </w:tcPr>
          <w:p w14:paraId="6A3537F3" w14:textId="508FCC84" w:rsidR="0064412C" w:rsidRDefault="009D1534" w:rsidP="00C1114C">
            <w:pPr>
              <w:pStyle w:val="DHHStabletext"/>
            </w:pPr>
            <w:hyperlink w:anchor="_Measure_13.7_–" w:history="1">
              <w:r w:rsidR="0064412C" w:rsidRPr="003B08A5">
                <w:rPr>
                  <w:rStyle w:val="Hyperlink"/>
                </w:rPr>
                <w:t>13.7</w:t>
              </w:r>
            </w:hyperlink>
          </w:p>
        </w:tc>
        <w:tc>
          <w:tcPr>
            <w:tcW w:w="3260" w:type="dxa"/>
          </w:tcPr>
          <w:p w14:paraId="16B043EA" w14:textId="77777777" w:rsidR="0064412C" w:rsidRPr="00686AA3" w:rsidRDefault="0064412C" w:rsidP="00C1114C">
            <w:pPr>
              <w:pStyle w:val="DHHStabletext"/>
            </w:pPr>
            <w:r w:rsidRPr="00686AA3">
              <w:t>One-year survival from oesophagus cancer</w:t>
            </w:r>
          </w:p>
        </w:tc>
        <w:tc>
          <w:tcPr>
            <w:tcW w:w="2268" w:type="dxa"/>
          </w:tcPr>
          <w:p w14:paraId="032A2B4C" w14:textId="77777777" w:rsidR="0064412C" w:rsidRPr="00686AA3" w:rsidRDefault="0064412C" w:rsidP="00C1114C">
            <w:pPr>
              <w:pStyle w:val="DHHStabletext"/>
            </w:pPr>
            <w:r w:rsidRPr="00290910">
              <w:t>Per cent</w:t>
            </w:r>
          </w:p>
        </w:tc>
        <w:tc>
          <w:tcPr>
            <w:tcW w:w="2126" w:type="dxa"/>
            <w:noWrap/>
          </w:tcPr>
          <w:p w14:paraId="6BFC1B33" w14:textId="1787A3B9" w:rsidR="0064412C" w:rsidRDefault="0064412C" w:rsidP="00C1114C">
            <w:pPr>
              <w:pStyle w:val="DHHStabletext"/>
            </w:pPr>
            <w:r>
              <w:t>48.1</w:t>
            </w:r>
          </w:p>
          <w:p w14:paraId="03CBBA6F" w14:textId="242CF693" w:rsidR="0064412C" w:rsidRPr="00005DF2" w:rsidRDefault="0064412C" w:rsidP="00C1114C">
            <w:pPr>
              <w:pStyle w:val="DHHStabletext"/>
            </w:pPr>
            <w:r w:rsidRPr="00AB789D">
              <w:t>(2010)</w:t>
            </w:r>
          </w:p>
        </w:tc>
        <w:tc>
          <w:tcPr>
            <w:tcW w:w="1701" w:type="dxa"/>
            <w:noWrap/>
          </w:tcPr>
          <w:p w14:paraId="437B11AC" w14:textId="6E9DBF01" w:rsidR="0064412C" w:rsidRDefault="0064412C" w:rsidP="00C1114C">
            <w:pPr>
              <w:pStyle w:val="DHHStabletext"/>
            </w:pPr>
            <w:r>
              <w:t>48.4</w:t>
            </w:r>
          </w:p>
          <w:p w14:paraId="39BBF42B" w14:textId="0134039B" w:rsidR="0064412C" w:rsidRPr="00885FE2" w:rsidRDefault="0064412C" w:rsidP="00C1114C">
            <w:pPr>
              <w:pStyle w:val="DHHStabletext"/>
            </w:pPr>
            <w:r w:rsidRPr="00AB3827">
              <w:t>(2016)</w:t>
            </w:r>
          </w:p>
        </w:tc>
        <w:tc>
          <w:tcPr>
            <w:tcW w:w="1701" w:type="dxa"/>
            <w:noWrap/>
          </w:tcPr>
          <w:p w14:paraId="7A92D6CC" w14:textId="2F6D643C" w:rsidR="0064412C" w:rsidRPr="00885FE2" w:rsidRDefault="0064412C" w:rsidP="00C1114C">
            <w:pPr>
              <w:pStyle w:val="DHHStabletext"/>
            </w:pPr>
            <w:r>
              <w:t>N/S</w:t>
            </w:r>
          </w:p>
        </w:tc>
        <w:tc>
          <w:tcPr>
            <w:tcW w:w="1276" w:type="dxa"/>
          </w:tcPr>
          <w:p w14:paraId="6E474213" w14:textId="6D233C93" w:rsidR="0064412C" w:rsidRPr="00885FE2" w:rsidRDefault="00CF3B53" w:rsidP="00C1114C">
            <w:pPr>
              <w:pStyle w:val="DHHStabletext"/>
            </w:pPr>
            <w:r w:rsidRPr="00AD1B27">
              <w:t>■</w:t>
            </w:r>
            <w:r>
              <w:t xml:space="preserve"> </w:t>
            </w:r>
            <w:r>
              <w:br/>
              <w:t>No change</w:t>
            </w:r>
          </w:p>
        </w:tc>
      </w:tr>
      <w:tr w:rsidR="0064412C" w:rsidRPr="00885FE2" w14:paraId="245ADC35" w14:textId="77777777" w:rsidTr="00247D94">
        <w:trPr>
          <w:trHeight w:val="621"/>
        </w:trPr>
        <w:tc>
          <w:tcPr>
            <w:tcW w:w="2127" w:type="dxa"/>
          </w:tcPr>
          <w:p w14:paraId="358DF468" w14:textId="6BB7542B" w:rsidR="0064412C" w:rsidRDefault="009D1534" w:rsidP="00C1114C">
            <w:pPr>
              <w:pStyle w:val="DHHStabletext"/>
            </w:pPr>
            <w:hyperlink w:anchor="_Measure_13.8_–" w:history="1">
              <w:r w:rsidR="0064412C" w:rsidRPr="003B08A5">
                <w:rPr>
                  <w:rStyle w:val="Hyperlink"/>
                </w:rPr>
                <w:t>13.8</w:t>
              </w:r>
            </w:hyperlink>
          </w:p>
        </w:tc>
        <w:tc>
          <w:tcPr>
            <w:tcW w:w="3260" w:type="dxa"/>
          </w:tcPr>
          <w:p w14:paraId="21E61067" w14:textId="77777777" w:rsidR="0064412C" w:rsidRPr="00686AA3" w:rsidRDefault="0064412C" w:rsidP="00C1114C">
            <w:pPr>
              <w:pStyle w:val="DHHStabletext"/>
            </w:pPr>
            <w:r w:rsidRPr="00686AA3">
              <w:t>One-year survival from acute myeloid leukaemia</w:t>
            </w:r>
          </w:p>
        </w:tc>
        <w:tc>
          <w:tcPr>
            <w:tcW w:w="2268" w:type="dxa"/>
          </w:tcPr>
          <w:p w14:paraId="120FF1FF" w14:textId="77777777" w:rsidR="0064412C" w:rsidRPr="00686AA3" w:rsidRDefault="0064412C" w:rsidP="00C1114C">
            <w:pPr>
              <w:pStyle w:val="DHHStabletext"/>
            </w:pPr>
            <w:r w:rsidRPr="00290910">
              <w:t>Per cent</w:t>
            </w:r>
          </w:p>
        </w:tc>
        <w:tc>
          <w:tcPr>
            <w:tcW w:w="2126" w:type="dxa"/>
            <w:noWrap/>
          </w:tcPr>
          <w:p w14:paraId="32B16260" w14:textId="66D3BF1C" w:rsidR="0064412C" w:rsidRDefault="0064412C" w:rsidP="00C1114C">
            <w:pPr>
              <w:pStyle w:val="DHHStabletext"/>
            </w:pPr>
            <w:r>
              <w:t>49.2</w:t>
            </w:r>
          </w:p>
          <w:p w14:paraId="08C38E6B" w14:textId="49A0A39C" w:rsidR="0064412C" w:rsidRPr="00005DF2" w:rsidRDefault="0064412C" w:rsidP="00C1114C">
            <w:pPr>
              <w:pStyle w:val="DHHStabletext"/>
            </w:pPr>
            <w:r w:rsidRPr="00AB789D">
              <w:t>(2010)</w:t>
            </w:r>
          </w:p>
        </w:tc>
        <w:tc>
          <w:tcPr>
            <w:tcW w:w="1701" w:type="dxa"/>
            <w:noWrap/>
          </w:tcPr>
          <w:p w14:paraId="3A39E459" w14:textId="19369A15" w:rsidR="0064412C" w:rsidRDefault="0064412C" w:rsidP="00C1114C">
            <w:pPr>
              <w:pStyle w:val="DHHStabletext"/>
            </w:pPr>
            <w:r>
              <w:t>56.3</w:t>
            </w:r>
          </w:p>
          <w:p w14:paraId="513B5CFC" w14:textId="6361CE72" w:rsidR="0064412C" w:rsidRPr="00885FE2" w:rsidRDefault="0064412C" w:rsidP="00C1114C">
            <w:pPr>
              <w:pStyle w:val="DHHStabletext"/>
            </w:pPr>
            <w:r w:rsidRPr="00AB3827">
              <w:t>(2016)</w:t>
            </w:r>
          </w:p>
        </w:tc>
        <w:tc>
          <w:tcPr>
            <w:tcW w:w="1701" w:type="dxa"/>
            <w:noWrap/>
          </w:tcPr>
          <w:p w14:paraId="6D6B1FA3" w14:textId="12AB22F3" w:rsidR="0064412C" w:rsidRPr="00885FE2" w:rsidRDefault="0064412C" w:rsidP="00C1114C">
            <w:pPr>
              <w:pStyle w:val="DHHStabletext"/>
            </w:pPr>
            <w:r>
              <w:t>N/S</w:t>
            </w:r>
          </w:p>
        </w:tc>
        <w:tc>
          <w:tcPr>
            <w:tcW w:w="1276" w:type="dxa"/>
          </w:tcPr>
          <w:p w14:paraId="41A9A63A" w14:textId="6D68E782" w:rsidR="0064412C" w:rsidRPr="00885FE2" w:rsidRDefault="0034479E" w:rsidP="00C1114C">
            <w:pPr>
              <w:pStyle w:val="DHHStabletext"/>
            </w:pPr>
            <w:r w:rsidRPr="0010585A">
              <w:t>▲</w:t>
            </w:r>
            <w:r>
              <w:br/>
              <w:t>Upward</w:t>
            </w:r>
          </w:p>
        </w:tc>
      </w:tr>
      <w:tr w:rsidR="0064412C" w:rsidRPr="00885FE2" w14:paraId="422A4610" w14:textId="77777777" w:rsidTr="00247D94">
        <w:trPr>
          <w:trHeight w:val="621"/>
        </w:trPr>
        <w:tc>
          <w:tcPr>
            <w:tcW w:w="2127" w:type="dxa"/>
          </w:tcPr>
          <w:p w14:paraId="4CBEAEA0" w14:textId="76F83A5A" w:rsidR="0064412C" w:rsidRDefault="009D1534" w:rsidP="00C1114C">
            <w:pPr>
              <w:pStyle w:val="DHHStabletext"/>
            </w:pPr>
            <w:hyperlink w:anchor="_Measure_13.9_–" w:history="1">
              <w:r w:rsidR="0064412C" w:rsidRPr="003B08A5">
                <w:rPr>
                  <w:rStyle w:val="Hyperlink"/>
                </w:rPr>
                <w:t>13.9</w:t>
              </w:r>
            </w:hyperlink>
          </w:p>
        </w:tc>
        <w:tc>
          <w:tcPr>
            <w:tcW w:w="3260" w:type="dxa"/>
          </w:tcPr>
          <w:p w14:paraId="4A3E1401" w14:textId="65223550" w:rsidR="0064412C" w:rsidRPr="00686AA3" w:rsidRDefault="0064412C" w:rsidP="00C1114C">
            <w:pPr>
              <w:pStyle w:val="DHHStabletext"/>
            </w:pPr>
            <w:r w:rsidRPr="00686AA3">
              <w:t xml:space="preserve">Five-year </w:t>
            </w:r>
            <w:r>
              <w:t xml:space="preserve">relative </w:t>
            </w:r>
            <w:r w:rsidRPr="00686AA3">
              <w:t>survival from all cancers</w:t>
            </w:r>
          </w:p>
        </w:tc>
        <w:tc>
          <w:tcPr>
            <w:tcW w:w="2268" w:type="dxa"/>
          </w:tcPr>
          <w:p w14:paraId="4A924913" w14:textId="77777777" w:rsidR="0064412C" w:rsidRPr="00686AA3" w:rsidRDefault="0064412C" w:rsidP="00C1114C">
            <w:pPr>
              <w:pStyle w:val="DHHStabletext"/>
            </w:pPr>
            <w:r w:rsidRPr="00290910">
              <w:t>Per cent</w:t>
            </w:r>
          </w:p>
        </w:tc>
        <w:tc>
          <w:tcPr>
            <w:tcW w:w="2126" w:type="dxa"/>
            <w:noWrap/>
          </w:tcPr>
          <w:p w14:paraId="168D4353" w14:textId="188D5938" w:rsidR="0064412C" w:rsidRPr="00922344" w:rsidRDefault="0064412C" w:rsidP="00C1114C">
            <w:pPr>
              <w:pStyle w:val="DHHStabletext"/>
            </w:pPr>
            <w:r w:rsidRPr="00922344">
              <w:t>67.4</w:t>
            </w:r>
          </w:p>
          <w:p w14:paraId="690A2827" w14:textId="30EB4E9B" w:rsidR="0064412C" w:rsidRPr="00922344" w:rsidRDefault="0064412C" w:rsidP="00C1114C">
            <w:pPr>
              <w:pStyle w:val="DHHStabletext"/>
            </w:pPr>
            <w:r w:rsidRPr="00922344">
              <w:t>(2010-</w:t>
            </w:r>
            <w:r>
              <w:t>–</w:t>
            </w:r>
            <w:r w:rsidRPr="00922344">
              <w:t>2014)</w:t>
            </w:r>
          </w:p>
        </w:tc>
        <w:tc>
          <w:tcPr>
            <w:tcW w:w="1701" w:type="dxa"/>
            <w:noWrap/>
          </w:tcPr>
          <w:p w14:paraId="45B36098" w14:textId="3B40A30C" w:rsidR="0064412C" w:rsidRPr="00885FE2" w:rsidRDefault="0064412C" w:rsidP="00C1114C">
            <w:pPr>
              <w:pStyle w:val="DHHStabletext"/>
            </w:pPr>
            <w:r>
              <w:t>N/A</w:t>
            </w:r>
          </w:p>
        </w:tc>
        <w:tc>
          <w:tcPr>
            <w:tcW w:w="1701" w:type="dxa"/>
            <w:noWrap/>
          </w:tcPr>
          <w:p w14:paraId="0D8D8DCD" w14:textId="6934FB0C" w:rsidR="0064412C" w:rsidRPr="00885FE2" w:rsidRDefault="0064412C" w:rsidP="00C1114C">
            <w:pPr>
              <w:pStyle w:val="DHHStabletext"/>
            </w:pPr>
            <w:r>
              <w:t>Double the improvement in five-year survival by 2040 from baseline</w:t>
            </w:r>
          </w:p>
        </w:tc>
        <w:tc>
          <w:tcPr>
            <w:tcW w:w="1276" w:type="dxa"/>
          </w:tcPr>
          <w:p w14:paraId="0A859824" w14:textId="032FF097" w:rsidR="0064412C" w:rsidRPr="00885FE2" w:rsidRDefault="0064412C" w:rsidP="00C1114C">
            <w:pPr>
              <w:pStyle w:val="DHHStabletext"/>
            </w:pPr>
            <w:r>
              <w:t>N/A</w:t>
            </w:r>
          </w:p>
        </w:tc>
      </w:tr>
      <w:tr w:rsidR="0064412C" w:rsidRPr="00885FE2" w14:paraId="6795D4F0" w14:textId="77777777" w:rsidTr="00247D94">
        <w:trPr>
          <w:trHeight w:val="621"/>
        </w:trPr>
        <w:tc>
          <w:tcPr>
            <w:tcW w:w="2127" w:type="dxa"/>
          </w:tcPr>
          <w:p w14:paraId="6ACEBB5C" w14:textId="6FA2AE92" w:rsidR="0064412C" w:rsidRDefault="009D1534" w:rsidP="00C1114C">
            <w:pPr>
              <w:pStyle w:val="DHHStabletext"/>
            </w:pPr>
            <w:hyperlink w:anchor="_Measure_13.10_–" w:history="1">
              <w:r w:rsidR="0064412C" w:rsidRPr="0092202A">
                <w:rPr>
                  <w:rStyle w:val="Hyperlink"/>
                </w:rPr>
                <w:t>13.10</w:t>
              </w:r>
            </w:hyperlink>
          </w:p>
        </w:tc>
        <w:tc>
          <w:tcPr>
            <w:tcW w:w="3260" w:type="dxa"/>
          </w:tcPr>
          <w:p w14:paraId="17F6B9AD" w14:textId="778664EE" w:rsidR="0064412C" w:rsidRPr="00686AA3" w:rsidRDefault="0064412C" w:rsidP="00C1114C">
            <w:pPr>
              <w:pStyle w:val="DHHStabletext"/>
            </w:pPr>
            <w:r w:rsidRPr="00686AA3">
              <w:t xml:space="preserve">Five-year </w:t>
            </w:r>
            <w:r>
              <w:t xml:space="preserve">relative </w:t>
            </w:r>
            <w:r w:rsidRPr="00686AA3">
              <w:t>survival from lung cancer</w:t>
            </w:r>
          </w:p>
        </w:tc>
        <w:tc>
          <w:tcPr>
            <w:tcW w:w="2268" w:type="dxa"/>
          </w:tcPr>
          <w:p w14:paraId="6F3DE20F" w14:textId="77777777" w:rsidR="0064412C" w:rsidRPr="00686AA3" w:rsidRDefault="0064412C" w:rsidP="00C1114C">
            <w:pPr>
              <w:pStyle w:val="DHHStabletext"/>
            </w:pPr>
            <w:r w:rsidRPr="00290910">
              <w:t>Per cent</w:t>
            </w:r>
          </w:p>
        </w:tc>
        <w:tc>
          <w:tcPr>
            <w:tcW w:w="2126" w:type="dxa"/>
            <w:noWrap/>
          </w:tcPr>
          <w:p w14:paraId="77D9A834" w14:textId="3D1E6085" w:rsidR="0064412C" w:rsidRPr="00922344" w:rsidRDefault="0064412C" w:rsidP="00C1114C">
            <w:pPr>
              <w:pStyle w:val="DHHStabletext"/>
            </w:pPr>
            <w:r w:rsidRPr="00922344">
              <w:t>17.6</w:t>
            </w:r>
          </w:p>
          <w:p w14:paraId="34164CD7" w14:textId="68C7E24D" w:rsidR="0064412C" w:rsidRPr="00922344" w:rsidRDefault="0064412C" w:rsidP="00C1114C">
            <w:pPr>
              <w:pStyle w:val="DHHStabletext"/>
            </w:pPr>
            <w:r w:rsidRPr="00922344">
              <w:t>(2010</w:t>
            </w:r>
            <w:r>
              <w:t>–</w:t>
            </w:r>
            <w:r w:rsidRPr="00922344">
              <w:t>2014)</w:t>
            </w:r>
          </w:p>
        </w:tc>
        <w:tc>
          <w:tcPr>
            <w:tcW w:w="1701" w:type="dxa"/>
            <w:noWrap/>
          </w:tcPr>
          <w:p w14:paraId="568EA374" w14:textId="7D841B6F" w:rsidR="0064412C" w:rsidRPr="00885FE2" w:rsidRDefault="0064412C" w:rsidP="00C1114C">
            <w:pPr>
              <w:pStyle w:val="DHHStabletext"/>
            </w:pPr>
            <w:r>
              <w:t>N/A</w:t>
            </w:r>
          </w:p>
        </w:tc>
        <w:tc>
          <w:tcPr>
            <w:tcW w:w="1701" w:type="dxa"/>
            <w:noWrap/>
          </w:tcPr>
          <w:p w14:paraId="392180B1" w14:textId="0405AB5C" w:rsidR="0064412C" w:rsidRPr="00885FE2" w:rsidRDefault="0064412C" w:rsidP="00C1114C">
            <w:pPr>
              <w:pStyle w:val="DHHStabletext"/>
            </w:pPr>
            <w:r>
              <w:t>N/S</w:t>
            </w:r>
          </w:p>
        </w:tc>
        <w:tc>
          <w:tcPr>
            <w:tcW w:w="1276" w:type="dxa"/>
          </w:tcPr>
          <w:p w14:paraId="5552E130" w14:textId="05F830B4" w:rsidR="0064412C" w:rsidRPr="00885FE2" w:rsidRDefault="0064412C" w:rsidP="00C1114C">
            <w:pPr>
              <w:pStyle w:val="DHHStabletext"/>
            </w:pPr>
            <w:r>
              <w:t>N/A</w:t>
            </w:r>
          </w:p>
        </w:tc>
      </w:tr>
      <w:tr w:rsidR="0064412C" w:rsidRPr="00885FE2" w14:paraId="5AA17B20" w14:textId="77777777" w:rsidTr="00247D94">
        <w:trPr>
          <w:trHeight w:val="621"/>
        </w:trPr>
        <w:tc>
          <w:tcPr>
            <w:tcW w:w="2127" w:type="dxa"/>
          </w:tcPr>
          <w:p w14:paraId="7A16E79B" w14:textId="67EECE17" w:rsidR="0064412C" w:rsidRDefault="009D1534" w:rsidP="00C1114C">
            <w:pPr>
              <w:pStyle w:val="DHHStabletext"/>
            </w:pPr>
            <w:hyperlink w:anchor="_Measure_13.11_–" w:history="1">
              <w:r w:rsidR="0064412C" w:rsidRPr="0092202A">
                <w:rPr>
                  <w:rStyle w:val="Hyperlink"/>
                </w:rPr>
                <w:t>13.11</w:t>
              </w:r>
            </w:hyperlink>
          </w:p>
        </w:tc>
        <w:tc>
          <w:tcPr>
            <w:tcW w:w="3260" w:type="dxa"/>
          </w:tcPr>
          <w:p w14:paraId="5BC01F24" w14:textId="5280616D" w:rsidR="0064412C" w:rsidRPr="00686AA3" w:rsidRDefault="0064412C" w:rsidP="00C1114C">
            <w:pPr>
              <w:pStyle w:val="DHHStabletext"/>
            </w:pPr>
            <w:r w:rsidRPr="00686AA3">
              <w:t xml:space="preserve">Five-year </w:t>
            </w:r>
            <w:r>
              <w:t xml:space="preserve">relative </w:t>
            </w:r>
            <w:r w:rsidRPr="00686AA3">
              <w:t>survival from pancrea</w:t>
            </w:r>
            <w:r>
              <w:t>tic</w:t>
            </w:r>
            <w:r w:rsidRPr="00686AA3">
              <w:t xml:space="preserve"> cancer</w:t>
            </w:r>
          </w:p>
        </w:tc>
        <w:tc>
          <w:tcPr>
            <w:tcW w:w="2268" w:type="dxa"/>
          </w:tcPr>
          <w:p w14:paraId="74778F67" w14:textId="77777777" w:rsidR="0064412C" w:rsidRPr="00686AA3" w:rsidRDefault="0064412C" w:rsidP="00C1114C">
            <w:pPr>
              <w:pStyle w:val="DHHStabletext"/>
            </w:pPr>
            <w:r w:rsidRPr="00290910">
              <w:t>Per cent</w:t>
            </w:r>
          </w:p>
        </w:tc>
        <w:tc>
          <w:tcPr>
            <w:tcW w:w="2126" w:type="dxa"/>
            <w:noWrap/>
          </w:tcPr>
          <w:p w14:paraId="2B64CEEF" w14:textId="33ADE12A" w:rsidR="0064412C" w:rsidRDefault="0064412C" w:rsidP="00C1114C">
            <w:pPr>
              <w:pStyle w:val="DHHStabletext"/>
            </w:pPr>
            <w:r>
              <w:t>7.3</w:t>
            </w:r>
          </w:p>
          <w:p w14:paraId="29C54EC4" w14:textId="2BED7C8F" w:rsidR="0064412C" w:rsidRPr="0098547B" w:rsidRDefault="0064412C" w:rsidP="00C1114C">
            <w:pPr>
              <w:pStyle w:val="DHHStabletext"/>
            </w:pPr>
            <w:r w:rsidRPr="0098547B">
              <w:t>(2010</w:t>
            </w:r>
            <w:r>
              <w:t>–</w:t>
            </w:r>
            <w:r w:rsidRPr="0098547B">
              <w:t>2014)</w:t>
            </w:r>
          </w:p>
        </w:tc>
        <w:tc>
          <w:tcPr>
            <w:tcW w:w="1701" w:type="dxa"/>
            <w:noWrap/>
          </w:tcPr>
          <w:p w14:paraId="116B81DC" w14:textId="6D976F6B" w:rsidR="0064412C" w:rsidRPr="00885FE2" w:rsidRDefault="0064412C" w:rsidP="00C1114C">
            <w:pPr>
              <w:pStyle w:val="DHHStabletext"/>
            </w:pPr>
            <w:r w:rsidRPr="00785C9E">
              <w:t>N/A</w:t>
            </w:r>
          </w:p>
        </w:tc>
        <w:tc>
          <w:tcPr>
            <w:tcW w:w="1701" w:type="dxa"/>
            <w:noWrap/>
          </w:tcPr>
          <w:p w14:paraId="6461816D" w14:textId="67B774B8" w:rsidR="0064412C" w:rsidRPr="00885FE2" w:rsidRDefault="0064412C" w:rsidP="00C1114C">
            <w:pPr>
              <w:pStyle w:val="DHHStabletext"/>
            </w:pPr>
            <w:r>
              <w:t>N/S</w:t>
            </w:r>
          </w:p>
        </w:tc>
        <w:tc>
          <w:tcPr>
            <w:tcW w:w="1276" w:type="dxa"/>
          </w:tcPr>
          <w:p w14:paraId="0BAF2EC2" w14:textId="4C3A0670" w:rsidR="0064412C" w:rsidRPr="00885FE2" w:rsidRDefault="0064412C" w:rsidP="00C1114C">
            <w:pPr>
              <w:pStyle w:val="DHHStabletext"/>
            </w:pPr>
            <w:r>
              <w:t>N/A</w:t>
            </w:r>
          </w:p>
        </w:tc>
      </w:tr>
      <w:tr w:rsidR="0064412C" w:rsidRPr="00885FE2" w14:paraId="56D23EEA" w14:textId="77777777" w:rsidTr="00247D94">
        <w:trPr>
          <w:trHeight w:val="621"/>
        </w:trPr>
        <w:tc>
          <w:tcPr>
            <w:tcW w:w="2127" w:type="dxa"/>
          </w:tcPr>
          <w:p w14:paraId="7FFD72BB" w14:textId="5562CA52" w:rsidR="0064412C" w:rsidRDefault="009D1534" w:rsidP="00C1114C">
            <w:pPr>
              <w:pStyle w:val="DHHStabletext"/>
            </w:pPr>
            <w:hyperlink w:anchor="_Measure_13.12_–" w:history="1">
              <w:r w:rsidR="0064412C" w:rsidRPr="00E124F1">
                <w:rPr>
                  <w:rStyle w:val="Hyperlink"/>
                </w:rPr>
                <w:t>13.12</w:t>
              </w:r>
            </w:hyperlink>
          </w:p>
        </w:tc>
        <w:tc>
          <w:tcPr>
            <w:tcW w:w="3260" w:type="dxa"/>
          </w:tcPr>
          <w:p w14:paraId="392776A8" w14:textId="3B5D08E7" w:rsidR="0064412C" w:rsidRPr="00686AA3" w:rsidRDefault="0064412C" w:rsidP="00C1114C">
            <w:pPr>
              <w:pStyle w:val="DHHStabletext"/>
            </w:pPr>
            <w:r w:rsidRPr="00686AA3">
              <w:t xml:space="preserve">Five-year </w:t>
            </w:r>
            <w:r>
              <w:t xml:space="preserve">relative </w:t>
            </w:r>
            <w:r w:rsidRPr="00686AA3">
              <w:t>survival from ovar</w:t>
            </w:r>
            <w:r>
              <w:t>ian</w:t>
            </w:r>
            <w:r w:rsidRPr="00686AA3">
              <w:t xml:space="preserve"> cancer</w:t>
            </w:r>
          </w:p>
        </w:tc>
        <w:tc>
          <w:tcPr>
            <w:tcW w:w="2268" w:type="dxa"/>
          </w:tcPr>
          <w:p w14:paraId="39FFD549" w14:textId="77777777" w:rsidR="0064412C" w:rsidRPr="00686AA3" w:rsidRDefault="0064412C" w:rsidP="00C1114C">
            <w:pPr>
              <w:pStyle w:val="DHHStabletext"/>
            </w:pPr>
            <w:r w:rsidRPr="00290910">
              <w:t>Per cent</w:t>
            </w:r>
          </w:p>
        </w:tc>
        <w:tc>
          <w:tcPr>
            <w:tcW w:w="2126" w:type="dxa"/>
            <w:noWrap/>
          </w:tcPr>
          <w:p w14:paraId="4F8757ED" w14:textId="5BB46487" w:rsidR="0064412C" w:rsidRDefault="0064412C" w:rsidP="00C1114C">
            <w:pPr>
              <w:pStyle w:val="DHHStabletext"/>
            </w:pPr>
            <w:r>
              <w:t>41.9</w:t>
            </w:r>
          </w:p>
          <w:p w14:paraId="26A62B96" w14:textId="0A8D4CBD" w:rsidR="0064412C" w:rsidRPr="0098547B" w:rsidRDefault="0064412C" w:rsidP="00C1114C">
            <w:pPr>
              <w:pStyle w:val="DHHStabletext"/>
            </w:pPr>
            <w:r w:rsidRPr="0098547B">
              <w:t>(2010</w:t>
            </w:r>
            <w:r>
              <w:t>–</w:t>
            </w:r>
            <w:r w:rsidRPr="0098547B">
              <w:t>2014)</w:t>
            </w:r>
          </w:p>
        </w:tc>
        <w:tc>
          <w:tcPr>
            <w:tcW w:w="1701" w:type="dxa"/>
            <w:noWrap/>
          </w:tcPr>
          <w:p w14:paraId="4FE2D9B5" w14:textId="659A4D50" w:rsidR="0064412C" w:rsidRPr="00885FE2" w:rsidRDefault="0064412C" w:rsidP="00C1114C">
            <w:pPr>
              <w:pStyle w:val="DHHStabletext"/>
            </w:pPr>
            <w:r w:rsidRPr="00785C9E">
              <w:t>N/A</w:t>
            </w:r>
          </w:p>
        </w:tc>
        <w:tc>
          <w:tcPr>
            <w:tcW w:w="1701" w:type="dxa"/>
            <w:noWrap/>
          </w:tcPr>
          <w:p w14:paraId="4CC6C1C8" w14:textId="18EA186B" w:rsidR="0064412C" w:rsidRPr="00885FE2" w:rsidRDefault="0064412C" w:rsidP="00C1114C">
            <w:pPr>
              <w:pStyle w:val="DHHStabletext"/>
            </w:pPr>
            <w:r>
              <w:t>N/S</w:t>
            </w:r>
          </w:p>
        </w:tc>
        <w:tc>
          <w:tcPr>
            <w:tcW w:w="1276" w:type="dxa"/>
          </w:tcPr>
          <w:p w14:paraId="0004E502" w14:textId="6915C463" w:rsidR="0064412C" w:rsidRPr="00885FE2" w:rsidRDefault="0064412C" w:rsidP="00C1114C">
            <w:pPr>
              <w:pStyle w:val="DHHStabletext"/>
            </w:pPr>
            <w:r>
              <w:t>N/A</w:t>
            </w:r>
          </w:p>
        </w:tc>
      </w:tr>
      <w:tr w:rsidR="0064412C" w:rsidRPr="00885FE2" w14:paraId="253AB7B5" w14:textId="77777777" w:rsidTr="00247D94">
        <w:trPr>
          <w:trHeight w:val="621"/>
        </w:trPr>
        <w:tc>
          <w:tcPr>
            <w:tcW w:w="2127" w:type="dxa"/>
          </w:tcPr>
          <w:p w14:paraId="5AC471E5" w14:textId="7161474F" w:rsidR="0064412C" w:rsidRDefault="009D1534" w:rsidP="00C1114C">
            <w:pPr>
              <w:pStyle w:val="DHHStabletext"/>
            </w:pPr>
            <w:hyperlink w:anchor="_Measure_13.13_–" w:history="1">
              <w:r w:rsidR="0064412C" w:rsidRPr="00E124F1">
                <w:rPr>
                  <w:rStyle w:val="Hyperlink"/>
                </w:rPr>
                <w:t>13.13</w:t>
              </w:r>
            </w:hyperlink>
          </w:p>
        </w:tc>
        <w:tc>
          <w:tcPr>
            <w:tcW w:w="3260" w:type="dxa"/>
          </w:tcPr>
          <w:p w14:paraId="3D52528E" w14:textId="5F1A01E7" w:rsidR="0064412C" w:rsidRPr="00686AA3" w:rsidRDefault="0064412C" w:rsidP="00C1114C">
            <w:pPr>
              <w:pStyle w:val="DHHStabletext"/>
            </w:pPr>
            <w:r w:rsidRPr="00686AA3">
              <w:t>Five-year</w:t>
            </w:r>
            <w:r>
              <w:t xml:space="preserve"> relative</w:t>
            </w:r>
            <w:r w:rsidRPr="00686AA3">
              <w:t xml:space="preserve"> survival from colorectal cancer</w:t>
            </w:r>
          </w:p>
        </w:tc>
        <w:tc>
          <w:tcPr>
            <w:tcW w:w="2268" w:type="dxa"/>
          </w:tcPr>
          <w:p w14:paraId="1A35EECD" w14:textId="77777777" w:rsidR="0064412C" w:rsidRPr="00686AA3" w:rsidRDefault="0064412C" w:rsidP="00C1114C">
            <w:pPr>
              <w:pStyle w:val="DHHStabletext"/>
            </w:pPr>
            <w:r w:rsidRPr="00290910">
              <w:t>Per cent</w:t>
            </w:r>
          </w:p>
        </w:tc>
        <w:tc>
          <w:tcPr>
            <w:tcW w:w="2126" w:type="dxa"/>
            <w:noWrap/>
          </w:tcPr>
          <w:p w14:paraId="0552C94F" w14:textId="0E9FC372" w:rsidR="0064412C" w:rsidRDefault="0064412C" w:rsidP="00C1114C">
            <w:pPr>
              <w:pStyle w:val="DHHStabletext"/>
            </w:pPr>
            <w:r>
              <w:t>68.1</w:t>
            </w:r>
          </w:p>
          <w:p w14:paraId="2216E074" w14:textId="69C5ACA0" w:rsidR="0064412C" w:rsidRPr="0098547B" w:rsidRDefault="0064412C" w:rsidP="00C1114C">
            <w:pPr>
              <w:pStyle w:val="DHHStabletext"/>
            </w:pPr>
            <w:r w:rsidRPr="0098547B">
              <w:t>(2010</w:t>
            </w:r>
            <w:r>
              <w:t>–</w:t>
            </w:r>
            <w:r w:rsidRPr="0098547B">
              <w:t>2014)</w:t>
            </w:r>
          </w:p>
        </w:tc>
        <w:tc>
          <w:tcPr>
            <w:tcW w:w="1701" w:type="dxa"/>
            <w:noWrap/>
          </w:tcPr>
          <w:p w14:paraId="62AD7B89" w14:textId="6B94D033" w:rsidR="0064412C" w:rsidRPr="00885FE2" w:rsidRDefault="0064412C" w:rsidP="00C1114C">
            <w:pPr>
              <w:pStyle w:val="DHHStabletext"/>
            </w:pPr>
            <w:r w:rsidRPr="00785C9E">
              <w:t>N/A</w:t>
            </w:r>
          </w:p>
        </w:tc>
        <w:tc>
          <w:tcPr>
            <w:tcW w:w="1701" w:type="dxa"/>
            <w:noWrap/>
          </w:tcPr>
          <w:p w14:paraId="346915DB" w14:textId="44A2141B" w:rsidR="0064412C" w:rsidRPr="00885FE2" w:rsidRDefault="0064412C" w:rsidP="00C1114C">
            <w:pPr>
              <w:pStyle w:val="DHHStabletext"/>
            </w:pPr>
            <w:r>
              <w:t>N/S</w:t>
            </w:r>
          </w:p>
        </w:tc>
        <w:tc>
          <w:tcPr>
            <w:tcW w:w="1276" w:type="dxa"/>
          </w:tcPr>
          <w:p w14:paraId="3E78394B" w14:textId="031BF1AB" w:rsidR="0064412C" w:rsidRPr="00885FE2" w:rsidRDefault="0064412C" w:rsidP="00C1114C">
            <w:pPr>
              <w:pStyle w:val="DHHStabletext"/>
            </w:pPr>
            <w:r>
              <w:t>N/A</w:t>
            </w:r>
          </w:p>
        </w:tc>
      </w:tr>
      <w:tr w:rsidR="0064412C" w:rsidRPr="00885FE2" w14:paraId="27C57447" w14:textId="77777777" w:rsidTr="00247D94">
        <w:trPr>
          <w:trHeight w:val="621"/>
        </w:trPr>
        <w:tc>
          <w:tcPr>
            <w:tcW w:w="2127" w:type="dxa"/>
          </w:tcPr>
          <w:p w14:paraId="58A65CD7" w14:textId="04DEC9AA" w:rsidR="0064412C" w:rsidRDefault="009D1534" w:rsidP="00C1114C">
            <w:pPr>
              <w:pStyle w:val="DHHStabletext"/>
            </w:pPr>
            <w:hyperlink w:anchor="_Measure_13.14_–" w:history="1">
              <w:r w:rsidR="0064412C" w:rsidRPr="000F20C7">
                <w:rPr>
                  <w:rStyle w:val="Hyperlink"/>
                </w:rPr>
                <w:t>13.14</w:t>
              </w:r>
            </w:hyperlink>
          </w:p>
        </w:tc>
        <w:tc>
          <w:tcPr>
            <w:tcW w:w="3260" w:type="dxa"/>
          </w:tcPr>
          <w:p w14:paraId="014485E4" w14:textId="5C4FD00B" w:rsidR="0064412C" w:rsidRPr="00686AA3" w:rsidRDefault="0064412C" w:rsidP="00C1114C">
            <w:pPr>
              <w:pStyle w:val="DHHStabletext"/>
            </w:pPr>
            <w:r w:rsidRPr="00686AA3">
              <w:t xml:space="preserve">Five-year </w:t>
            </w:r>
            <w:r>
              <w:t xml:space="preserve">relative </w:t>
            </w:r>
            <w:r w:rsidRPr="00686AA3">
              <w:t>survival from brain cancer</w:t>
            </w:r>
          </w:p>
        </w:tc>
        <w:tc>
          <w:tcPr>
            <w:tcW w:w="2268" w:type="dxa"/>
          </w:tcPr>
          <w:p w14:paraId="3CD130E1" w14:textId="77777777" w:rsidR="0064412C" w:rsidRPr="00686AA3" w:rsidRDefault="0064412C" w:rsidP="00C1114C">
            <w:pPr>
              <w:pStyle w:val="DHHStabletext"/>
            </w:pPr>
            <w:r w:rsidRPr="00290910">
              <w:t>Per cent</w:t>
            </w:r>
          </w:p>
        </w:tc>
        <w:tc>
          <w:tcPr>
            <w:tcW w:w="2126" w:type="dxa"/>
            <w:noWrap/>
          </w:tcPr>
          <w:p w14:paraId="06C4FCD4" w14:textId="723A2DCF" w:rsidR="0064412C" w:rsidRDefault="0064412C" w:rsidP="00C1114C">
            <w:pPr>
              <w:pStyle w:val="DHHStabletext"/>
            </w:pPr>
            <w:r>
              <w:t>25</w:t>
            </w:r>
            <w:r w:rsidR="0094432A">
              <w:t>.0</w:t>
            </w:r>
          </w:p>
          <w:p w14:paraId="404CF24B" w14:textId="072DFE9C" w:rsidR="0064412C" w:rsidRPr="0098547B" w:rsidRDefault="0064412C" w:rsidP="00C1114C">
            <w:pPr>
              <w:pStyle w:val="DHHStabletext"/>
            </w:pPr>
            <w:r w:rsidRPr="0098547B">
              <w:t>(2010</w:t>
            </w:r>
            <w:r>
              <w:t>–</w:t>
            </w:r>
            <w:r w:rsidRPr="0098547B">
              <w:t>2014)</w:t>
            </w:r>
          </w:p>
        </w:tc>
        <w:tc>
          <w:tcPr>
            <w:tcW w:w="1701" w:type="dxa"/>
            <w:noWrap/>
          </w:tcPr>
          <w:p w14:paraId="62F80248" w14:textId="47042213" w:rsidR="0064412C" w:rsidRPr="00885FE2" w:rsidRDefault="0064412C" w:rsidP="00C1114C">
            <w:pPr>
              <w:pStyle w:val="DHHStabletext"/>
            </w:pPr>
            <w:r w:rsidRPr="00785C9E">
              <w:t>N/A</w:t>
            </w:r>
          </w:p>
        </w:tc>
        <w:tc>
          <w:tcPr>
            <w:tcW w:w="1701" w:type="dxa"/>
            <w:noWrap/>
          </w:tcPr>
          <w:p w14:paraId="5F7C7898" w14:textId="420E9620" w:rsidR="0064412C" w:rsidRPr="00885FE2" w:rsidRDefault="0064412C" w:rsidP="00C1114C">
            <w:pPr>
              <w:pStyle w:val="DHHStabletext"/>
            </w:pPr>
            <w:r>
              <w:t>N/S</w:t>
            </w:r>
          </w:p>
        </w:tc>
        <w:tc>
          <w:tcPr>
            <w:tcW w:w="1276" w:type="dxa"/>
          </w:tcPr>
          <w:p w14:paraId="452B4366" w14:textId="6212EF95" w:rsidR="0064412C" w:rsidRPr="00885FE2" w:rsidRDefault="0064412C" w:rsidP="00C1114C">
            <w:pPr>
              <w:pStyle w:val="DHHStabletext"/>
            </w:pPr>
            <w:r>
              <w:t>N/A</w:t>
            </w:r>
          </w:p>
        </w:tc>
      </w:tr>
      <w:tr w:rsidR="0064412C" w:rsidRPr="00885FE2" w14:paraId="0F1F09DA" w14:textId="77777777" w:rsidTr="00247D94">
        <w:trPr>
          <w:trHeight w:val="621"/>
        </w:trPr>
        <w:tc>
          <w:tcPr>
            <w:tcW w:w="2127" w:type="dxa"/>
          </w:tcPr>
          <w:p w14:paraId="5D0A8190" w14:textId="42117FF3" w:rsidR="0064412C" w:rsidRDefault="009D1534" w:rsidP="00C1114C">
            <w:pPr>
              <w:pStyle w:val="DHHStabletext"/>
            </w:pPr>
            <w:hyperlink w:anchor="_Measure_13.15_–" w:history="1">
              <w:r w:rsidR="0064412C" w:rsidRPr="00E124F1">
                <w:rPr>
                  <w:rStyle w:val="Hyperlink"/>
                </w:rPr>
                <w:t>13.15</w:t>
              </w:r>
            </w:hyperlink>
          </w:p>
        </w:tc>
        <w:tc>
          <w:tcPr>
            <w:tcW w:w="3260" w:type="dxa"/>
          </w:tcPr>
          <w:p w14:paraId="77194CDF" w14:textId="6EC1B992" w:rsidR="0064412C" w:rsidRPr="00686AA3" w:rsidRDefault="0064412C" w:rsidP="00C1114C">
            <w:pPr>
              <w:pStyle w:val="DHHStabletext"/>
            </w:pPr>
            <w:r w:rsidRPr="00686AA3">
              <w:t xml:space="preserve">Five-year </w:t>
            </w:r>
            <w:r>
              <w:t xml:space="preserve">relative </w:t>
            </w:r>
            <w:r w:rsidRPr="00686AA3">
              <w:t>survival from oesophagus cancer</w:t>
            </w:r>
          </w:p>
        </w:tc>
        <w:tc>
          <w:tcPr>
            <w:tcW w:w="2268" w:type="dxa"/>
          </w:tcPr>
          <w:p w14:paraId="20A705DE" w14:textId="77777777" w:rsidR="0064412C" w:rsidRPr="00686AA3" w:rsidRDefault="0064412C" w:rsidP="00C1114C">
            <w:pPr>
              <w:pStyle w:val="DHHStabletext"/>
            </w:pPr>
            <w:r w:rsidRPr="00290910">
              <w:t>Per cent</w:t>
            </w:r>
          </w:p>
        </w:tc>
        <w:tc>
          <w:tcPr>
            <w:tcW w:w="2126" w:type="dxa"/>
            <w:noWrap/>
          </w:tcPr>
          <w:p w14:paraId="71B2ED84" w14:textId="2AA3829C" w:rsidR="0064412C" w:rsidRDefault="0064412C" w:rsidP="00C1114C">
            <w:pPr>
              <w:pStyle w:val="DHHStabletext"/>
            </w:pPr>
            <w:r>
              <w:t>20.7</w:t>
            </w:r>
          </w:p>
          <w:p w14:paraId="4298DD0E" w14:textId="5741823B" w:rsidR="0064412C" w:rsidRPr="0098547B" w:rsidRDefault="0064412C" w:rsidP="00C1114C">
            <w:pPr>
              <w:pStyle w:val="DHHStabletext"/>
            </w:pPr>
            <w:r w:rsidRPr="0098547B">
              <w:t>(2010</w:t>
            </w:r>
            <w:r>
              <w:t>–</w:t>
            </w:r>
            <w:r w:rsidRPr="0098547B">
              <w:t>2014)</w:t>
            </w:r>
          </w:p>
        </w:tc>
        <w:tc>
          <w:tcPr>
            <w:tcW w:w="1701" w:type="dxa"/>
            <w:noWrap/>
          </w:tcPr>
          <w:p w14:paraId="7D653FE5" w14:textId="049BFBF6" w:rsidR="0064412C" w:rsidRPr="00885FE2" w:rsidRDefault="0064412C" w:rsidP="00C1114C">
            <w:pPr>
              <w:pStyle w:val="DHHStabletext"/>
            </w:pPr>
            <w:r w:rsidRPr="00785C9E">
              <w:t>N/A</w:t>
            </w:r>
          </w:p>
        </w:tc>
        <w:tc>
          <w:tcPr>
            <w:tcW w:w="1701" w:type="dxa"/>
            <w:noWrap/>
          </w:tcPr>
          <w:p w14:paraId="30511DEB" w14:textId="4BA2DD3F" w:rsidR="0064412C" w:rsidRPr="00885FE2" w:rsidRDefault="0064412C" w:rsidP="00C1114C">
            <w:pPr>
              <w:pStyle w:val="DHHStabletext"/>
            </w:pPr>
            <w:r>
              <w:t>N/S</w:t>
            </w:r>
          </w:p>
        </w:tc>
        <w:tc>
          <w:tcPr>
            <w:tcW w:w="1276" w:type="dxa"/>
          </w:tcPr>
          <w:p w14:paraId="32F57F3D" w14:textId="0B7E0565" w:rsidR="0064412C" w:rsidRPr="00885FE2" w:rsidRDefault="0064412C" w:rsidP="00C1114C">
            <w:pPr>
              <w:pStyle w:val="DHHStabletext"/>
            </w:pPr>
            <w:r>
              <w:t>N/A</w:t>
            </w:r>
          </w:p>
        </w:tc>
      </w:tr>
      <w:tr w:rsidR="0064412C" w:rsidRPr="00885FE2" w14:paraId="455525E5" w14:textId="77777777" w:rsidTr="00247D94">
        <w:trPr>
          <w:trHeight w:val="621"/>
        </w:trPr>
        <w:tc>
          <w:tcPr>
            <w:tcW w:w="2127" w:type="dxa"/>
          </w:tcPr>
          <w:p w14:paraId="34C996A2" w14:textId="7BD0F4B3" w:rsidR="0064412C" w:rsidRDefault="009D1534" w:rsidP="00C1114C">
            <w:pPr>
              <w:pStyle w:val="DHHStabletext"/>
            </w:pPr>
            <w:hyperlink w:anchor="_Measure_13.16_–" w:history="1">
              <w:r w:rsidR="0064412C" w:rsidRPr="00E124F1">
                <w:rPr>
                  <w:rStyle w:val="Hyperlink"/>
                </w:rPr>
                <w:t>13.16</w:t>
              </w:r>
            </w:hyperlink>
          </w:p>
        </w:tc>
        <w:tc>
          <w:tcPr>
            <w:tcW w:w="3260" w:type="dxa"/>
          </w:tcPr>
          <w:p w14:paraId="34A4A5A9" w14:textId="4A7704CF" w:rsidR="0064412C" w:rsidRPr="00686AA3" w:rsidRDefault="0064412C" w:rsidP="00C1114C">
            <w:pPr>
              <w:pStyle w:val="DHHStabletext"/>
            </w:pPr>
            <w:r w:rsidRPr="00686AA3">
              <w:t xml:space="preserve">Five-year </w:t>
            </w:r>
            <w:r>
              <w:t xml:space="preserve">relative </w:t>
            </w:r>
            <w:r w:rsidRPr="00686AA3">
              <w:t>survival from acute myeloid leukaemia</w:t>
            </w:r>
          </w:p>
        </w:tc>
        <w:tc>
          <w:tcPr>
            <w:tcW w:w="2268" w:type="dxa"/>
          </w:tcPr>
          <w:p w14:paraId="2B7411F2" w14:textId="77777777" w:rsidR="0064412C" w:rsidRPr="00686AA3" w:rsidRDefault="0064412C" w:rsidP="00C1114C">
            <w:pPr>
              <w:pStyle w:val="DHHStabletext"/>
            </w:pPr>
            <w:r w:rsidRPr="00290910">
              <w:t>Per cent</w:t>
            </w:r>
          </w:p>
        </w:tc>
        <w:tc>
          <w:tcPr>
            <w:tcW w:w="2126" w:type="dxa"/>
            <w:noWrap/>
          </w:tcPr>
          <w:p w14:paraId="1CD57B9E" w14:textId="2A66E238" w:rsidR="0064412C" w:rsidRDefault="0064412C" w:rsidP="00C1114C">
            <w:pPr>
              <w:pStyle w:val="DHHStabletext"/>
            </w:pPr>
            <w:r>
              <w:t>27.7</w:t>
            </w:r>
          </w:p>
          <w:p w14:paraId="1EE14AAE" w14:textId="5F7C5848" w:rsidR="0064412C" w:rsidRPr="0098547B" w:rsidRDefault="0064412C" w:rsidP="00C1114C">
            <w:pPr>
              <w:pStyle w:val="DHHStabletext"/>
            </w:pPr>
            <w:r w:rsidRPr="0098547B">
              <w:t>(2010</w:t>
            </w:r>
            <w:r>
              <w:t>–</w:t>
            </w:r>
            <w:r w:rsidRPr="0098547B">
              <w:t>2014)</w:t>
            </w:r>
          </w:p>
        </w:tc>
        <w:tc>
          <w:tcPr>
            <w:tcW w:w="1701" w:type="dxa"/>
            <w:noWrap/>
          </w:tcPr>
          <w:p w14:paraId="43FABFEA" w14:textId="6F1DC3A9" w:rsidR="0064412C" w:rsidRPr="00885FE2" w:rsidRDefault="0064412C" w:rsidP="00C1114C">
            <w:pPr>
              <w:pStyle w:val="DHHStabletext"/>
            </w:pPr>
            <w:r w:rsidRPr="00785C9E">
              <w:t>N/A</w:t>
            </w:r>
          </w:p>
        </w:tc>
        <w:tc>
          <w:tcPr>
            <w:tcW w:w="1701" w:type="dxa"/>
            <w:noWrap/>
          </w:tcPr>
          <w:p w14:paraId="05A15186" w14:textId="71D9CD38" w:rsidR="0064412C" w:rsidRPr="00885FE2" w:rsidRDefault="0064412C" w:rsidP="00C1114C">
            <w:pPr>
              <w:pStyle w:val="DHHStabletext"/>
            </w:pPr>
            <w:r>
              <w:t>N/S</w:t>
            </w:r>
          </w:p>
        </w:tc>
        <w:tc>
          <w:tcPr>
            <w:tcW w:w="1276" w:type="dxa"/>
          </w:tcPr>
          <w:p w14:paraId="18C1292B" w14:textId="7CA1AB23" w:rsidR="0064412C" w:rsidRPr="00885FE2" w:rsidRDefault="0064412C" w:rsidP="00C1114C">
            <w:pPr>
              <w:pStyle w:val="DHHStabletext"/>
            </w:pPr>
            <w:r>
              <w:t>N/A</w:t>
            </w:r>
          </w:p>
        </w:tc>
      </w:tr>
      <w:tr w:rsidR="0064412C" w:rsidRPr="00885FE2" w14:paraId="215D3D25" w14:textId="77777777" w:rsidTr="00247D94">
        <w:trPr>
          <w:trHeight w:val="621"/>
        </w:trPr>
        <w:tc>
          <w:tcPr>
            <w:tcW w:w="2127" w:type="dxa"/>
          </w:tcPr>
          <w:p w14:paraId="6E9BA2C5" w14:textId="5F2B7F49" w:rsidR="0064412C" w:rsidRDefault="009D1534" w:rsidP="00C1114C">
            <w:pPr>
              <w:pStyle w:val="DHHStabletext"/>
            </w:pPr>
            <w:hyperlink w:anchor="_Appendix_1:_Measures" w:history="1">
              <w:r w:rsidR="0064412C" w:rsidRPr="00E124F1">
                <w:rPr>
                  <w:rStyle w:val="Hyperlink"/>
                </w:rPr>
                <w:t>13.17</w:t>
              </w:r>
            </w:hyperlink>
          </w:p>
        </w:tc>
        <w:tc>
          <w:tcPr>
            <w:tcW w:w="3260" w:type="dxa"/>
          </w:tcPr>
          <w:p w14:paraId="63C064F0" w14:textId="77777777" w:rsidR="0064412C" w:rsidRPr="00686AA3" w:rsidRDefault="0064412C" w:rsidP="00C1114C">
            <w:pPr>
              <w:pStyle w:val="DHHStabletext"/>
            </w:pPr>
            <w:r w:rsidRPr="00686AA3">
              <w:t>Five-year survival from all cancers diagnosed at stages 1 and 2</w:t>
            </w:r>
          </w:p>
        </w:tc>
        <w:tc>
          <w:tcPr>
            <w:tcW w:w="2268" w:type="dxa"/>
          </w:tcPr>
          <w:p w14:paraId="66ED3150" w14:textId="77777777" w:rsidR="0064412C" w:rsidRPr="00686AA3" w:rsidRDefault="0064412C" w:rsidP="00C1114C">
            <w:pPr>
              <w:pStyle w:val="DHHStabletext"/>
            </w:pPr>
            <w:r w:rsidRPr="00290910">
              <w:t>Per cent</w:t>
            </w:r>
          </w:p>
        </w:tc>
        <w:tc>
          <w:tcPr>
            <w:tcW w:w="2126" w:type="dxa"/>
            <w:noWrap/>
          </w:tcPr>
          <w:p w14:paraId="7F3BBB90" w14:textId="77777777" w:rsidR="0064412C" w:rsidRPr="005F4D6D" w:rsidRDefault="0064412C" w:rsidP="00C1114C">
            <w:pPr>
              <w:pStyle w:val="DHHStabletext"/>
              <w:rPr>
                <w:color w:val="87189D"/>
              </w:rPr>
            </w:pPr>
            <w:r w:rsidRPr="005F4D6D">
              <w:rPr>
                <w:color w:val="87189D"/>
              </w:rPr>
              <w:t>Currently not ‘all’ cancers at stages 1 and 2 can be reported against this measure (refer to Appendix 1)</w:t>
            </w:r>
          </w:p>
        </w:tc>
        <w:tc>
          <w:tcPr>
            <w:tcW w:w="1701" w:type="dxa"/>
          </w:tcPr>
          <w:p w14:paraId="22B1A071" w14:textId="039A81B3" w:rsidR="0064412C" w:rsidRPr="005F4D6D" w:rsidRDefault="0064412C" w:rsidP="00C1114C">
            <w:pPr>
              <w:pStyle w:val="DHHStabletext"/>
              <w:rPr>
                <w:color w:val="87189D"/>
              </w:rPr>
            </w:pPr>
            <w:r w:rsidRPr="005F4D6D">
              <w:rPr>
                <w:color w:val="87189D"/>
              </w:rPr>
              <w:t>Currently not ‘all’ cancers at stages 1 and 2 can be reported against this measure (refer to Appendix 1)</w:t>
            </w:r>
          </w:p>
        </w:tc>
        <w:tc>
          <w:tcPr>
            <w:tcW w:w="1701" w:type="dxa"/>
            <w:noWrap/>
          </w:tcPr>
          <w:p w14:paraId="1364CDFE" w14:textId="77777777" w:rsidR="0064412C" w:rsidRPr="00885FE2" w:rsidRDefault="0064412C" w:rsidP="00C1114C">
            <w:pPr>
              <w:pStyle w:val="DHHStabletext"/>
            </w:pPr>
            <w:r>
              <w:t>N/S</w:t>
            </w:r>
          </w:p>
        </w:tc>
        <w:tc>
          <w:tcPr>
            <w:tcW w:w="1276" w:type="dxa"/>
          </w:tcPr>
          <w:p w14:paraId="1D3F52EE" w14:textId="77777777" w:rsidR="0064412C" w:rsidRPr="00885FE2" w:rsidRDefault="0064412C" w:rsidP="00C1114C">
            <w:pPr>
              <w:pStyle w:val="DHHStabletext"/>
            </w:pPr>
            <w:r>
              <w:t>N/A</w:t>
            </w:r>
          </w:p>
        </w:tc>
      </w:tr>
      <w:tr w:rsidR="0064412C" w:rsidRPr="00885FE2" w14:paraId="64756B25" w14:textId="77777777" w:rsidTr="00247D94">
        <w:trPr>
          <w:trHeight w:val="621"/>
        </w:trPr>
        <w:tc>
          <w:tcPr>
            <w:tcW w:w="2127" w:type="dxa"/>
          </w:tcPr>
          <w:p w14:paraId="10FF6F43" w14:textId="24BCBC53" w:rsidR="0064412C" w:rsidRDefault="009D1534" w:rsidP="00C1114C">
            <w:pPr>
              <w:pStyle w:val="DHHStabletext"/>
            </w:pPr>
            <w:hyperlink w:anchor="_Appendix_1:_Measures" w:history="1">
              <w:r w:rsidR="0064412C" w:rsidRPr="00E124F1">
                <w:rPr>
                  <w:rStyle w:val="Hyperlink"/>
                </w:rPr>
                <w:t>13.18</w:t>
              </w:r>
            </w:hyperlink>
          </w:p>
        </w:tc>
        <w:tc>
          <w:tcPr>
            <w:tcW w:w="3260" w:type="dxa"/>
          </w:tcPr>
          <w:p w14:paraId="325C275F" w14:textId="77777777" w:rsidR="0064412C" w:rsidRPr="00686AA3" w:rsidRDefault="0064412C" w:rsidP="00C1114C">
            <w:pPr>
              <w:pStyle w:val="DHHStabletext"/>
            </w:pPr>
            <w:r w:rsidRPr="00686AA3">
              <w:t>Five-year survival from all cancers diagnosed at stages 3 and 4</w:t>
            </w:r>
          </w:p>
        </w:tc>
        <w:tc>
          <w:tcPr>
            <w:tcW w:w="2268" w:type="dxa"/>
          </w:tcPr>
          <w:p w14:paraId="145F2CAC" w14:textId="77777777" w:rsidR="0064412C" w:rsidRPr="00686AA3" w:rsidRDefault="0064412C" w:rsidP="00C1114C">
            <w:pPr>
              <w:pStyle w:val="DHHStabletext"/>
            </w:pPr>
            <w:r w:rsidRPr="00290910">
              <w:t>Per cent</w:t>
            </w:r>
          </w:p>
        </w:tc>
        <w:tc>
          <w:tcPr>
            <w:tcW w:w="2126" w:type="dxa"/>
            <w:noWrap/>
          </w:tcPr>
          <w:p w14:paraId="67CE9DC8" w14:textId="77777777" w:rsidR="0064412C" w:rsidRPr="005F4D6D" w:rsidRDefault="0064412C" w:rsidP="00C1114C">
            <w:pPr>
              <w:pStyle w:val="DHHStabletext"/>
              <w:rPr>
                <w:color w:val="87189D"/>
              </w:rPr>
            </w:pPr>
            <w:r w:rsidRPr="005F4D6D">
              <w:rPr>
                <w:color w:val="87189D"/>
              </w:rPr>
              <w:t>Currently not ‘all’ cancers at stages 3 and 4 can be reported against this measure (refer to Appendix 1)</w:t>
            </w:r>
          </w:p>
        </w:tc>
        <w:tc>
          <w:tcPr>
            <w:tcW w:w="1701" w:type="dxa"/>
          </w:tcPr>
          <w:p w14:paraId="481A24B7" w14:textId="596E66A6" w:rsidR="0064412C" w:rsidRPr="005F4D6D" w:rsidRDefault="0064412C" w:rsidP="00C1114C">
            <w:pPr>
              <w:pStyle w:val="DHHStabletext"/>
              <w:rPr>
                <w:color w:val="87189D"/>
              </w:rPr>
            </w:pPr>
            <w:r w:rsidRPr="005F4D6D">
              <w:rPr>
                <w:color w:val="87189D"/>
              </w:rPr>
              <w:t>Currently not ‘all’ cancers at stages 1 and 2 can be reported against this measure (refer to Appendix 1)</w:t>
            </w:r>
          </w:p>
        </w:tc>
        <w:tc>
          <w:tcPr>
            <w:tcW w:w="1701" w:type="dxa"/>
            <w:noWrap/>
          </w:tcPr>
          <w:p w14:paraId="2DFF5A65" w14:textId="77777777" w:rsidR="0064412C" w:rsidRPr="00885FE2" w:rsidRDefault="0064412C" w:rsidP="00C1114C">
            <w:pPr>
              <w:pStyle w:val="DHHStabletext"/>
            </w:pPr>
            <w:r>
              <w:t>N/S</w:t>
            </w:r>
          </w:p>
        </w:tc>
        <w:tc>
          <w:tcPr>
            <w:tcW w:w="1276" w:type="dxa"/>
          </w:tcPr>
          <w:p w14:paraId="383BAD55" w14:textId="77777777" w:rsidR="0064412C" w:rsidRPr="00885FE2" w:rsidRDefault="0064412C" w:rsidP="00C1114C">
            <w:pPr>
              <w:pStyle w:val="DHHStabletext"/>
            </w:pPr>
            <w:r>
              <w:t>N/A</w:t>
            </w:r>
          </w:p>
        </w:tc>
      </w:tr>
    </w:tbl>
    <w:p w14:paraId="69561A7A" w14:textId="2742BC19" w:rsidR="00D16A3A" w:rsidRDefault="00D16A3A" w:rsidP="00D16A3A">
      <w:pPr>
        <w:pStyle w:val="Heading5"/>
      </w:pPr>
      <w:r w:rsidRPr="0007466C">
        <w:lastRenderedPageBreak/>
        <w:t>Key result: Improve quality of life</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260"/>
        <w:gridCol w:w="2268"/>
        <w:gridCol w:w="2126"/>
        <w:gridCol w:w="1701"/>
        <w:gridCol w:w="1701"/>
        <w:gridCol w:w="1276"/>
      </w:tblGrid>
      <w:tr w:rsidR="00D16A3A" w:rsidRPr="00885FE2" w14:paraId="51B94C5D" w14:textId="77777777" w:rsidTr="00360C87">
        <w:trPr>
          <w:trHeight w:val="621"/>
        </w:trPr>
        <w:tc>
          <w:tcPr>
            <w:tcW w:w="2127" w:type="dxa"/>
            <w:shd w:val="clear" w:color="auto" w:fill="EDCDCF"/>
          </w:tcPr>
          <w:p w14:paraId="7A47469C" w14:textId="111D44F1" w:rsidR="00D16A3A" w:rsidRPr="00D16A3A" w:rsidRDefault="00D16A3A" w:rsidP="00D16A3A">
            <w:pPr>
              <w:pStyle w:val="DHHStablecolhead"/>
            </w:pPr>
            <w:r w:rsidRPr="00D16A3A">
              <w:t>Measure #</w:t>
            </w:r>
          </w:p>
        </w:tc>
        <w:tc>
          <w:tcPr>
            <w:tcW w:w="3260" w:type="dxa"/>
            <w:shd w:val="clear" w:color="auto" w:fill="EDCDCF"/>
          </w:tcPr>
          <w:p w14:paraId="1B6CB64D" w14:textId="2AEA851B" w:rsidR="00D16A3A" w:rsidRPr="00D16A3A" w:rsidRDefault="00D16A3A" w:rsidP="00D16A3A">
            <w:pPr>
              <w:pStyle w:val="DHHStablecolhead"/>
            </w:pPr>
            <w:r w:rsidRPr="00D16A3A">
              <w:t>Description</w:t>
            </w:r>
          </w:p>
        </w:tc>
        <w:tc>
          <w:tcPr>
            <w:tcW w:w="2268" w:type="dxa"/>
            <w:shd w:val="clear" w:color="auto" w:fill="EDCDCF"/>
          </w:tcPr>
          <w:p w14:paraId="349A638B" w14:textId="444519C7" w:rsidR="00D16A3A" w:rsidRPr="00D16A3A" w:rsidRDefault="00D16A3A" w:rsidP="00D16A3A">
            <w:pPr>
              <w:pStyle w:val="DHHStablecolhead"/>
            </w:pPr>
            <w:r w:rsidRPr="00D16A3A">
              <w:t>Unit of measure</w:t>
            </w:r>
          </w:p>
        </w:tc>
        <w:tc>
          <w:tcPr>
            <w:tcW w:w="2126" w:type="dxa"/>
            <w:shd w:val="clear" w:color="auto" w:fill="EDCDCF"/>
          </w:tcPr>
          <w:p w14:paraId="29FAB944" w14:textId="77777777" w:rsidR="00D16A3A" w:rsidRPr="00D16A3A" w:rsidRDefault="00D16A3A" w:rsidP="00D16A3A">
            <w:pPr>
              <w:pStyle w:val="DHHStablecolhead"/>
            </w:pPr>
            <w:r w:rsidRPr="00D16A3A">
              <w:t>Baseline</w:t>
            </w:r>
          </w:p>
          <w:p w14:paraId="21E98E7C" w14:textId="12A2349B" w:rsidR="00D16A3A" w:rsidRPr="00D16A3A" w:rsidRDefault="00D16A3A" w:rsidP="00D16A3A">
            <w:pPr>
              <w:pStyle w:val="DHHStablecolhead"/>
            </w:pPr>
            <w:r w:rsidRPr="00D16A3A">
              <w:t>(year)</w:t>
            </w:r>
          </w:p>
        </w:tc>
        <w:tc>
          <w:tcPr>
            <w:tcW w:w="1701" w:type="dxa"/>
            <w:shd w:val="clear" w:color="auto" w:fill="EDCDCF"/>
          </w:tcPr>
          <w:p w14:paraId="73C8DC0C" w14:textId="77777777" w:rsidR="00D16A3A" w:rsidRPr="00D16A3A" w:rsidRDefault="00D16A3A" w:rsidP="00D16A3A">
            <w:pPr>
              <w:pStyle w:val="DHHStablecolhead"/>
            </w:pPr>
            <w:r w:rsidRPr="00D16A3A">
              <w:t>Most recent</w:t>
            </w:r>
          </w:p>
          <w:p w14:paraId="180BED5C" w14:textId="7BAEABF8" w:rsidR="00D16A3A" w:rsidRPr="00D16A3A" w:rsidRDefault="00D16A3A" w:rsidP="00D16A3A">
            <w:pPr>
              <w:pStyle w:val="DHHStablecolhead"/>
            </w:pPr>
            <w:r w:rsidRPr="00D16A3A">
              <w:t>(year)</w:t>
            </w:r>
          </w:p>
        </w:tc>
        <w:tc>
          <w:tcPr>
            <w:tcW w:w="1701" w:type="dxa"/>
            <w:shd w:val="clear" w:color="auto" w:fill="EDCDCF"/>
            <w:noWrap/>
          </w:tcPr>
          <w:p w14:paraId="1C9DB2BF" w14:textId="770853C8" w:rsidR="00D16A3A" w:rsidRPr="00D16A3A" w:rsidRDefault="00D16A3A" w:rsidP="00D16A3A">
            <w:pPr>
              <w:pStyle w:val="DHHStablecolhead"/>
            </w:pPr>
            <w:r w:rsidRPr="00D16A3A">
              <w:t>Target</w:t>
            </w:r>
          </w:p>
        </w:tc>
        <w:tc>
          <w:tcPr>
            <w:tcW w:w="1276" w:type="dxa"/>
            <w:shd w:val="clear" w:color="auto" w:fill="EDCDCF"/>
          </w:tcPr>
          <w:p w14:paraId="68DF186F" w14:textId="15832841" w:rsidR="00D16A3A" w:rsidRPr="00D16A3A" w:rsidRDefault="00D16A3A" w:rsidP="00D16A3A">
            <w:pPr>
              <w:pStyle w:val="DHHStablecolhead"/>
            </w:pPr>
            <w:r w:rsidRPr="00D16A3A">
              <w:t>Trend</w:t>
            </w:r>
          </w:p>
        </w:tc>
      </w:tr>
      <w:tr w:rsidR="0064412C" w:rsidRPr="00885FE2" w14:paraId="169255C8" w14:textId="77777777" w:rsidTr="00360C87">
        <w:trPr>
          <w:trHeight w:val="621"/>
        </w:trPr>
        <w:tc>
          <w:tcPr>
            <w:tcW w:w="2127" w:type="dxa"/>
          </w:tcPr>
          <w:p w14:paraId="688F63A5" w14:textId="3F83C9DC" w:rsidR="0064412C" w:rsidRPr="00885FE2" w:rsidRDefault="009D1534" w:rsidP="00C1114C">
            <w:pPr>
              <w:pStyle w:val="DHHStabletext"/>
            </w:pPr>
            <w:hyperlink w:anchor="_Appendix_1:_Measures" w:history="1">
              <w:r w:rsidR="0064412C" w:rsidRPr="00B339C8">
                <w:rPr>
                  <w:rStyle w:val="Hyperlink"/>
                </w:rPr>
                <w:t>14.1</w:t>
              </w:r>
            </w:hyperlink>
          </w:p>
        </w:tc>
        <w:tc>
          <w:tcPr>
            <w:tcW w:w="3260" w:type="dxa"/>
          </w:tcPr>
          <w:p w14:paraId="5FEE99C4" w14:textId="77777777" w:rsidR="0064412C" w:rsidRPr="00885FE2" w:rsidRDefault="0064412C" w:rsidP="00C1114C">
            <w:pPr>
              <w:pStyle w:val="DHHStabletext"/>
            </w:pPr>
            <w:r w:rsidRPr="002A0183">
              <w:t>Health-related quality of life following primary treatment (TBD)</w:t>
            </w:r>
          </w:p>
        </w:tc>
        <w:tc>
          <w:tcPr>
            <w:tcW w:w="2268" w:type="dxa"/>
          </w:tcPr>
          <w:p w14:paraId="115E423F" w14:textId="77777777" w:rsidR="0064412C" w:rsidRPr="005F4D6D" w:rsidRDefault="0064412C" w:rsidP="00C1114C">
            <w:pPr>
              <w:pStyle w:val="DHHStabletext"/>
              <w:rPr>
                <w:color w:val="87189D"/>
              </w:rPr>
            </w:pPr>
            <w:r w:rsidRPr="005F4D6D">
              <w:rPr>
                <w:color w:val="87189D"/>
              </w:rPr>
              <w:t>No data available (refer to Appendix 1)</w:t>
            </w:r>
          </w:p>
        </w:tc>
        <w:tc>
          <w:tcPr>
            <w:tcW w:w="2126" w:type="dxa"/>
          </w:tcPr>
          <w:p w14:paraId="68201F69" w14:textId="0759DE42" w:rsidR="0064412C" w:rsidRPr="002A1B3F" w:rsidRDefault="0064412C" w:rsidP="00C1114C">
            <w:pPr>
              <w:pStyle w:val="DHHStabletext"/>
            </w:pPr>
            <w:r>
              <w:t>N/A</w:t>
            </w:r>
          </w:p>
        </w:tc>
        <w:tc>
          <w:tcPr>
            <w:tcW w:w="1701" w:type="dxa"/>
          </w:tcPr>
          <w:p w14:paraId="5F8DD276" w14:textId="35ABC3F0" w:rsidR="0064412C" w:rsidRPr="002A1B3F" w:rsidRDefault="0064412C" w:rsidP="00C1114C">
            <w:pPr>
              <w:pStyle w:val="DHHStabletext"/>
            </w:pPr>
            <w:r>
              <w:t>N/A</w:t>
            </w:r>
          </w:p>
        </w:tc>
        <w:tc>
          <w:tcPr>
            <w:tcW w:w="1701" w:type="dxa"/>
            <w:noWrap/>
          </w:tcPr>
          <w:p w14:paraId="5ECFE609" w14:textId="77777777" w:rsidR="0064412C" w:rsidRPr="002A1B3F" w:rsidRDefault="0064412C" w:rsidP="00C1114C">
            <w:pPr>
              <w:pStyle w:val="DHHStabletext"/>
            </w:pPr>
            <w:r>
              <w:t>N/S</w:t>
            </w:r>
          </w:p>
        </w:tc>
        <w:tc>
          <w:tcPr>
            <w:tcW w:w="1276" w:type="dxa"/>
          </w:tcPr>
          <w:p w14:paraId="68B8DA0F" w14:textId="77777777" w:rsidR="0064412C" w:rsidRPr="00885FE2" w:rsidRDefault="0064412C" w:rsidP="00C1114C">
            <w:pPr>
              <w:pStyle w:val="DHHStabletext"/>
            </w:pPr>
            <w:r>
              <w:t>N/A</w:t>
            </w:r>
          </w:p>
        </w:tc>
      </w:tr>
    </w:tbl>
    <w:p w14:paraId="1C0BC206" w14:textId="15D1CA79" w:rsidR="00D16A3A" w:rsidRDefault="00D16A3A" w:rsidP="00D16A3A">
      <w:pPr>
        <w:pStyle w:val="Heading3"/>
      </w:pPr>
      <w:bookmarkStart w:id="35" w:name="_Toc19007977"/>
      <w:r>
        <w:t xml:space="preserve">Action: Wellbeing and support </w:t>
      </w:r>
      <w:r w:rsidRPr="00DE68BE">
        <w:t xml:space="preserve">– </w:t>
      </w:r>
      <w:r w:rsidRPr="00110AA9">
        <w:t>Victorians with cancer and their families live well</w:t>
      </w:r>
      <w:bookmarkEnd w:id="35"/>
    </w:p>
    <w:p w14:paraId="2C51418D" w14:textId="0821CC23" w:rsidR="00D16A3A" w:rsidRDefault="00D16A3A" w:rsidP="00D16A3A">
      <w:pPr>
        <w:pStyle w:val="Heading4"/>
      </w:pPr>
      <w:r w:rsidRPr="002D2BB5">
        <w:t>Outcome: Best possible experience of care systems</w:t>
      </w:r>
    </w:p>
    <w:p w14:paraId="13A11324" w14:textId="2567F6F0" w:rsidR="00D16A3A" w:rsidRDefault="00D16A3A" w:rsidP="00D16A3A">
      <w:pPr>
        <w:pStyle w:val="Heading5"/>
      </w:pPr>
      <w:r w:rsidRPr="002102A5">
        <w:t>Key result: Improve patient experience of health</w:t>
      </w:r>
      <w:r>
        <w:t xml:space="preserve"> </w:t>
      </w:r>
      <w:r w:rsidRPr="002102A5">
        <w:t>care</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402"/>
        <w:gridCol w:w="2126"/>
        <w:gridCol w:w="2131"/>
        <w:gridCol w:w="1696"/>
        <w:gridCol w:w="1706"/>
        <w:gridCol w:w="1271"/>
      </w:tblGrid>
      <w:tr w:rsidR="00D16A3A" w:rsidRPr="00885FE2" w14:paraId="68D07645" w14:textId="77777777" w:rsidTr="00957CB6">
        <w:trPr>
          <w:trHeight w:val="686"/>
          <w:tblHeader/>
        </w:trPr>
        <w:tc>
          <w:tcPr>
            <w:tcW w:w="2127" w:type="dxa"/>
            <w:shd w:val="clear" w:color="auto" w:fill="EDCDCF"/>
          </w:tcPr>
          <w:p w14:paraId="7C645442" w14:textId="0F597629" w:rsidR="00D16A3A" w:rsidRPr="00D16A3A" w:rsidRDefault="00D16A3A" w:rsidP="00D16A3A">
            <w:pPr>
              <w:pStyle w:val="DHHStablecolhead"/>
            </w:pPr>
            <w:r w:rsidRPr="00D16A3A">
              <w:t>Measure #</w:t>
            </w:r>
          </w:p>
        </w:tc>
        <w:tc>
          <w:tcPr>
            <w:tcW w:w="3402" w:type="dxa"/>
            <w:shd w:val="clear" w:color="auto" w:fill="EDCDCF"/>
          </w:tcPr>
          <w:p w14:paraId="30017598" w14:textId="7616B6D1" w:rsidR="00D16A3A" w:rsidRPr="00D16A3A" w:rsidRDefault="00D16A3A" w:rsidP="00D16A3A">
            <w:pPr>
              <w:pStyle w:val="DHHStablecolhead"/>
            </w:pPr>
            <w:r w:rsidRPr="00D16A3A">
              <w:t>Description</w:t>
            </w:r>
          </w:p>
        </w:tc>
        <w:tc>
          <w:tcPr>
            <w:tcW w:w="2126" w:type="dxa"/>
            <w:shd w:val="clear" w:color="auto" w:fill="EDCDCF"/>
          </w:tcPr>
          <w:p w14:paraId="43090762" w14:textId="3D6C34A6" w:rsidR="00D16A3A" w:rsidRPr="00D16A3A" w:rsidRDefault="00D16A3A" w:rsidP="00D16A3A">
            <w:pPr>
              <w:pStyle w:val="DHHStablecolhead"/>
            </w:pPr>
            <w:r w:rsidRPr="00D16A3A">
              <w:t>Unit of measure</w:t>
            </w:r>
          </w:p>
        </w:tc>
        <w:tc>
          <w:tcPr>
            <w:tcW w:w="2131" w:type="dxa"/>
            <w:shd w:val="clear" w:color="auto" w:fill="EDCDCF"/>
            <w:noWrap/>
          </w:tcPr>
          <w:p w14:paraId="7B2CA509" w14:textId="77777777" w:rsidR="00D16A3A" w:rsidRPr="00D16A3A" w:rsidRDefault="00D16A3A" w:rsidP="00D16A3A">
            <w:pPr>
              <w:pStyle w:val="DHHStablecolhead"/>
            </w:pPr>
            <w:r w:rsidRPr="00D16A3A">
              <w:t>Baseline</w:t>
            </w:r>
          </w:p>
          <w:p w14:paraId="4C6D1929" w14:textId="7AC43736" w:rsidR="00D16A3A" w:rsidRPr="00D16A3A" w:rsidRDefault="00D16A3A" w:rsidP="00D16A3A">
            <w:pPr>
              <w:pStyle w:val="DHHStablecolhead"/>
            </w:pPr>
            <w:r w:rsidRPr="00D16A3A">
              <w:t>(year)</w:t>
            </w:r>
          </w:p>
        </w:tc>
        <w:tc>
          <w:tcPr>
            <w:tcW w:w="1696" w:type="dxa"/>
            <w:shd w:val="clear" w:color="auto" w:fill="EDCDCF"/>
            <w:noWrap/>
          </w:tcPr>
          <w:p w14:paraId="54871704" w14:textId="77777777" w:rsidR="00D16A3A" w:rsidRPr="00D16A3A" w:rsidRDefault="00D16A3A" w:rsidP="00D16A3A">
            <w:pPr>
              <w:pStyle w:val="DHHStablecolhead"/>
            </w:pPr>
            <w:r w:rsidRPr="00D16A3A">
              <w:t>Most recent</w:t>
            </w:r>
          </w:p>
          <w:p w14:paraId="106B1C94" w14:textId="5D8ACCCB" w:rsidR="00D16A3A" w:rsidRPr="00D16A3A" w:rsidRDefault="00D16A3A" w:rsidP="00D16A3A">
            <w:pPr>
              <w:pStyle w:val="DHHStablecolhead"/>
            </w:pPr>
            <w:r w:rsidRPr="00D16A3A">
              <w:t>(year)</w:t>
            </w:r>
          </w:p>
        </w:tc>
        <w:tc>
          <w:tcPr>
            <w:tcW w:w="1706" w:type="dxa"/>
            <w:shd w:val="clear" w:color="auto" w:fill="EDCDCF"/>
            <w:noWrap/>
          </w:tcPr>
          <w:p w14:paraId="783415B5" w14:textId="30DF6781" w:rsidR="00D16A3A" w:rsidRPr="00D16A3A" w:rsidRDefault="00D16A3A" w:rsidP="00D16A3A">
            <w:pPr>
              <w:pStyle w:val="DHHStablecolhead"/>
            </w:pPr>
            <w:r w:rsidRPr="00D16A3A">
              <w:t>Target</w:t>
            </w:r>
          </w:p>
        </w:tc>
        <w:tc>
          <w:tcPr>
            <w:tcW w:w="1271" w:type="dxa"/>
            <w:shd w:val="clear" w:color="auto" w:fill="EDCDCF"/>
          </w:tcPr>
          <w:p w14:paraId="0131A696" w14:textId="05929EF4" w:rsidR="00D16A3A" w:rsidRPr="00D16A3A" w:rsidRDefault="00D16A3A" w:rsidP="00D16A3A">
            <w:pPr>
              <w:pStyle w:val="DHHStablecolhead"/>
            </w:pPr>
            <w:r w:rsidRPr="00D16A3A">
              <w:t>Trend</w:t>
            </w:r>
          </w:p>
        </w:tc>
      </w:tr>
      <w:tr w:rsidR="0064412C" w:rsidRPr="00885FE2" w14:paraId="4E04A2D3" w14:textId="77777777" w:rsidTr="00957CB6">
        <w:trPr>
          <w:trHeight w:val="686"/>
        </w:trPr>
        <w:tc>
          <w:tcPr>
            <w:tcW w:w="2127" w:type="dxa"/>
            <w:hideMark/>
          </w:tcPr>
          <w:p w14:paraId="1547479F" w14:textId="71AFCD25" w:rsidR="0064412C" w:rsidRPr="00885FE2" w:rsidRDefault="009D1534" w:rsidP="00C1114C">
            <w:pPr>
              <w:pStyle w:val="DHHStabletext"/>
            </w:pPr>
            <w:hyperlink w:anchor="_Measure_15.1_–" w:history="1">
              <w:r w:rsidR="0064412C" w:rsidRPr="00F923BD">
                <w:rPr>
                  <w:rStyle w:val="Hyperlink"/>
                </w:rPr>
                <w:t>15.1</w:t>
              </w:r>
            </w:hyperlink>
          </w:p>
        </w:tc>
        <w:tc>
          <w:tcPr>
            <w:tcW w:w="3402" w:type="dxa"/>
          </w:tcPr>
          <w:p w14:paraId="6A93536F" w14:textId="77777777" w:rsidR="0064412C" w:rsidRPr="00885FE2" w:rsidRDefault="0064412C" w:rsidP="00C1114C">
            <w:pPr>
              <w:pStyle w:val="DHHStabletext"/>
            </w:pPr>
            <w:r w:rsidRPr="000621AF">
              <w:t>Proportion of adults admitted to public hospitals due to cancer who report positive overall healthcare experience</w:t>
            </w:r>
          </w:p>
        </w:tc>
        <w:tc>
          <w:tcPr>
            <w:tcW w:w="2126" w:type="dxa"/>
          </w:tcPr>
          <w:p w14:paraId="30F4BDC4" w14:textId="77777777" w:rsidR="0064412C" w:rsidRPr="00885FE2" w:rsidRDefault="0064412C" w:rsidP="00C1114C">
            <w:pPr>
              <w:pStyle w:val="DHHStabletext"/>
            </w:pPr>
            <w:r>
              <w:t>Per cent</w:t>
            </w:r>
          </w:p>
        </w:tc>
        <w:tc>
          <w:tcPr>
            <w:tcW w:w="2131" w:type="dxa"/>
            <w:noWrap/>
          </w:tcPr>
          <w:p w14:paraId="3820C605" w14:textId="2B81314E" w:rsidR="0064412C" w:rsidRPr="00922344" w:rsidRDefault="0064412C" w:rsidP="00C1114C">
            <w:pPr>
              <w:pStyle w:val="DHHStabletext"/>
            </w:pPr>
            <w:r w:rsidRPr="00922344">
              <w:t>N/A</w:t>
            </w:r>
          </w:p>
        </w:tc>
        <w:tc>
          <w:tcPr>
            <w:tcW w:w="1696" w:type="dxa"/>
            <w:noWrap/>
            <w:hideMark/>
          </w:tcPr>
          <w:p w14:paraId="2BD4BC09" w14:textId="0D88FF4D" w:rsidR="0064412C" w:rsidRPr="00922344" w:rsidRDefault="0064412C" w:rsidP="00C1114C">
            <w:pPr>
              <w:pStyle w:val="DHHStabletext"/>
            </w:pPr>
            <w:r w:rsidRPr="00922344">
              <w:t>97</w:t>
            </w:r>
          </w:p>
          <w:p w14:paraId="5C598209" w14:textId="164D3AC8" w:rsidR="0064412C" w:rsidRPr="00922344" w:rsidRDefault="0064412C" w:rsidP="00C1114C">
            <w:pPr>
              <w:pStyle w:val="DHHStabletext"/>
            </w:pPr>
            <w:r w:rsidRPr="00922344">
              <w:t>(2018)</w:t>
            </w:r>
          </w:p>
        </w:tc>
        <w:tc>
          <w:tcPr>
            <w:tcW w:w="1706" w:type="dxa"/>
            <w:noWrap/>
            <w:hideMark/>
          </w:tcPr>
          <w:p w14:paraId="70DE7366" w14:textId="4D459AE9" w:rsidR="0064412C" w:rsidRPr="00885FE2" w:rsidRDefault="0064412C" w:rsidP="00C1114C">
            <w:pPr>
              <w:pStyle w:val="DHHStabletext"/>
            </w:pPr>
            <w:r>
              <w:t>N/S</w:t>
            </w:r>
          </w:p>
        </w:tc>
        <w:tc>
          <w:tcPr>
            <w:tcW w:w="1271" w:type="dxa"/>
            <w:hideMark/>
          </w:tcPr>
          <w:p w14:paraId="20FE11FC" w14:textId="0254CC4B" w:rsidR="0064412C" w:rsidRPr="00885FE2" w:rsidRDefault="0064412C" w:rsidP="00C1114C">
            <w:pPr>
              <w:pStyle w:val="DHHStabletext"/>
            </w:pPr>
            <w:r w:rsidRPr="00521CF3">
              <w:t>N/A</w:t>
            </w:r>
          </w:p>
        </w:tc>
      </w:tr>
      <w:tr w:rsidR="0064412C" w:rsidRPr="00885FE2" w14:paraId="76F4AD33" w14:textId="77777777" w:rsidTr="00957CB6">
        <w:trPr>
          <w:trHeight w:val="686"/>
        </w:trPr>
        <w:tc>
          <w:tcPr>
            <w:tcW w:w="2127" w:type="dxa"/>
          </w:tcPr>
          <w:p w14:paraId="22E74DEC" w14:textId="2775D341" w:rsidR="0064412C" w:rsidRPr="00885FE2" w:rsidRDefault="009D1534" w:rsidP="00C1114C">
            <w:pPr>
              <w:pStyle w:val="DHHStabletext"/>
            </w:pPr>
            <w:hyperlink w:anchor="_Measure_15.2_–" w:history="1">
              <w:r w:rsidR="0064412C" w:rsidRPr="00F923BD">
                <w:rPr>
                  <w:rStyle w:val="Hyperlink"/>
                </w:rPr>
                <w:t>15.2</w:t>
              </w:r>
            </w:hyperlink>
          </w:p>
        </w:tc>
        <w:tc>
          <w:tcPr>
            <w:tcW w:w="3402" w:type="dxa"/>
          </w:tcPr>
          <w:p w14:paraId="1EA52556" w14:textId="77777777" w:rsidR="0064412C" w:rsidRPr="00885FE2" w:rsidRDefault="0064412C" w:rsidP="00C1114C">
            <w:pPr>
              <w:pStyle w:val="DHHStabletext"/>
            </w:pPr>
            <w:r w:rsidRPr="000621AF">
              <w:t>Proportion of children and adolescents admitted to hospital due to cancer who report positive healthcare experience (TBD)</w:t>
            </w:r>
          </w:p>
        </w:tc>
        <w:tc>
          <w:tcPr>
            <w:tcW w:w="2126" w:type="dxa"/>
          </w:tcPr>
          <w:p w14:paraId="40961C79" w14:textId="77777777" w:rsidR="0064412C" w:rsidRDefault="0064412C" w:rsidP="00C1114C">
            <w:pPr>
              <w:pStyle w:val="DHHStabletext"/>
            </w:pPr>
            <w:r w:rsidRPr="00E610CD">
              <w:t>Per cent</w:t>
            </w:r>
          </w:p>
        </w:tc>
        <w:tc>
          <w:tcPr>
            <w:tcW w:w="2131" w:type="dxa"/>
            <w:noWrap/>
          </w:tcPr>
          <w:p w14:paraId="5C664EB6" w14:textId="77777777" w:rsidR="0064412C" w:rsidRPr="00A20B3D" w:rsidRDefault="0064412C" w:rsidP="00C1114C">
            <w:pPr>
              <w:pStyle w:val="DHHStabletext"/>
              <w:rPr>
                <w:color w:val="7B4900"/>
              </w:rPr>
            </w:pPr>
            <w:r w:rsidRPr="00A20B3D">
              <w:rPr>
                <w:color w:val="7B4900"/>
              </w:rPr>
              <w:t>Status to be determined</w:t>
            </w:r>
          </w:p>
        </w:tc>
        <w:tc>
          <w:tcPr>
            <w:tcW w:w="1696" w:type="dxa"/>
          </w:tcPr>
          <w:p w14:paraId="59CF2BB1" w14:textId="7A1DA686" w:rsidR="0064412C" w:rsidRPr="00A20B3D" w:rsidRDefault="0064412C" w:rsidP="00C1114C">
            <w:pPr>
              <w:pStyle w:val="DHHStabletext"/>
              <w:rPr>
                <w:color w:val="7B4900"/>
              </w:rPr>
            </w:pPr>
            <w:r w:rsidRPr="00A20B3D">
              <w:rPr>
                <w:color w:val="7B4900"/>
              </w:rPr>
              <w:t>Status to be determined</w:t>
            </w:r>
          </w:p>
        </w:tc>
        <w:tc>
          <w:tcPr>
            <w:tcW w:w="1706" w:type="dxa"/>
            <w:noWrap/>
            <w:hideMark/>
          </w:tcPr>
          <w:p w14:paraId="7BCC080E" w14:textId="77777777" w:rsidR="0064412C" w:rsidRPr="00885FE2" w:rsidRDefault="0064412C" w:rsidP="00C1114C">
            <w:pPr>
              <w:pStyle w:val="DHHStabletext"/>
            </w:pPr>
            <w:r>
              <w:t>N/S</w:t>
            </w:r>
          </w:p>
        </w:tc>
        <w:tc>
          <w:tcPr>
            <w:tcW w:w="1271" w:type="dxa"/>
            <w:hideMark/>
          </w:tcPr>
          <w:p w14:paraId="5D5DEA5C" w14:textId="77777777" w:rsidR="0064412C" w:rsidRDefault="0064412C" w:rsidP="00C1114C">
            <w:pPr>
              <w:pStyle w:val="DHHStabletext"/>
            </w:pPr>
            <w:r w:rsidRPr="00521CF3">
              <w:t>N/A</w:t>
            </w:r>
          </w:p>
        </w:tc>
      </w:tr>
      <w:tr w:rsidR="0064412C" w:rsidRPr="00885FE2" w14:paraId="0F745AFF" w14:textId="77777777" w:rsidTr="00957CB6">
        <w:trPr>
          <w:trHeight w:val="686"/>
        </w:trPr>
        <w:tc>
          <w:tcPr>
            <w:tcW w:w="2127" w:type="dxa"/>
          </w:tcPr>
          <w:p w14:paraId="23A57F4E" w14:textId="19933C59" w:rsidR="0064412C" w:rsidRPr="00885FE2" w:rsidRDefault="009D1534" w:rsidP="00C1114C">
            <w:pPr>
              <w:pStyle w:val="DHHStabletext"/>
            </w:pPr>
            <w:hyperlink w:anchor="_Measure_15.3_–" w:history="1">
              <w:r w:rsidR="0064412C" w:rsidRPr="00F923BD">
                <w:rPr>
                  <w:rStyle w:val="Hyperlink"/>
                </w:rPr>
                <w:t>15.3</w:t>
              </w:r>
            </w:hyperlink>
          </w:p>
        </w:tc>
        <w:tc>
          <w:tcPr>
            <w:tcW w:w="3402" w:type="dxa"/>
          </w:tcPr>
          <w:p w14:paraId="1F119DE4" w14:textId="64C81BF1" w:rsidR="0064412C" w:rsidRPr="00885FE2" w:rsidRDefault="0064412C" w:rsidP="00C1114C">
            <w:pPr>
              <w:pStyle w:val="DHHStabletext"/>
            </w:pPr>
            <w:r w:rsidRPr="00D73E63">
              <w:t xml:space="preserve">Proportion of adults </w:t>
            </w:r>
            <w:r>
              <w:t>admitted to public hospitals due to cancer who report positive transition from care index score</w:t>
            </w:r>
          </w:p>
        </w:tc>
        <w:tc>
          <w:tcPr>
            <w:tcW w:w="2126" w:type="dxa"/>
          </w:tcPr>
          <w:p w14:paraId="01E30368" w14:textId="77777777" w:rsidR="0064412C" w:rsidRDefault="0064412C" w:rsidP="00C1114C">
            <w:pPr>
              <w:pStyle w:val="DHHStabletext"/>
            </w:pPr>
            <w:r w:rsidRPr="00E610CD">
              <w:t>Per cent</w:t>
            </w:r>
          </w:p>
        </w:tc>
        <w:tc>
          <w:tcPr>
            <w:tcW w:w="2131" w:type="dxa"/>
            <w:noWrap/>
          </w:tcPr>
          <w:p w14:paraId="7215FA8A" w14:textId="77777777" w:rsidR="0064412C" w:rsidRPr="00A20B3D" w:rsidRDefault="0064412C" w:rsidP="00C1114C">
            <w:pPr>
              <w:pStyle w:val="DHHStabletext"/>
              <w:rPr>
                <w:color w:val="7B4900"/>
              </w:rPr>
            </w:pPr>
            <w:r w:rsidRPr="00A20B3D">
              <w:rPr>
                <w:color w:val="7B4900"/>
              </w:rPr>
              <w:t>Status to be determined</w:t>
            </w:r>
          </w:p>
        </w:tc>
        <w:tc>
          <w:tcPr>
            <w:tcW w:w="1696" w:type="dxa"/>
          </w:tcPr>
          <w:p w14:paraId="7D065C82" w14:textId="5E8A65F4" w:rsidR="0064412C" w:rsidRPr="00A20B3D" w:rsidRDefault="0064412C" w:rsidP="00C1114C">
            <w:pPr>
              <w:pStyle w:val="DHHStabletext"/>
              <w:rPr>
                <w:color w:val="7B4900"/>
              </w:rPr>
            </w:pPr>
            <w:r w:rsidRPr="00A20B3D">
              <w:rPr>
                <w:color w:val="7B4900"/>
              </w:rPr>
              <w:t>Status to be determined</w:t>
            </w:r>
          </w:p>
        </w:tc>
        <w:tc>
          <w:tcPr>
            <w:tcW w:w="1706" w:type="dxa"/>
            <w:noWrap/>
            <w:hideMark/>
          </w:tcPr>
          <w:p w14:paraId="7817DC1D" w14:textId="77777777" w:rsidR="0064412C" w:rsidRPr="00885FE2" w:rsidRDefault="0064412C" w:rsidP="00C1114C">
            <w:pPr>
              <w:pStyle w:val="DHHStabletext"/>
            </w:pPr>
            <w:r>
              <w:t>N/S</w:t>
            </w:r>
          </w:p>
        </w:tc>
        <w:tc>
          <w:tcPr>
            <w:tcW w:w="1271" w:type="dxa"/>
            <w:hideMark/>
          </w:tcPr>
          <w:p w14:paraId="4664433D" w14:textId="77777777" w:rsidR="0064412C" w:rsidRDefault="0064412C" w:rsidP="00C1114C">
            <w:pPr>
              <w:pStyle w:val="DHHStabletext"/>
            </w:pPr>
            <w:r w:rsidRPr="00521CF3">
              <w:t>N/A</w:t>
            </w:r>
          </w:p>
        </w:tc>
      </w:tr>
      <w:tr w:rsidR="0064412C" w:rsidRPr="00885FE2" w14:paraId="003D07C7" w14:textId="77777777" w:rsidTr="00957CB6">
        <w:trPr>
          <w:trHeight w:val="686"/>
        </w:trPr>
        <w:tc>
          <w:tcPr>
            <w:tcW w:w="2127" w:type="dxa"/>
          </w:tcPr>
          <w:p w14:paraId="7DD3A853" w14:textId="1E007533" w:rsidR="0064412C" w:rsidRPr="00885FE2" w:rsidRDefault="009D1534" w:rsidP="00C1114C">
            <w:pPr>
              <w:pStyle w:val="DHHStabletext"/>
            </w:pPr>
            <w:hyperlink w:anchor="_Measure_15.4_–" w:history="1">
              <w:r w:rsidR="0064412C" w:rsidRPr="00F923BD">
                <w:rPr>
                  <w:rStyle w:val="Hyperlink"/>
                </w:rPr>
                <w:t>15.4</w:t>
              </w:r>
            </w:hyperlink>
          </w:p>
        </w:tc>
        <w:tc>
          <w:tcPr>
            <w:tcW w:w="3402" w:type="dxa"/>
          </w:tcPr>
          <w:p w14:paraId="3BED6121" w14:textId="45440D1F" w:rsidR="0064412C" w:rsidRPr="00885FE2" w:rsidRDefault="0064412C" w:rsidP="00C1114C">
            <w:pPr>
              <w:pStyle w:val="DHHStabletext"/>
            </w:pPr>
            <w:r w:rsidRPr="00D73E63">
              <w:t xml:space="preserve">Proportion of adults </w:t>
            </w:r>
            <w:r>
              <w:t>attending emergency departments due to cancer who report positive overall healthcare experience</w:t>
            </w:r>
            <w:r w:rsidR="001D35CE">
              <w:t xml:space="preserve"> (TBD)</w:t>
            </w:r>
          </w:p>
        </w:tc>
        <w:tc>
          <w:tcPr>
            <w:tcW w:w="2126" w:type="dxa"/>
          </w:tcPr>
          <w:p w14:paraId="1CB3F4E6" w14:textId="77777777" w:rsidR="0064412C" w:rsidRDefault="0064412C" w:rsidP="00C1114C">
            <w:pPr>
              <w:pStyle w:val="DHHStabletext"/>
            </w:pPr>
            <w:r w:rsidRPr="00E610CD">
              <w:t>Per cent</w:t>
            </w:r>
          </w:p>
        </w:tc>
        <w:tc>
          <w:tcPr>
            <w:tcW w:w="2131" w:type="dxa"/>
            <w:noWrap/>
          </w:tcPr>
          <w:p w14:paraId="00EB9866" w14:textId="77777777" w:rsidR="0064412C" w:rsidRPr="00A20B3D" w:rsidRDefault="0064412C" w:rsidP="00C1114C">
            <w:pPr>
              <w:pStyle w:val="DHHStabletext"/>
              <w:rPr>
                <w:color w:val="7B4900"/>
              </w:rPr>
            </w:pPr>
            <w:r w:rsidRPr="00A20B3D">
              <w:rPr>
                <w:color w:val="7B4900"/>
              </w:rPr>
              <w:t>Status to be determined</w:t>
            </w:r>
          </w:p>
        </w:tc>
        <w:tc>
          <w:tcPr>
            <w:tcW w:w="1696" w:type="dxa"/>
          </w:tcPr>
          <w:p w14:paraId="3EC6E117" w14:textId="7E762478" w:rsidR="0064412C" w:rsidRPr="00A20B3D" w:rsidRDefault="0064412C" w:rsidP="00C1114C">
            <w:pPr>
              <w:pStyle w:val="DHHStabletext"/>
              <w:rPr>
                <w:color w:val="7B4900"/>
              </w:rPr>
            </w:pPr>
            <w:r w:rsidRPr="00A20B3D">
              <w:rPr>
                <w:color w:val="7B4900"/>
              </w:rPr>
              <w:t>Status to be determined</w:t>
            </w:r>
          </w:p>
        </w:tc>
        <w:tc>
          <w:tcPr>
            <w:tcW w:w="1706" w:type="dxa"/>
            <w:noWrap/>
            <w:hideMark/>
          </w:tcPr>
          <w:p w14:paraId="6EB5F868" w14:textId="77777777" w:rsidR="0064412C" w:rsidRPr="00885FE2" w:rsidRDefault="0064412C" w:rsidP="00C1114C">
            <w:pPr>
              <w:pStyle w:val="DHHStabletext"/>
            </w:pPr>
            <w:r>
              <w:t>N/S</w:t>
            </w:r>
          </w:p>
        </w:tc>
        <w:tc>
          <w:tcPr>
            <w:tcW w:w="1271" w:type="dxa"/>
            <w:hideMark/>
          </w:tcPr>
          <w:p w14:paraId="5607B1CE" w14:textId="77777777" w:rsidR="0064412C" w:rsidRDefault="0064412C" w:rsidP="00C1114C">
            <w:pPr>
              <w:pStyle w:val="DHHStabletext"/>
            </w:pPr>
            <w:r w:rsidRPr="00521CF3">
              <w:t>N/A</w:t>
            </w:r>
          </w:p>
        </w:tc>
      </w:tr>
      <w:tr w:rsidR="0064412C" w:rsidRPr="00885FE2" w14:paraId="6D8A784A" w14:textId="77777777" w:rsidTr="00957CB6">
        <w:trPr>
          <w:trHeight w:val="435"/>
        </w:trPr>
        <w:tc>
          <w:tcPr>
            <w:tcW w:w="2127" w:type="dxa"/>
          </w:tcPr>
          <w:p w14:paraId="40600BE6" w14:textId="642ABF92" w:rsidR="0064412C" w:rsidRPr="00885FE2" w:rsidRDefault="009D1534" w:rsidP="00C1114C">
            <w:pPr>
              <w:pStyle w:val="DHHStabletext"/>
            </w:pPr>
            <w:hyperlink w:anchor="_Measure_15.5_–" w:history="1">
              <w:r w:rsidR="0064412C" w:rsidRPr="00F923BD">
                <w:rPr>
                  <w:rStyle w:val="Hyperlink"/>
                </w:rPr>
                <w:t>15.5</w:t>
              </w:r>
            </w:hyperlink>
          </w:p>
        </w:tc>
        <w:tc>
          <w:tcPr>
            <w:tcW w:w="3402" w:type="dxa"/>
          </w:tcPr>
          <w:p w14:paraId="3FB54FA5" w14:textId="4AB64EE3" w:rsidR="0064412C" w:rsidRPr="00885FE2" w:rsidRDefault="0064412C" w:rsidP="00C1114C">
            <w:pPr>
              <w:pStyle w:val="DHHStabletext"/>
            </w:pPr>
            <w:r w:rsidRPr="00D73E63">
              <w:t xml:space="preserve">Proportion of </w:t>
            </w:r>
            <w:r>
              <w:t>people</w:t>
            </w:r>
            <w:r w:rsidRPr="00D73E63">
              <w:t xml:space="preserve"> attending hospital outpatients due to cancer </w:t>
            </w:r>
            <w:r w:rsidRPr="00D73E63">
              <w:lastRenderedPageBreak/>
              <w:t>who report positive healthcare experience (TBD)</w:t>
            </w:r>
          </w:p>
        </w:tc>
        <w:tc>
          <w:tcPr>
            <w:tcW w:w="2126" w:type="dxa"/>
          </w:tcPr>
          <w:p w14:paraId="29BD540B" w14:textId="77777777" w:rsidR="0064412C" w:rsidRDefault="0064412C" w:rsidP="00C1114C">
            <w:pPr>
              <w:pStyle w:val="DHHStabletext"/>
            </w:pPr>
            <w:r w:rsidRPr="00E610CD">
              <w:lastRenderedPageBreak/>
              <w:t>Per cent</w:t>
            </w:r>
          </w:p>
        </w:tc>
        <w:tc>
          <w:tcPr>
            <w:tcW w:w="2131" w:type="dxa"/>
            <w:noWrap/>
          </w:tcPr>
          <w:p w14:paraId="3C8F5DA0" w14:textId="77777777" w:rsidR="0064412C" w:rsidRPr="00A20B3D" w:rsidRDefault="0064412C" w:rsidP="00C1114C">
            <w:pPr>
              <w:pStyle w:val="DHHStabletext"/>
              <w:rPr>
                <w:color w:val="7B4900"/>
              </w:rPr>
            </w:pPr>
            <w:r w:rsidRPr="00A20B3D">
              <w:rPr>
                <w:color w:val="7B4900"/>
              </w:rPr>
              <w:t>Status to be determined</w:t>
            </w:r>
          </w:p>
        </w:tc>
        <w:tc>
          <w:tcPr>
            <w:tcW w:w="1696" w:type="dxa"/>
          </w:tcPr>
          <w:p w14:paraId="5F4E0170" w14:textId="1561FFD7" w:rsidR="0064412C" w:rsidRPr="00A20B3D" w:rsidRDefault="0064412C" w:rsidP="00C1114C">
            <w:pPr>
              <w:pStyle w:val="DHHStabletext"/>
              <w:rPr>
                <w:color w:val="7B4900"/>
              </w:rPr>
            </w:pPr>
            <w:r w:rsidRPr="00A20B3D">
              <w:rPr>
                <w:color w:val="7B4900"/>
              </w:rPr>
              <w:t>Status to be determined</w:t>
            </w:r>
          </w:p>
        </w:tc>
        <w:tc>
          <w:tcPr>
            <w:tcW w:w="1706" w:type="dxa"/>
            <w:noWrap/>
            <w:hideMark/>
          </w:tcPr>
          <w:p w14:paraId="4E99FE8D" w14:textId="77777777" w:rsidR="0064412C" w:rsidRPr="00885FE2" w:rsidRDefault="0064412C" w:rsidP="00C1114C">
            <w:pPr>
              <w:pStyle w:val="DHHStabletext"/>
            </w:pPr>
            <w:r>
              <w:t>N/S</w:t>
            </w:r>
          </w:p>
        </w:tc>
        <w:tc>
          <w:tcPr>
            <w:tcW w:w="1271" w:type="dxa"/>
            <w:hideMark/>
          </w:tcPr>
          <w:p w14:paraId="04C75166" w14:textId="77777777" w:rsidR="0064412C" w:rsidRDefault="0064412C" w:rsidP="00C1114C">
            <w:pPr>
              <w:pStyle w:val="DHHStabletext"/>
            </w:pPr>
            <w:r w:rsidRPr="00521CF3">
              <w:t>N/A</w:t>
            </w:r>
          </w:p>
        </w:tc>
      </w:tr>
      <w:tr w:rsidR="0064412C" w:rsidRPr="00885FE2" w14:paraId="2CB085A5" w14:textId="77777777" w:rsidTr="00957CB6">
        <w:trPr>
          <w:trHeight w:val="686"/>
        </w:trPr>
        <w:tc>
          <w:tcPr>
            <w:tcW w:w="2127" w:type="dxa"/>
          </w:tcPr>
          <w:p w14:paraId="74359E99" w14:textId="4FC7F16D" w:rsidR="0064412C" w:rsidRPr="00885FE2" w:rsidRDefault="009D1534" w:rsidP="00C1114C">
            <w:pPr>
              <w:pStyle w:val="DHHStabletext"/>
            </w:pPr>
            <w:hyperlink w:anchor="_Measure_15.6_–" w:history="1">
              <w:r w:rsidR="0064412C" w:rsidRPr="00F923BD">
                <w:rPr>
                  <w:rStyle w:val="Hyperlink"/>
                </w:rPr>
                <w:t>15.6</w:t>
              </w:r>
            </w:hyperlink>
          </w:p>
        </w:tc>
        <w:tc>
          <w:tcPr>
            <w:tcW w:w="3402" w:type="dxa"/>
            <w:hideMark/>
          </w:tcPr>
          <w:p w14:paraId="48124D31" w14:textId="36166FDE" w:rsidR="0064412C" w:rsidRPr="00885FE2" w:rsidRDefault="0064412C" w:rsidP="00C1114C">
            <w:pPr>
              <w:pStyle w:val="DHHStabletext"/>
            </w:pPr>
            <w:r w:rsidRPr="00D73E63">
              <w:t xml:space="preserve">Proportion of </w:t>
            </w:r>
            <w:r>
              <w:t>people</w:t>
            </w:r>
            <w:r w:rsidRPr="00D73E63">
              <w:t xml:space="preserve"> attending primary care due to cancer who report positive healthcare experience (TBD)</w:t>
            </w:r>
          </w:p>
        </w:tc>
        <w:tc>
          <w:tcPr>
            <w:tcW w:w="2126" w:type="dxa"/>
          </w:tcPr>
          <w:p w14:paraId="01282327" w14:textId="77777777" w:rsidR="0064412C" w:rsidRDefault="0064412C" w:rsidP="00C1114C">
            <w:pPr>
              <w:pStyle w:val="DHHStabletext"/>
            </w:pPr>
            <w:r w:rsidRPr="00E610CD">
              <w:t>Per cent</w:t>
            </w:r>
          </w:p>
        </w:tc>
        <w:tc>
          <w:tcPr>
            <w:tcW w:w="2131" w:type="dxa"/>
            <w:noWrap/>
          </w:tcPr>
          <w:p w14:paraId="2DB518EF" w14:textId="77777777" w:rsidR="0064412C" w:rsidRPr="00A20B3D" w:rsidRDefault="0064412C" w:rsidP="00C1114C">
            <w:pPr>
              <w:pStyle w:val="DHHStabletext"/>
              <w:rPr>
                <w:color w:val="7B4900"/>
              </w:rPr>
            </w:pPr>
            <w:r w:rsidRPr="00A20B3D">
              <w:rPr>
                <w:color w:val="7B4900"/>
              </w:rPr>
              <w:t>Status to be determined</w:t>
            </w:r>
          </w:p>
        </w:tc>
        <w:tc>
          <w:tcPr>
            <w:tcW w:w="1696" w:type="dxa"/>
          </w:tcPr>
          <w:p w14:paraId="7BD9342E" w14:textId="6BA0927A" w:rsidR="0064412C" w:rsidRPr="00A20B3D" w:rsidRDefault="0064412C" w:rsidP="00C1114C">
            <w:pPr>
              <w:pStyle w:val="DHHStabletext"/>
              <w:rPr>
                <w:color w:val="7B4900"/>
              </w:rPr>
            </w:pPr>
            <w:r w:rsidRPr="00A20B3D">
              <w:rPr>
                <w:color w:val="7B4900"/>
              </w:rPr>
              <w:t>Status to be determined</w:t>
            </w:r>
          </w:p>
        </w:tc>
        <w:tc>
          <w:tcPr>
            <w:tcW w:w="1706" w:type="dxa"/>
            <w:noWrap/>
            <w:hideMark/>
          </w:tcPr>
          <w:p w14:paraId="56B3BE93" w14:textId="77777777" w:rsidR="0064412C" w:rsidRPr="00885FE2" w:rsidRDefault="0064412C" w:rsidP="00C1114C">
            <w:pPr>
              <w:pStyle w:val="DHHStabletext"/>
            </w:pPr>
            <w:r>
              <w:t>N/S</w:t>
            </w:r>
          </w:p>
        </w:tc>
        <w:tc>
          <w:tcPr>
            <w:tcW w:w="1271" w:type="dxa"/>
            <w:hideMark/>
          </w:tcPr>
          <w:p w14:paraId="48A2E824" w14:textId="77777777" w:rsidR="0064412C" w:rsidRDefault="0064412C" w:rsidP="00C1114C">
            <w:pPr>
              <w:pStyle w:val="DHHStabletext"/>
            </w:pPr>
            <w:r w:rsidRPr="00521CF3">
              <w:t>N/A</w:t>
            </w:r>
          </w:p>
        </w:tc>
      </w:tr>
    </w:tbl>
    <w:p w14:paraId="45DF1296" w14:textId="63635D77" w:rsidR="007F1BA2" w:rsidRDefault="007F1BA2" w:rsidP="007F1BA2">
      <w:pPr>
        <w:pStyle w:val="Heading5"/>
      </w:pPr>
      <w:r w:rsidRPr="00E01AE4">
        <w:t>Key result: Improve patient experience of screening</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402"/>
        <w:gridCol w:w="2126"/>
        <w:gridCol w:w="2131"/>
        <w:gridCol w:w="1696"/>
        <w:gridCol w:w="1706"/>
        <w:gridCol w:w="1271"/>
      </w:tblGrid>
      <w:tr w:rsidR="007F1BA2" w:rsidRPr="00885FE2" w14:paraId="7503525D" w14:textId="77777777" w:rsidTr="00957CB6">
        <w:trPr>
          <w:trHeight w:val="590"/>
        </w:trPr>
        <w:tc>
          <w:tcPr>
            <w:tcW w:w="2127" w:type="dxa"/>
            <w:shd w:val="clear" w:color="auto" w:fill="EDCDCF"/>
          </w:tcPr>
          <w:p w14:paraId="4F967A3F" w14:textId="16C7C2E2" w:rsidR="007F1BA2" w:rsidRPr="007F1BA2" w:rsidRDefault="007F1BA2" w:rsidP="007F1BA2">
            <w:pPr>
              <w:pStyle w:val="DHHStablecolhead"/>
            </w:pPr>
            <w:r w:rsidRPr="007F1BA2">
              <w:t>Measure #</w:t>
            </w:r>
          </w:p>
        </w:tc>
        <w:tc>
          <w:tcPr>
            <w:tcW w:w="3402" w:type="dxa"/>
            <w:shd w:val="clear" w:color="auto" w:fill="EDCDCF"/>
          </w:tcPr>
          <w:p w14:paraId="5ADCAA49" w14:textId="088C146D" w:rsidR="007F1BA2" w:rsidRPr="007F1BA2" w:rsidRDefault="007F1BA2" w:rsidP="007F1BA2">
            <w:pPr>
              <w:pStyle w:val="DHHStablecolhead"/>
            </w:pPr>
            <w:r w:rsidRPr="007F1BA2">
              <w:t>Description</w:t>
            </w:r>
          </w:p>
        </w:tc>
        <w:tc>
          <w:tcPr>
            <w:tcW w:w="2126" w:type="dxa"/>
            <w:shd w:val="clear" w:color="auto" w:fill="EDCDCF"/>
          </w:tcPr>
          <w:p w14:paraId="5E7DA5D5" w14:textId="60236720" w:rsidR="007F1BA2" w:rsidRPr="007F1BA2" w:rsidRDefault="007F1BA2" w:rsidP="007F1BA2">
            <w:pPr>
              <w:pStyle w:val="DHHStablecolhead"/>
            </w:pPr>
            <w:r w:rsidRPr="007F1BA2">
              <w:t>Unit of measure</w:t>
            </w:r>
          </w:p>
        </w:tc>
        <w:tc>
          <w:tcPr>
            <w:tcW w:w="2131" w:type="dxa"/>
            <w:shd w:val="clear" w:color="auto" w:fill="EDCDCF"/>
            <w:noWrap/>
          </w:tcPr>
          <w:p w14:paraId="49382AD7" w14:textId="77777777" w:rsidR="007F1BA2" w:rsidRPr="007F1BA2" w:rsidRDefault="007F1BA2" w:rsidP="007F1BA2">
            <w:pPr>
              <w:pStyle w:val="DHHStablecolhead"/>
            </w:pPr>
            <w:r w:rsidRPr="007F1BA2">
              <w:t>Baseline</w:t>
            </w:r>
          </w:p>
          <w:p w14:paraId="154FCB20" w14:textId="0AD04962" w:rsidR="007F1BA2" w:rsidRPr="007F1BA2" w:rsidRDefault="007F1BA2" w:rsidP="007F1BA2">
            <w:pPr>
              <w:pStyle w:val="DHHStablecolhead"/>
            </w:pPr>
            <w:r w:rsidRPr="007F1BA2">
              <w:t>(year)</w:t>
            </w:r>
          </w:p>
        </w:tc>
        <w:tc>
          <w:tcPr>
            <w:tcW w:w="1696" w:type="dxa"/>
            <w:shd w:val="clear" w:color="auto" w:fill="EDCDCF"/>
            <w:noWrap/>
          </w:tcPr>
          <w:p w14:paraId="739BEED1" w14:textId="77777777" w:rsidR="007F1BA2" w:rsidRPr="007F1BA2" w:rsidRDefault="007F1BA2" w:rsidP="007F1BA2">
            <w:pPr>
              <w:pStyle w:val="DHHStablecolhead"/>
            </w:pPr>
            <w:r w:rsidRPr="007F1BA2">
              <w:t>Most recent</w:t>
            </w:r>
          </w:p>
          <w:p w14:paraId="31304FEF" w14:textId="4025CD4C" w:rsidR="007F1BA2" w:rsidRPr="007F1BA2" w:rsidRDefault="007F1BA2" w:rsidP="007F1BA2">
            <w:pPr>
              <w:pStyle w:val="DHHStablecolhead"/>
            </w:pPr>
            <w:r w:rsidRPr="007F1BA2">
              <w:t>(year)</w:t>
            </w:r>
          </w:p>
        </w:tc>
        <w:tc>
          <w:tcPr>
            <w:tcW w:w="1706" w:type="dxa"/>
            <w:shd w:val="clear" w:color="auto" w:fill="EDCDCF"/>
            <w:noWrap/>
          </w:tcPr>
          <w:p w14:paraId="25775E57" w14:textId="0541C2BE" w:rsidR="007F1BA2" w:rsidRPr="007F1BA2" w:rsidRDefault="007F1BA2" w:rsidP="007F1BA2">
            <w:pPr>
              <w:pStyle w:val="DHHStablecolhead"/>
            </w:pPr>
            <w:r w:rsidRPr="007F1BA2">
              <w:t>Target</w:t>
            </w:r>
          </w:p>
        </w:tc>
        <w:tc>
          <w:tcPr>
            <w:tcW w:w="1271" w:type="dxa"/>
            <w:shd w:val="clear" w:color="auto" w:fill="EDCDCF"/>
          </w:tcPr>
          <w:p w14:paraId="6F6AF343" w14:textId="46D8963D" w:rsidR="007F1BA2" w:rsidRPr="007F1BA2" w:rsidRDefault="007F1BA2" w:rsidP="007F1BA2">
            <w:pPr>
              <w:pStyle w:val="DHHStablecolhead"/>
            </w:pPr>
            <w:r w:rsidRPr="007F1BA2">
              <w:t>Trend</w:t>
            </w:r>
          </w:p>
        </w:tc>
      </w:tr>
      <w:tr w:rsidR="0064412C" w:rsidRPr="00885FE2" w14:paraId="2BEDC771" w14:textId="77777777" w:rsidTr="00957CB6">
        <w:trPr>
          <w:trHeight w:val="590"/>
        </w:trPr>
        <w:tc>
          <w:tcPr>
            <w:tcW w:w="2127" w:type="dxa"/>
          </w:tcPr>
          <w:p w14:paraId="4D0F98B4" w14:textId="1F33466C" w:rsidR="0064412C" w:rsidRPr="007F1BA2" w:rsidRDefault="009D1534" w:rsidP="007F1BA2">
            <w:pPr>
              <w:pStyle w:val="DHHStabletext"/>
            </w:pPr>
            <w:hyperlink w:anchor="_Measure_16.1_–" w:history="1">
              <w:r w:rsidR="0064412C" w:rsidRPr="00F923BD">
                <w:rPr>
                  <w:rStyle w:val="Hyperlink"/>
                </w:rPr>
                <w:t>16.1</w:t>
              </w:r>
            </w:hyperlink>
          </w:p>
        </w:tc>
        <w:tc>
          <w:tcPr>
            <w:tcW w:w="3402" w:type="dxa"/>
          </w:tcPr>
          <w:p w14:paraId="6A61FCC4" w14:textId="77777777" w:rsidR="0064412C" w:rsidRPr="007F1BA2" w:rsidRDefault="0064412C" w:rsidP="007F1BA2">
            <w:pPr>
              <w:pStyle w:val="DHHStabletext"/>
            </w:pPr>
            <w:r w:rsidRPr="007F1BA2">
              <w:t>Proportion of women who have a mammogram by BreastScreen Victoria, who rate the service as highly satisfactory</w:t>
            </w:r>
          </w:p>
        </w:tc>
        <w:tc>
          <w:tcPr>
            <w:tcW w:w="2126" w:type="dxa"/>
          </w:tcPr>
          <w:p w14:paraId="4C2AE111" w14:textId="77777777" w:rsidR="0064412C" w:rsidRPr="007F1BA2" w:rsidRDefault="0064412C" w:rsidP="007F1BA2">
            <w:pPr>
              <w:pStyle w:val="DHHStabletext"/>
            </w:pPr>
            <w:r w:rsidRPr="007F1BA2">
              <w:t>Per cent</w:t>
            </w:r>
          </w:p>
        </w:tc>
        <w:tc>
          <w:tcPr>
            <w:tcW w:w="2131" w:type="dxa"/>
            <w:noWrap/>
          </w:tcPr>
          <w:p w14:paraId="2409184D" w14:textId="34D07E09" w:rsidR="0064412C" w:rsidRPr="007F1BA2" w:rsidRDefault="0064412C" w:rsidP="007F1BA2">
            <w:pPr>
              <w:pStyle w:val="DHHStabletext"/>
            </w:pPr>
            <w:r w:rsidRPr="007F1BA2">
              <w:t>9</w:t>
            </w:r>
            <w:r w:rsidR="0094432A">
              <w:t>1</w:t>
            </w:r>
            <w:r w:rsidRPr="007F1BA2">
              <w:t xml:space="preserve"> </w:t>
            </w:r>
          </w:p>
          <w:p w14:paraId="0BF6149F" w14:textId="71C695DE" w:rsidR="0064412C" w:rsidRPr="007F1BA2" w:rsidRDefault="0064412C" w:rsidP="007F1BA2">
            <w:pPr>
              <w:pStyle w:val="DHHStabletext"/>
            </w:pPr>
            <w:r w:rsidRPr="007F1BA2">
              <w:t>(201</w:t>
            </w:r>
            <w:r w:rsidR="0094432A">
              <w:t>4</w:t>
            </w:r>
            <w:r w:rsidRPr="007F1BA2">
              <w:t>)</w:t>
            </w:r>
          </w:p>
        </w:tc>
        <w:tc>
          <w:tcPr>
            <w:tcW w:w="1696" w:type="dxa"/>
            <w:noWrap/>
          </w:tcPr>
          <w:p w14:paraId="7A81D8A5" w14:textId="4AA66233" w:rsidR="0064412C" w:rsidRPr="007F1BA2" w:rsidRDefault="0064412C" w:rsidP="007F1BA2">
            <w:pPr>
              <w:pStyle w:val="DHHStabletext"/>
            </w:pPr>
            <w:r w:rsidRPr="007F1BA2">
              <w:t xml:space="preserve">93 </w:t>
            </w:r>
          </w:p>
          <w:p w14:paraId="62613DAE" w14:textId="77777777" w:rsidR="0064412C" w:rsidRPr="007F1BA2" w:rsidRDefault="0064412C" w:rsidP="007F1BA2">
            <w:pPr>
              <w:pStyle w:val="DHHStabletext"/>
            </w:pPr>
            <w:r w:rsidRPr="007F1BA2">
              <w:t>(2018)</w:t>
            </w:r>
          </w:p>
        </w:tc>
        <w:tc>
          <w:tcPr>
            <w:tcW w:w="1706" w:type="dxa"/>
            <w:noWrap/>
          </w:tcPr>
          <w:p w14:paraId="47883346" w14:textId="77777777" w:rsidR="0064412C" w:rsidRPr="007F1BA2" w:rsidRDefault="0064412C" w:rsidP="007F1BA2">
            <w:pPr>
              <w:pStyle w:val="DHHStabletext"/>
            </w:pPr>
            <w:r w:rsidRPr="007F1BA2">
              <w:t>N/S</w:t>
            </w:r>
          </w:p>
        </w:tc>
        <w:tc>
          <w:tcPr>
            <w:tcW w:w="1271" w:type="dxa"/>
          </w:tcPr>
          <w:p w14:paraId="4F23CFF5" w14:textId="1E121EC5" w:rsidR="0064412C" w:rsidRPr="007F1BA2" w:rsidRDefault="00CF3B53" w:rsidP="007F1BA2">
            <w:pPr>
              <w:pStyle w:val="DHHStabletext"/>
            </w:pPr>
            <w:r w:rsidRPr="007F1BA2">
              <w:t xml:space="preserve">■ </w:t>
            </w:r>
            <w:r w:rsidRPr="007F1BA2">
              <w:br/>
              <w:t>No change</w:t>
            </w:r>
          </w:p>
        </w:tc>
      </w:tr>
      <w:tr w:rsidR="0064412C" w:rsidRPr="00885FE2" w14:paraId="1BF236AC" w14:textId="77777777" w:rsidTr="00957CB6">
        <w:trPr>
          <w:trHeight w:val="546"/>
        </w:trPr>
        <w:tc>
          <w:tcPr>
            <w:tcW w:w="2127" w:type="dxa"/>
            <w:hideMark/>
          </w:tcPr>
          <w:p w14:paraId="5C0900EE" w14:textId="686E7A11" w:rsidR="0064412C" w:rsidRPr="007F1BA2" w:rsidRDefault="009D1534" w:rsidP="007F1BA2">
            <w:pPr>
              <w:pStyle w:val="DHHStabletext"/>
            </w:pPr>
            <w:hyperlink w:anchor="_Measure_16.2_–" w:history="1">
              <w:r w:rsidR="0064412C" w:rsidRPr="00F923BD">
                <w:rPr>
                  <w:rStyle w:val="Hyperlink"/>
                </w:rPr>
                <w:t>16.2</w:t>
              </w:r>
            </w:hyperlink>
          </w:p>
        </w:tc>
        <w:tc>
          <w:tcPr>
            <w:tcW w:w="3402" w:type="dxa"/>
            <w:hideMark/>
          </w:tcPr>
          <w:p w14:paraId="6075A438" w14:textId="77777777" w:rsidR="0064412C" w:rsidRPr="007F1BA2" w:rsidRDefault="0064412C" w:rsidP="007F1BA2">
            <w:pPr>
              <w:pStyle w:val="DHHStabletext"/>
            </w:pPr>
            <w:r w:rsidRPr="007F1BA2">
              <w:t>Proportion of women who are rescreened at BreastScreen Victoria within 27 months of first screen</w:t>
            </w:r>
          </w:p>
        </w:tc>
        <w:tc>
          <w:tcPr>
            <w:tcW w:w="2126" w:type="dxa"/>
          </w:tcPr>
          <w:p w14:paraId="1C29D88E" w14:textId="77777777" w:rsidR="0064412C" w:rsidRPr="007F1BA2" w:rsidRDefault="0064412C" w:rsidP="007F1BA2">
            <w:pPr>
              <w:pStyle w:val="DHHStabletext"/>
            </w:pPr>
            <w:r w:rsidRPr="007F1BA2">
              <w:t xml:space="preserve">Per cent </w:t>
            </w:r>
          </w:p>
          <w:p w14:paraId="0C657BC2" w14:textId="020DE9C9" w:rsidR="0064412C" w:rsidRPr="007F1BA2" w:rsidRDefault="0064412C" w:rsidP="007F1BA2">
            <w:pPr>
              <w:pStyle w:val="DHHStabletext"/>
            </w:pPr>
            <w:r w:rsidRPr="007F1BA2">
              <w:t>(age-adjusted)</w:t>
            </w:r>
          </w:p>
        </w:tc>
        <w:tc>
          <w:tcPr>
            <w:tcW w:w="2131" w:type="dxa"/>
            <w:noWrap/>
          </w:tcPr>
          <w:p w14:paraId="2C496F7C" w14:textId="77777777" w:rsidR="0064412C" w:rsidRPr="007F1BA2" w:rsidRDefault="0064412C" w:rsidP="007F1BA2">
            <w:pPr>
              <w:pStyle w:val="DHHStabletext"/>
            </w:pPr>
            <w:r w:rsidRPr="007F1BA2">
              <w:t>57.7</w:t>
            </w:r>
          </w:p>
          <w:p w14:paraId="1846AFC2" w14:textId="77777777" w:rsidR="0064412C" w:rsidRPr="007F1BA2" w:rsidRDefault="0064412C" w:rsidP="007F1BA2">
            <w:pPr>
              <w:pStyle w:val="DHHStabletext"/>
            </w:pPr>
            <w:r w:rsidRPr="007F1BA2">
              <w:t>(2014)</w:t>
            </w:r>
          </w:p>
        </w:tc>
        <w:tc>
          <w:tcPr>
            <w:tcW w:w="1696" w:type="dxa"/>
            <w:noWrap/>
            <w:hideMark/>
          </w:tcPr>
          <w:p w14:paraId="6AD1526E" w14:textId="77777777" w:rsidR="0064412C" w:rsidRPr="007F1BA2" w:rsidRDefault="0064412C" w:rsidP="007F1BA2">
            <w:pPr>
              <w:pStyle w:val="DHHStabletext"/>
            </w:pPr>
            <w:r w:rsidRPr="007F1BA2">
              <w:t>N/A</w:t>
            </w:r>
          </w:p>
        </w:tc>
        <w:tc>
          <w:tcPr>
            <w:tcW w:w="1706" w:type="dxa"/>
            <w:noWrap/>
            <w:hideMark/>
          </w:tcPr>
          <w:p w14:paraId="7B54458F" w14:textId="77777777" w:rsidR="0064412C" w:rsidRPr="007F1BA2" w:rsidRDefault="0064412C" w:rsidP="007F1BA2">
            <w:pPr>
              <w:pStyle w:val="DHHStabletext"/>
            </w:pPr>
            <w:r w:rsidRPr="007F1BA2">
              <w:t>N/S</w:t>
            </w:r>
          </w:p>
        </w:tc>
        <w:tc>
          <w:tcPr>
            <w:tcW w:w="1271" w:type="dxa"/>
            <w:hideMark/>
          </w:tcPr>
          <w:p w14:paraId="6AFD8C09" w14:textId="226DCD2D" w:rsidR="0064412C" w:rsidRPr="007F1BA2" w:rsidRDefault="0064412C" w:rsidP="007F1BA2">
            <w:pPr>
              <w:pStyle w:val="DHHStabletext"/>
            </w:pPr>
            <w:r w:rsidRPr="007F1BA2">
              <w:t>N/A</w:t>
            </w:r>
          </w:p>
        </w:tc>
      </w:tr>
      <w:tr w:rsidR="0064412C" w:rsidRPr="00885FE2" w14:paraId="512EF629" w14:textId="77777777" w:rsidTr="00957CB6">
        <w:trPr>
          <w:trHeight w:val="546"/>
        </w:trPr>
        <w:tc>
          <w:tcPr>
            <w:tcW w:w="2127" w:type="dxa"/>
          </w:tcPr>
          <w:p w14:paraId="362832A3" w14:textId="7C9D72FF" w:rsidR="0064412C" w:rsidRPr="007F1BA2" w:rsidRDefault="009D1534" w:rsidP="007F1BA2">
            <w:pPr>
              <w:pStyle w:val="DHHStabletext"/>
            </w:pPr>
            <w:hyperlink w:anchor="_Measure_16.3_–" w:history="1">
              <w:r w:rsidR="0064412C" w:rsidRPr="00F923BD">
                <w:rPr>
                  <w:rStyle w:val="Hyperlink"/>
                </w:rPr>
                <w:t>16.3</w:t>
              </w:r>
            </w:hyperlink>
          </w:p>
        </w:tc>
        <w:tc>
          <w:tcPr>
            <w:tcW w:w="3402" w:type="dxa"/>
          </w:tcPr>
          <w:p w14:paraId="3F2B5C00" w14:textId="4D0AEC2B" w:rsidR="0064412C" w:rsidRPr="007F1BA2" w:rsidRDefault="0064412C" w:rsidP="007F1BA2">
            <w:pPr>
              <w:pStyle w:val="DHHStabletext"/>
            </w:pPr>
            <w:r w:rsidRPr="007F1BA2">
              <w:t xml:space="preserve">Proportion of women who are rescreened for cervical cancer within three months of receiving a 27-month cervical screening register reminder letter </w:t>
            </w:r>
          </w:p>
        </w:tc>
        <w:tc>
          <w:tcPr>
            <w:tcW w:w="2126" w:type="dxa"/>
          </w:tcPr>
          <w:p w14:paraId="7D753C18" w14:textId="77777777" w:rsidR="0064412C" w:rsidRPr="007F1BA2" w:rsidRDefault="0064412C" w:rsidP="007F1BA2">
            <w:pPr>
              <w:pStyle w:val="DHHStabletext"/>
            </w:pPr>
            <w:r w:rsidRPr="007F1BA2">
              <w:t>Per cent</w:t>
            </w:r>
          </w:p>
        </w:tc>
        <w:tc>
          <w:tcPr>
            <w:tcW w:w="2131" w:type="dxa"/>
            <w:noWrap/>
          </w:tcPr>
          <w:p w14:paraId="158F6B98" w14:textId="58839745" w:rsidR="0064412C" w:rsidRPr="007F1BA2" w:rsidRDefault="0064412C" w:rsidP="007F1BA2">
            <w:pPr>
              <w:pStyle w:val="DHHStabletext"/>
            </w:pPr>
            <w:r w:rsidRPr="007F1BA2">
              <w:t xml:space="preserve">31.9 </w:t>
            </w:r>
          </w:p>
          <w:p w14:paraId="3A1F57E6" w14:textId="77777777" w:rsidR="0064412C" w:rsidRPr="007F1BA2" w:rsidRDefault="0064412C" w:rsidP="007F1BA2">
            <w:pPr>
              <w:pStyle w:val="DHHStabletext"/>
            </w:pPr>
            <w:r w:rsidRPr="007F1BA2">
              <w:t>(2015)</w:t>
            </w:r>
          </w:p>
        </w:tc>
        <w:tc>
          <w:tcPr>
            <w:tcW w:w="1696" w:type="dxa"/>
            <w:noWrap/>
          </w:tcPr>
          <w:p w14:paraId="5F7BD670" w14:textId="77777777" w:rsidR="0064412C" w:rsidRPr="007F1BA2" w:rsidRDefault="0064412C" w:rsidP="007F1BA2">
            <w:pPr>
              <w:pStyle w:val="DHHStabletext"/>
            </w:pPr>
            <w:r w:rsidRPr="007F1BA2">
              <w:t>N/A</w:t>
            </w:r>
          </w:p>
        </w:tc>
        <w:tc>
          <w:tcPr>
            <w:tcW w:w="1706" w:type="dxa"/>
            <w:noWrap/>
          </w:tcPr>
          <w:p w14:paraId="2CDE7642" w14:textId="77777777" w:rsidR="0064412C" w:rsidRPr="007F1BA2" w:rsidRDefault="0064412C" w:rsidP="007F1BA2">
            <w:pPr>
              <w:pStyle w:val="DHHStabletext"/>
            </w:pPr>
            <w:r w:rsidRPr="007F1BA2">
              <w:t>N/S</w:t>
            </w:r>
          </w:p>
        </w:tc>
        <w:tc>
          <w:tcPr>
            <w:tcW w:w="1271" w:type="dxa"/>
          </w:tcPr>
          <w:p w14:paraId="6D6B8735" w14:textId="648AE488" w:rsidR="0064412C" w:rsidRPr="007F1BA2" w:rsidRDefault="0064412C" w:rsidP="007F1BA2">
            <w:pPr>
              <w:pStyle w:val="DHHStabletext"/>
            </w:pPr>
            <w:r w:rsidRPr="007F1BA2">
              <w:t>N/A</w:t>
            </w:r>
          </w:p>
        </w:tc>
      </w:tr>
      <w:tr w:rsidR="0064412C" w:rsidRPr="00885FE2" w14:paraId="5DDB87E9" w14:textId="77777777" w:rsidTr="00957CB6">
        <w:trPr>
          <w:trHeight w:val="546"/>
        </w:trPr>
        <w:tc>
          <w:tcPr>
            <w:tcW w:w="2127" w:type="dxa"/>
          </w:tcPr>
          <w:p w14:paraId="11A6711E" w14:textId="3D252741" w:rsidR="0064412C" w:rsidRPr="007F1BA2" w:rsidRDefault="009D1534" w:rsidP="007F1BA2">
            <w:pPr>
              <w:pStyle w:val="DHHStabletext"/>
            </w:pPr>
            <w:hyperlink w:anchor="_Measure_16.4_–" w:history="1">
              <w:r w:rsidR="0064412C" w:rsidRPr="00F923BD">
                <w:rPr>
                  <w:rStyle w:val="Hyperlink"/>
                </w:rPr>
                <w:t>16.4</w:t>
              </w:r>
            </w:hyperlink>
          </w:p>
        </w:tc>
        <w:tc>
          <w:tcPr>
            <w:tcW w:w="3402" w:type="dxa"/>
          </w:tcPr>
          <w:p w14:paraId="394E46CB" w14:textId="1A43DC37" w:rsidR="0064412C" w:rsidRPr="007F1BA2" w:rsidRDefault="0064412C" w:rsidP="007F1BA2">
            <w:pPr>
              <w:pStyle w:val="DHHStabletext"/>
            </w:pPr>
            <w:r w:rsidRPr="007F1BA2">
              <w:t xml:space="preserve">Proportion of adults who are rescreened by National Bowel Cancer Screening Program </w:t>
            </w:r>
          </w:p>
        </w:tc>
        <w:tc>
          <w:tcPr>
            <w:tcW w:w="2126" w:type="dxa"/>
          </w:tcPr>
          <w:p w14:paraId="0AFEAABF" w14:textId="77777777" w:rsidR="0064412C" w:rsidRPr="007F1BA2" w:rsidRDefault="0064412C" w:rsidP="007F1BA2">
            <w:pPr>
              <w:pStyle w:val="DHHStabletext"/>
            </w:pPr>
            <w:r w:rsidRPr="007F1BA2">
              <w:t>Per cent</w:t>
            </w:r>
          </w:p>
        </w:tc>
        <w:tc>
          <w:tcPr>
            <w:tcW w:w="2131" w:type="dxa"/>
            <w:noWrap/>
          </w:tcPr>
          <w:p w14:paraId="40A39629" w14:textId="77777777" w:rsidR="0064412C" w:rsidRPr="007F1BA2" w:rsidRDefault="0064412C" w:rsidP="007F1BA2">
            <w:pPr>
              <w:pStyle w:val="DHHStabletext"/>
            </w:pPr>
            <w:r w:rsidRPr="007F1BA2">
              <w:t>77</w:t>
            </w:r>
          </w:p>
          <w:p w14:paraId="66E9226C" w14:textId="02B6DFFD" w:rsidR="0064412C" w:rsidRPr="007F1BA2" w:rsidRDefault="0064412C" w:rsidP="007F1BA2">
            <w:pPr>
              <w:pStyle w:val="DHHStabletext"/>
            </w:pPr>
            <w:r w:rsidRPr="007F1BA2">
              <w:t>(2014–2015)</w:t>
            </w:r>
          </w:p>
        </w:tc>
        <w:tc>
          <w:tcPr>
            <w:tcW w:w="1696" w:type="dxa"/>
            <w:noWrap/>
          </w:tcPr>
          <w:p w14:paraId="26AA5B20" w14:textId="77777777" w:rsidR="0064412C" w:rsidRPr="007F1BA2" w:rsidRDefault="0064412C" w:rsidP="007F1BA2">
            <w:pPr>
              <w:pStyle w:val="DHHStabletext"/>
            </w:pPr>
            <w:r w:rsidRPr="007F1BA2">
              <w:t>79</w:t>
            </w:r>
          </w:p>
          <w:p w14:paraId="18DA7C8D" w14:textId="3CBB8C9B" w:rsidR="0064412C" w:rsidRPr="007F1BA2" w:rsidRDefault="0064412C" w:rsidP="007F1BA2">
            <w:pPr>
              <w:pStyle w:val="DHHStabletext"/>
            </w:pPr>
            <w:r w:rsidRPr="007F1BA2">
              <w:t>(2016–2017)</w:t>
            </w:r>
          </w:p>
        </w:tc>
        <w:tc>
          <w:tcPr>
            <w:tcW w:w="1706" w:type="dxa"/>
            <w:noWrap/>
          </w:tcPr>
          <w:p w14:paraId="10E8F59B" w14:textId="77777777" w:rsidR="0064412C" w:rsidRPr="007F1BA2" w:rsidRDefault="0064412C" w:rsidP="007F1BA2">
            <w:pPr>
              <w:pStyle w:val="DHHStabletext"/>
            </w:pPr>
            <w:r w:rsidRPr="007F1BA2">
              <w:t>N/S</w:t>
            </w:r>
          </w:p>
        </w:tc>
        <w:tc>
          <w:tcPr>
            <w:tcW w:w="1271" w:type="dxa"/>
          </w:tcPr>
          <w:p w14:paraId="5423009E" w14:textId="1EFDDADB" w:rsidR="0064412C" w:rsidRPr="007F1BA2" w:rsidRDefault="00CF3B53" w:rsidP="007F1BA2">
            <w:pPr>
              <w:pStyle w:val="DHHStabletext"/>
            </w:pPr>
            <w:r w:rsidRPr="007F1BA2">
              <w:t xml:space="preserve">■ </w:t>
            </w:r>
            <w:r w:rsidRPr="007F1BA2">
              <w:br/>
              <w:t>No change</w:t>
            </w:r>
          </w:p>
        </w:tc>
      </w:tr>
    </w:tbl>
    <w:p w14:paraId="5D24BDF1" w14:textId="05C0169D" w:rsidR="00C1114C" w:rsidRDefault="00662616" w:rsidP="00662616">
      <w:pPr>
        <w:pStyle w:val="Heading3"/>
      </w:pPr>
      <w:bookmarkStart w:id="36" w:name="_Toc19007978"/>
      <w:r>
        <w:lastRenderedPageBreak/>
        <w:t>Action: Research</w:t>
      </w:r>
      <w:r w:rsidRPr="00DE68BE">
        <w:t xml:space="preserve"> – </w:t>
      </w:r>
      <w:r w:rsidRPr="00110AA9">
        <w:t>Victoria has a strong and integrated research system</w:t>
      </w:r>
      <w:bookmarkEnd w:id="36"/>
    </w:p>
    <w:p w14:paraId="36DB41B0" w14:textId="13DDD7FE" w:rsidR="00662616" w:rsidRDefault="00662616" w:rsidP="00662616">
      <w:pPr>
        <w:pStyle w:val="Heading4"/>
      </w:pPr>
      <w:r w:rsidRPr="00885FE2">
        <w:t xml:space="preserve">Outcome: </w:t>
      </w:r>
      <w:r>
        <w:t>Integrated research systems</w:t>
      </w:r>
    </w:p>
    <w:p w14:paraId="40B3D934" w14:textId="4EA086FE" w:rsidR="00662616" w:rsidRDefault="00662616" w:rsidP="00662616">
      <w:pPr>
        <w:pStyle w:val="Heading5"/>
      </w:pPr>
      <w:r w:rsidRPr="00885FE2">
        <w:t xml:space="preserve">Key result: </w:t>
      </w:r>
      <w:r>
        <w:t>Innovations and improved evidence of best practice</w:t>
      </w:r>
    </w:p>
    <w:tbl>
      <w:tblPr>
        <w:tblStyle w:val="TableGrid"/>
        <w:tblW w:w="14459"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ayout w:type="fixed"/>
        <w:tblLook w:val="04A0" w:firstRow="1" w:lastRow="0" w:firstColumn="1" w:lastColumn="0" w:noHBand="0" w:noVBand="1"/>
      </w:tblPr>
      <w:tblGrid>
        <w:gridCol w:w="2127"/>
        <w:gridCol w:w="3402"/>
        <w:gridCol w:w="2126"/>
        <w:gridCol w:w="2268"/>
        <w:gridCol w:w="1559"/>
        <w:gridCol w:w="1843"/>
        <w:gridCol w:w="1134"/>
      </w:tblGrid>
      <w:tr w:rsidR="00662616" w:rsidRPr="00885FE2" w14:paraId="4EB0D99A" w14:textId="77777777" w:rsidTr="00360C87">
        <w:trPr>
          <w:trHeight w:val="564"/>
        </w:trPr>
        <w:tc>
          <w:tcPr>
            <w:tcW w:w="2127" w:type="dxa"/>
            <w:shd w:val="clear" w:color="auto" w:fill="EDCDCF"/>
          </w:tcPr>
          <w:p w14:paraId="27B7830F" w14:textId="7F2AAD52" w:rsidR="00662616" w:rsidRDefault="00662616" w:rsidP="00662616">
            <w:pPr>
              <w:pStyle w:val="DHHStablecolhead"/>
            </w:pPr>
            <w:r>
              <w:t>Measure #</w:t>
            </w:r>
          </w:p>
        </w:tc>
        <w:tc>
          <w:tcPr>
            <w:tcW w:w="3402" w:type="dxa"/>
            <w:shd w:val="clear" w:color="auto" w:fill="EDCDCF"/>
          </w:tcPr>
          <w:p w14:paraId="462BAD71" w14:textId="2348143C" w:rsidR="00662616" w:rsidRPr="00E82869" w:rsidRDefault="00662616" w:rsidP="00662616">
            <w:pPr>
              <w:pStyle w:val="DHHStablecolhead"/>
            </w:pPr>
            <w:r w:rsidRPr="00BE475E">
              <w:t>Description</w:t>
            </w:r>
          </w:p>
        </w:tc>
        <w:tc>
          <w:tcPr>
            <w:tcW w:w="2126" w:type="dxa"/>
            <w:shd w:val="clear" w:color="auto" w:fill="EDCDCF"/>
          </w:tcPr>
          <w:p w14:paraId="14A99D79" w14:textId="217A1926" w:rsidR="00662616" w:rsidRPr="00174D02" w:rsidRDefault="00662616" w:rsidP="00662616">
            <w:pPr>
              <w:pStyle w:val="DHHStablecolhead"/>
            </w:pPr>
            <w:r>
              <w:t>Unit of measure</w:t>
            </w:r>
          </w:p>
        </w:tc>
        <w:tc>
          <w:tcPr>
            <w:tcW w:w="2268" w:type="dxa"/>
            <w:shd w:val="clear" w:color="auto" w:fill="EDCDCF"/>
            <w:noWrap/>
          </w:tcPr>
          <w:p w14:paraId="64238C90" w14:textId="77777777" w:rsidR="00662616" w:rsidRPr="000B1825" w:rsidRDefault="00662616" w:rsidP="00662616">
            <w:pPr>
              <w:pStyle w:val="DHHStablecolhead"/>
            </w:pPr>
            <w:r w:rsidRPr="000B1825">
              <w:t>Baseline</w:t>
            </w:r>
          </w:p>
          <w:p w14:paraId="4A0AE121" w14:textId="42D44E46" w:rsidR="00662616" w:rsidRDefault="00662616" w:rsidP="00662616">
            <w:pPr>
              <w:pStyle w:val="DHHStablecolhead"/>
            </w:pPr>
            <w:r w:rsidRPr="00C77EB2">
              <w:t>(year)</w:t>
            </w:r>
          </w:p>
        </w:tc>
        <w:tc>
          <w:tcPr>
            <w:tcW w:w="1559" w:type="dxa"/>
            <w:shd w:val="clear" w:color="auto" w:fill="EDCDCF"/>
            <w:noWrap/>
          </w:tcPr>
          <w:p w14:paraId="65CBA4BA" w14:textId="77777777" w:rsidR="00662616" w:rsidRPr="000B1825" w:rsidRDefault="00662616" w:rsidP="00662616">
            <w:pPr>
              <w:pStyle w:val="DHHStablecolhead"/>
            </w:pPr>
            <w:r w:rsidRPr="000B1825">
              <w:t>Most recent</w:t>
            </w:r>
          </w:p>
          <w:p w14:paraId="1E6B9558" w14:textId="507B507B" w:rsidR="00662616" w:rsidRDefault="00662616" w:rsidP="00662616">
            <w:pPr>
              <w:pStyle w:val="DHHStablecolhead"/>
            </w:pPr>
            <w:r w:rsidRPr="00C77EB2">
              <w:t>(year)</w:t>
            </w:r>
          </w:p>
        </w:tc>
        <w:tc>
          <w:tcPr>
            <w:tcW w:w="1843" w:type="dxa"/>
            <w:shd w:val="clear" w:color="auto" w:fill="EDCDCF"/>
            <w:noWrap/>
          </w:tcPr>
          <w:p w14:paraId="204D0918" w14:textId="25CB6184" w:rsidR="00662616" w:rsidRPr="00A57D2E" w:rsidRDefault="00662616" w:rsidP="00662616">
            <w:pPr>
              <w:pStyle w:val="DHHStablecolhead"/>
            </w:pPr>
            <w:r w:rsidRPr="00414550">
              <w:t>Target</w:t>
            </w:r>
          </w:p>
        </w:tc>
        <w:tc>
          <w:tcPr>
            <w:tcW w:w="1134" w:type="dxa"/>
            <w:shd w:val="clear" w:color="auto" w:fill="EDCDCF"/>
          </w:tcPr>
          <w:p w14:paraId="46629311" w14:textId="0668CED6" w:rsidR="00662616" w:rsidRPr="00AD1B27" w:rsidRDefault="00662616" w:rsidP="00662616">
            <w:pPr>
              <w:pStyle w:val="DHHStablecolhead"/>
            </w:pPr>
            <w:r w:rsidRPr="00414550">
              <w:t>Trend</w:t>
            </w:r>
          </w:p>
        </w:tc>
      </w:tr>
      <w:tr w:rsidR="0064412C" w:rsidRPr="00885FE2" w14:paraId="56861F6C" w14:textId="77777777" w:rsidTr="00360C87">
        <w:trPr>
          <w:trHeight w:val="564"/>
        </w:trPr>
        <w:tc>
          <w:tcPr>
            <w:tcW w:w="2127" w:type="dxa"/>
          </w:tcPr>
          <w:p w14:paraId="03F4538A" w14:textId="5F476170" w:rsidR="0064412C" w:rsidRPr="00662616" w:rsidRDefault="009D1534" w:rsidP="00662616">
            <w:pPr>
              <w:pStyle w:val="DHHStabletext"/>
            </w:pPr>
            <w:hyperlink w:anchor="_Measure_17.1_–" w:history="1">
              <w:r w:rsidR="0064412C" w:rsidRPr="00B339C8">
                <w:rPr>
                  <w:rStyle w:val="Hyperlink"/>
                </w:rPr>
                <w:t>17.1</w:t>
              </w:r>
            </w:hyperlink>
          </w:p>
        </w:tc>
        <w:tc>
          <w:tcPr>
            <w:tcW w:w="3402" w:type="dxa"/>
          </w:tcPr>
          <w:p w14:paraId="4F358769" w14:textId="77777777" w:rsidR="0064412C" w:rsidRPr="00662616" w:rsidRDefault="0064412C" w:rsidP="00662616">
            <w:pPr>
              <w:pStyle w:val="DHHStabletext"/>
            </w:pPr>
            <w:r w:rsidRPr="00662616">
              <w:t>Number of new enrolments in cancer intervention clinical trials</w:t>
            </w:r>
          </w:p>
        </w:tc>
        <w:tc>
          <w:tcPr>
            <w:tcW w:w="2126" w:type="dxa"/>
          </w:tcPr>
          <w:p w14:paraId="53989C69" w14:textId="2DDB7EE0" w:rsidR="0064412C" w:rsidRPr="00662616" w:rsidRDefault="0064412C" w:rsidP="00662616">
            <w:pPr>
              <w:pStyle w:val="DHHStabletext"/>
            </w:pPr>
            <w:r w:rsidRPr="00662616">
              <w:t xml:space="preserve">Number </w:t>
            </w:r>
          </w:p>
        </w:tc>
        <w:tc>
          <w:tcPr>
            <w:tcW w:w="2268" w:type="dxa"/>
            <w:noWrap/>
          </w:tcPr>
          <w:p w14:paraId="20B55D1C" w14:textId="3E812099" w:rsidR="0064412C" w:rsidRPr="00662616" w:rsidRDefault="0064412C" w:rsidP="00662616">
            <w:pPr>
              <w:pStyle w:val="DHHStabletext"/>
            </w:pPr>
            <w:r w:rsidRPr="00662616">
              <w:t>1,611</w:t>
            </w:r>
          </w:p>
          <w:p w14:paraId="68C1C367" w14:textId="77777777" w:rsidR="0064412C" w:rsidRPr="00662616" w:rsidRDefault="0064412C" w:rsidP="00662616">
            <w:pPr>
              <w:pStyle w:val="DHHStabletext"/>
            </w:pPr>
            <w:r w:rsidRPr="00662616">
              <w:t>(2014)</w:t>
            </w:r>
          </w:p>
        </w:tc>
        <w:tc>
          <w:tcPr>
            <w:tcW w:w="1559" w:type="dxa"/>
            <w:noWrap/>
          </w:tcPr>
          <w:p w14:paraId="71E1CEEC" w14:textId="7ACC6698" w:rsidR="0064412C" w:rsidRPr="00662616" w:rsidRDefault="0064412C" w:rsidP="00662616">
            <w:pPr>
              <w:pStyle w:val="DHHStabletext"/>
            </w:pPr>
            <w:r w:rsidRPr="00662616">
              <w:t>1,605</w:t>
            </w:r>
          </w:p>
          <w:p w14:paraId="7787773F" w14:textId="76C8537B" w:rsidR="0064412C" w:rsidRPr="00662616" w:rsidRDefault="0064412C" w:rsidP="00662616">
            <w:pPr>
              <w:pStyle w:val="DHHStabletext"/>
            </w:pPr>
            <w:r w:rsidRPr="00662616">
              <w:t>(2017)</w:t>
            </w:r>
          </w:p>
        </w:tc>
        <w:tc>
          <w:tcPr>
            <w:tcW w:w="1843" w:type="dxa"/>
            <w:noWrap/>
          </w:tcPr>
          <w:p w14:paraId="22F6A57F" w14:textId="77777777" w:rsidR="0064412C" w:rsidRPr="00662616" w:rsidRDefault="0064412C" w:rsidP="00662616">
            <w:pPr>
              <w:pStyle w:val="DHHStabletext"/>
            </w:pPr>
            <w:r w:rsidRPr="00662616">
              <w:t>N/S</w:t>
            </w:r>
          </w:p>
        </w:tc>
        <w:tc>
          <w:tcPr>
            <w:tcW w:w="1134" w:type="dxa"/>
          </w:tcPr>
          <w:p w14:paraId="6B37CB7B" w14:textId="24D380B3" w:rsidR="0064412C" w:rsidRPr="00662616" w:rsidRDefault="00CF3B53" w:rsidP="00662616">
            <w:pPr>
              <w:pStyle w:val="DHHStabletext"/>
            </w:pPr>
            <w:r w:rsidRPr="00662616">
              <w:t xml:space="preserve">■ </w:t>
            </w:r>
            <w:r w:rsidRPr="00662616">
              <w:br/>
              <w:t>No change</w:t>
            </w:r>
          </w:p>
        </w:tc>
      </w:tr>
      <w:tr w:rsidR="0064412C" w:rsidRPr="00885FE2" w14:paraId="0B236E8F" w14:textId="77777777" w:rsidTr="00360C87">
        <w:trPr>
          <w:trHeight w:val="564"/>
        </w:trPr>
        <w:tc>
          <w:tcPr>
            <w:tcW w:w="2127" w:type="dxa"/>
            <w:hideMark/>
          </w:tcPr>
          <w:p w14:paraId="7270683E" w14:textId="5C1C22B8" w:rsidR="0064412C" w:rsidRPr="00662616" w:rsidRDefault="009D1534" w:rsidP="00662616">
            <w:pPr>
              <w:pStyle w:val="DHHStabletext"/>
            </w:pPr>
            <w:hyperlink w:anchor="_Measure_17.2_–" w:history="1">
              <w:r w:rsidR="0064412C" w:rsidRPr="000F20C7">
                <w:rPr>
                  <w:rStyle w:val="Hyperlink"/>
                </w:rPr>
                <w:t>17.2</w:t>
              </w:r>
            </w:hyperlink>
          </w:p>
        </w:tc>
        <w:tc>
          <w:tcPr>
            <w:tcW w:w="3402" w:type="dxa"/>
            <w:hideMark/>
          </w:tcPr>
          <w:p w14:paraId="5D5C15F2" w14:textId="77777777" w:rsidR="0064412C" w:rsidRPr="00662616" w:rsidRDefault="0064412C" w:rsidP="00662616">
            <w:pPr>
              <w:pStyle w:val="DHHStabletext"/>
            </w:pPr>
            <w:r w:rsidRPr="00662616">
              <w:t>Number of recruiting cancer intervention clinical trials</w:t>
            </w:r>
          </w:p>
        </w:tc>
        <w:tc>
          <w:tcPr>
            <w:tcW w:w="2126" w:type="dxa"/>
          </w:tcPr>
          <w:p w14:paraId="30C2D5D5" w14:textId="2A317500" w:rsidR="0064412C" w:rsidRPr="00662616" w:rsidRDefault="0064412C" w:rsidP="00662616">
            <w:pPr>
              <w:pStyle w:val="DHHStabletext"/>
            </w:pPr>
            <w:r w:rsidRPr="00662616">
              <w:t xml:space="preserve">Number </w:t>
            </w:r>
          </w:p>
        </w:tc>
        <w:tc>
          <w:tcPr>
            <w:tcW w:w="2268" w:type="dxa"/>
            <w:noWrap/>
          </w:tcPr>
          <w:p w14:paraId="3D921BF4" w14:textId="77777777" w:rsidR="0064412C" w:rsidRPr="00662616" w:rsidRDefault="0064412C" w:rsidP="00662616">
            <w:pPr>
              <w:pStyle w:val="DHHStabletext"/>
            </w:pPr>
            <w:r w:rsidRPr="00662616">
              <w:t xml:space="preserve">271 </w:t>
            </w:r>
          </w:p>
          <w:p w14:paraId="294735BC" w14:textId="77777777" w:rsidR="0064412C" w:rsidRPr="00662616" w:rsidRDefault="0064412C" w:rsidP="00662616">
            <w:pPr>
              <w:pStyle w:val="DHHStabletext"/>
            </w:pPr>
            <w:r w:rsidRPr="00662616">
              <w:t>(2014)</w:t>
            </w:r>
          </w:p>
        </w:tc>
        <w:tc>
          <w:tcPr>
            <w:tcW w:w="1559" w:type="dxa"/>
            <w:noWrap/>
            <w:hideMark/>
          </w:tcPr>
          <w:p w14:paraId="2BE53BD3" w14:textId="79C92496" w:rsidR="0064412C" w:rsidRPr="00662616" w:rsidRDefault="0064412C" w:rsidP="00662616">
            <w:pPr>
              <w:pStyle w:val="DHHStabletext"/>
            </w:pPr>
            <w:r w:rsidRPr="00662616">
              <w:t>28</w:t>
            </w:r>
            <w:r w:rsidR="0094432A">
              <w:t>5</w:t>
            </w:r>
          </w:p>
          <w:p w14:paraId="1434CEEB" w14:textId="77777777" w:rsidR="0064412C" w:rsidRPr="00662616" w:rsidRDefault="0064412C" w:rsidP="00662616">
            <w:pPr>
              <w:pStyle w:val="DHHStabletext"/>
            </w:pPr>
            <w:r w:rsidRPr="00662616">
              <w:t>(2017)</w:t>
            </w:r>
          </w:p>
        </w:tc>
        <w:tc>
          <w:tcPr>
            <w:tcW w:w="1843" w:type="dxa"/>
            <w:noWrap/>
            <w:hideMark/>
          </w:tcPr>
          <w:p w14:paraId="48F2C8DD" w14:textId="77777777" w:rsidR="0064412C" w:rsidRPr="00662616" w:rsidRDefault="0064412C" w:rsidP="00662616">
            <w:pPr>
              <w:pStyle w:val="DHHStabletext"/>
            </w:pPr>
            <w:r w:rsidRPr="00662616">
              <w:t>N/S</w:t>
            </w:r>
          </w:p>
        </w:tc>
        <w:tc>
          <w:tcPr>
            <w:tcW w:w="1134" w:type="dxa"/>
            <w:hideMark/>
          </w:tcPr>
          <w:p w14:paraId="2510A8AB" w14:textId="76267467" w:rsidR="0064412C" w:rsidRPr="00662616" w:rsidRDefault="0034479E" w:rsidP="00662616">
            <w:pPr>
              <w:pStyle w:val="DHHStabletext"/>
            </w:pPr>
            <w:r w:rsidRPr="0010585A">
              <w:t>▲</w:t>
            </w:r>
            <w:r>
              <w:br/>
              <w:t>Upward</w:t>
            </w:r>
          </w:p>
        </w:tc>
      </w:tr>
      <w:tr w:rsidR="0064412C" w:rsidRPr="00885FE2" w14:paraId="78C1CE4C" w14:textId="77777777" w:rsidTr="00360C87">
        <w:trPr>
          <w:trHeight w:val="564"/>
        </w:trPr>
        <w:tc>
          <w:tcPr>
            <w:tcW w:w="2127" w:type="dxa"/>
            <w:hideMark/>
          </w:tcPr>
          <w:p w14:paraId="69550D88" w14:textId="5BEF803E" w:rsidR="0064412C" w:rsidRPr="00662616" w:rsidRDefault="009D1534" w:rsidP="00662616">
            <w:pPr>
              <w:pStyle w:val="DHHStabletext"/>
            </w:pPr>
            <w:hyperlink w:anchor="_Measure_17.3_–" w:history="1">
              <w:r w:rsidR="0064412C" w:rsidRPr="000F20C7">
                <w:rPr>
                  <w:rStyle w:val="Hyperlink"/>
                </w:rPr>
                <w:t>17.3</w:t>
              </w:r>
            </w:hyperlink>
          </w:p>
        </w:tc>
        <w:tc>
          <w:tcPr>
            <w:tcW w:w="3402" w:type="dxa"/>
          </w:tcPr>
          <w:p w14:paraId="7EF51356" w14:textId="77777777" w:rsidR="0064412C" w:rsidRPr="00662616" w:rsidRDefault="0064412C" w:rsidP="00662616">
            <w:pPr>
              <w:pStyle w:val="DHHStabletext"/>
            </w:pPr>
            <w:r w:rsidRPr="00662616">
              <w:t>Number of human research ethics committee approved cancer-related studies</w:t>
            </w:r>
          </w:p>
        </w:tc>
        <w:tc>
          <w:tcPr>
            <w:tcW w:w="2126" w:type="dxa"/>
          </w:tcPr>
          <w:p w14:paraId="1AF3D0E4" w14:textId="66357AD9" w:rsidR="0064412C" w:rsidRPr="00662616" w:rsidRDefault="0064412C" w:rsidP="00662616">
            <w:pPr>
              <w:pStyle w:val="DHHStabletext"/>
            </w:pPr>
            <w:r w:rsidRPr="00662616">
              <w:t xml:space="preserve">Number </w:t>
            </w:r>
          </w:p>
        </w:tc>
        <w:tc>
          <w:tcPr>
            <w:tcW w:w="2268" w:type="dxa"/>
            <w:noWrap/>
          </w:tcPr>
          <w:p w14:paraId="16A17E0B" w14:textId="77777777" w:rsidR="0064412C" w:rsidRPr="00662616" w:rsidRDefault="0064412C" w:rsidP="00662616">
            <w:pPr>
              <w:pStyle w:val="DHHStabletext"/>
            </w:pPr>
            <w:r w:rsidRPr="00662616">
              <w:t>89</w:t>
            </w:r>
          </w:p>
          <w:p w14:paraId="4C6D1CD9" w14:textId="77777777" w:rsidR="0064412C" w:rsidRPr="00662616" w:rsidRDefault="0064412C" w:rsidP="00662616">
            <w:pPr>
              <w:pStyle w:val="DHHStabletext"/>
            </w:pPr>
            <w:r w:rsidRPr="00662616">
              <w:t>(2014)</w:t>
            </w:r>
          </w:p>
        </w:tc>
        <w:tc>
          <w:tcPr>
            <w:tcW w:w="1559" w:type="dxa"/>
            <w:noWrap/>
          </w:tcPr>
          <w:p w14:paraId="10F89B29" w14:textId="3AC1FE6D" w:rsidR="0064412C" w:rsidRPr="00662616" w:rsidRDefault="0064412C" w:rsidP="00662616">
            <w:pPr>
              <w:pStyle w:val="DHHStabletext"/>
            </w:pPr>
            <w:r w:rsidRPr="00662616">
              <w:t>217</w:t>
            </w:r>
          </w:p>
          <w:p w14:paraId="2C651DB5" w14:textId="2423D6E8" w:rsidR="0064412C" w:rsidRPr="00662616" w:rsidRDefault="0064412C" w:rsidP="00662616">
            <w:pPr>
              <w:pStyle w:val="DHHStabletext"/>
            </w:pPr>
            <w:r w:rsidRPr="00662616">
              <w:t>(2018)</w:t>
            </w:r>
          </w:p>
        </w:tc>
        <w:tc>
          <w:tcPr>
            <w:tcW w:w="1843" w:type="dxa"/>
            <w:noWrap/>
          </w:tcPr>
          <w:p w14:paraId="3E3169DE" w14:textId="77777777" w:rsidR="0064412C" w:rsidRPr="00662616" w:rsidRDefault="0064412C" w:rsidP="00662616">
            <w:pPr>
              <w:pStyle w:val="DHHStabletext"/>
            </w:pPr>
            <w:r w:rsidRPr="00662616">
              <w:t>N/S</w:t>
            </w:r>
          </w:p>
        </w:tc>
        <w:tc>
          <w:tcPr>
            <w:tcW w:w="1134" w:type="dxa"/>
            <w:hideMark/>
          </w:tcPr>
          <w:p w14:paraId="08B73D92" w14:textId="5FFB8F01" w:rsidR="0064412C" w:rsidRPr="00662616" w:rsidRDefault="0034479E" w:rsidP="00662616">
            <w:pPr>
              <w:pStyle w:val="DHHStabletext"/>
            </w:pPr>
            <w:r w:rsidRPr="0010585A">
              <w:t>▲</w:t>
            </w:r>
            <w:r>
              <w:br/>
              <w:t>Upward</w:t>
            </w:r>
          </w:p>
        </w:tc>
      </w:tr>
      <w:tr w:rsidR="0064412C" w:rsidRPr="00885FE2" w14:paraId="2FD449D3" w14:textId="77777777" w:rsidTr="00360C87">
        <w:trPr>
          <w:trHeight w:val="564"/>
        </w:trPr>
        <w:tc>
          <w:tcPr>
            <w:tcW w:w="2127" w:type="dxa"/>
            <w:hideMark/>
          </w:tcPr>
          <w:p w14:paraId="3E1425A8" w14:textId="3470DE07" w:rsidR="0064412C" w:rsidRPr="00662616" w:rsidRDefault="009D1534" w:rsidP="00662616">
            <w:pPr>
              <w:pStyle w:val="DHHStabletext"/>
            </w:pPr>
            <w:hyperlink w:anchor="_Appendix_1:_Measures" w:history="1">
              <w:r w:rsidR="0064412C" w:rsidRPr="00B339C8">
                <w:rPr>
                  <w:rStyle w:val="Hyperlink"/>
                </w:rPr>
                <w:t>17.4</w:t>
              </w:r>
            </w:hyperlink>
          </w:p>
        </w:tc>
        <w:tc>
          <w:tcPr>
            <w:tcW w:w="3402" w:type="dxa"/>
          </w:tcPr>
          <w:p w14:paraId="25F5752D" w14:textId="6B310794" w:rsidR="0064412C" w:rsidRPr="00662616" w:rsidRDefault="0064412C" w:rsidP="00662616">
            <w:pPr>
              <w:pStyle w:val="DHHStabletext"/>
            </w:pPr>
            <w:r w:rsidRPr="00662616">
              <w:t>Ratio of eligible patients who receive new SACT medications within 12 months of listing on the PBS to cancer incidence</w:t>
            </w:r>
          </w:p>
        </w:tc>
        <w:tc>
          <w:tcPr>
            <w:tcW w:w="2126" w:type="dxa"/>
          </w:tcPr>
          <w:p w14:paraId="6F3B0959" w14:textId="0D95D8C5" w:rsidR="0064412C" w:rsidRPr="00662616" w:rsidRDefault="00DB618C" w:rsidP="00662616">
            <w:pPr>
              <w:pStyle w:val="DHHStabletext"/>
            </w:pPr>
            <w:r w:rsidRPr="00A20B3D">
              <w:rPr>
                <w:color w:val="7B4900"/>
              </w:rPr>
              <w:t>Status to be determined</w:t>
            </w:r>
          </w:p>
        </w:tc>
        <w:tc>
          <w:tcPr>
            <w:tcW w:w="2268" w:type="dxa"/>
          </w:tcPr>
          <w:p w14:paraId="285C08C8" w14:textId="49F9CD22" w:rsidR="0064412C" w:rsidRPr="00662616" w:rsidRDefault="00DB618C" w:rsidP="00662616">
            <w:pPr>
              <w:pStyle w:val="DHHStabletext"/>
            </w:pPr>
            <w:r w:rsidRPr="00A20B3D">
              <w:rPr>
                <w:color w:val="7B4900"/>
              </w:rPr>
              <w:t>Status to be determined</w:t>
            </w:r>
          </w:p>
        </w:tc>
        <w:tc>
          <w:tcPr>
            <w:tcW w:w="1559" w:type="dxa"/>
          </w:tcPr>
          <w:p w14:paraId="258969E7" w14:textId="33FC2202" w:rsidR="0064412C" w:rsidRPr="00662616" w:rsidRDefault="00DB618C" w:rsidP="00662616">
            <w:pPr>
              <w:pStyle w:val="DHHStabletext"/>
            </w:pPr>
            <w:r w:rsidRPr="00A20B3D">
              <w:rPr>
                <w:color w:val="7B4900"/>
              </w:rPr>
              <w:t>Status to be determined</w:t>
            </w:r>
          </w:p>
        </w:tc>
        <w:tc>
          <w:tcPr>
            <w:tcW w:w="1843" w:type="dxa"/>
            <w:noWrap/>
            <w:hideMark/>
          </w:tcPr>
          <w:p w14:paraId="23B083A8" w14:textId="77777777" w:rsidR="0064412C" w:rsidRPr="00662616" w:rsidRDefault="0064412C" w:rsidP="00662616">
            <w:pPr>
              <w:pStyle w:val="DHHStabletext"/>
            </w:pPr>
            <w:r w:rsidRPr="00662616">
              <w:t>N/S</w:t>
            </w:r>
          </w:p>
        </w:tc>
        <w:tc>
          <w:tcPr>
            <w:tcW w:w="1134" w:type="dxa"/>
            <w:hideMark/>
          </w:tcPr>
          <w:p w14:paraId="45B79B79" w14:textId="77777777" w:rsidR="0064412C" w:rsidRPr="00662616" w:rsidRDefault="0064412C" w:rsidP="00662616">
            <w:pPr>
              <w:pStyle w:val="DHHStabletext"/>
            </w:pPr>
            <w:r w:rsidRPr="00662616">
              <w:t>N/A</w:t>
            </w:r>
          </w:p>
        </w:tc>
      </w:tr>
      <w:tr w:rsidR="0064412C" w:rsidRPr="00885FE2" w14:paraId="596EC85E" w14:textId="77777777" w:rsidTr="00360C87">
        <w:trPr>
          <w:trHeight w:val="564"/>
        </w:trPr>
        <w:tc>
          <w:tcPr>
            <w:tcW w:w="2127" w:type="dxa"/>
            <w:hideMark/>
          </w:tcPr>
          <w:p w14:paraId="7E20E775" w14:textId="538274BD" w:rsidR="0064412C" w:rsidRPr="00662616" w:rsidRDefault="009D1534" w:rsidP="00662616">
            <w:pPr>
              <w:pStyle w:val="DHHStabletext"/>
            </w:pPr>
            <w:hyperlink w:anchor="_Measure_17.5_–" w:history="1">
              <w:r w:rsidR="0064412C" w:rsidRPr="00D855B1">
                <w:rPr>
                  <w:rStyle w:val="Hyperlink"/>
                </w:rPr>
                <w:t>17.5</w:t>
              </w:r>
            </w:hyperlink>
          </w:p>
        </w:tc>
        <w:tc>
          <w:tcPr>
            <w:tcW w:w="3402" w:type="dxa"/>
          </w:tcPr>
          <w:p w14:paraId="4F5C8277" w14:textId="77777777" w:rsidR="0064412C" w:rsidRPr="00662616" w:rsidRDefault="0064412C" w:rsidP="00662616">
            <w:pPr>
              <w:pStyle w:val="DHHStabletext"/>
            </w:pPr>
            <w:r w:rsidRPr="00662616">
              <w:t>Quit ratio of rate of sustained ex-smokers to rate of ever smokers</w:t>
            </w:r>
          </w:p>
        </w:tc>
        <w:tc>
          <w:tcPr>
            <w:tcW w:w="2126" w:type="dxa"/>
          </w:tcPr>
          <w:p w14:paraId="2B05FEF3" w14:textId="77777777" w:rsidR="0064412C" w:rsidRPr="00662616" w:rsidRDefault="0064412C" w:rsidP="00662616">
            <w:pPr>
              <w:pStyle w:val="DHHStabletext"/>
            </w:pPr>
            <w:r w:rsidRPr="00662616">
              <w:t>Ratio</w:t>
            </w:r>
          </w:p>
        </w:tc>
        <w:tc>
          <w:tcPr>
            <w:tcW w:w="2268" w:type="dxa"/>
            <w:noWrap/>
          </w:tcPr>
          <w:p w14:paraId="20128373" w14:textId="77777777" w:rsidR="0064412C" w:rsidRPr="00662616" w:rsidRDefault="0064412C" w:rsidP="00662616">
            <w:pPr>
              <w:pStyle w:val="DHHStabletext"/>
            </w:pPr>
            <w:r w:rsidRPr="00662616">
              <w:t>55.4</w:t>
            </w:r>
          </w:p>
          <w:p w14:paraId="01499E16" w14:textId="77777777" w:rsidR="0064412C" w:rsidRPr="00662616" w:rsidRDefault="0064412C" w:rsidP="00662616">
            <w:pPr>
              <w:pStyle w:val="DHHStabletext"/>
            </w:pPr>
            <w:r w:rsidRPr="00662616">
              <w:t>(2015)</w:t>
            </w:r>
          </w:p>
        </w:tc>
        <w:tc>
          <w:tcPr>
            <w:tcW w:w="1559" w:type="dxa"/>
            <w:noWrap/>
          </w:tcPr>
          <w:p w14:paraId="0042542A" w14:textId="77777777" w:rsidR="0064412C" w:rsidRPr="00662616" w:rsidRDefault="0064412C" w:rsidP="00662616">
            <w:pPr>
              <w:pStyle w:val="DHHStabletext"/>
            </w:pPr>
            <w:r w:rsidRPr="00662616">
              <w:t>59.9</w:t>
            </w:r>
          </w:p>
          <w:p w14:paraId="0BA37C25" w14:textId="77777777" w:rsidR="0064412C" w:rsidRPr="00662616" w:rsidRDefault="0064412C" w:rsidP="00662616">
            <w:pPr>
              <w:pStyle w:val="DHHStabletext"/>
            </w:pPr>
            <w:r w:rsidRPr="00662616">
              <w:t>(2017)</w:t>
            </w:r>
          </w:p>
        </w:tc>
        <w:tc>
          <w:tcPr>
            <w:tcW w:w="1843" w:type="dxa"/>
            <w:noWrap/>
          </w:tcPr>
          <w:p w14:paraId="19DE4EDA" w14:textId="77777777" w:rsidR="0064412C" w:rsidRPr="00662616" w:rsidRDefault="0064412C" w:rsidP="00662616">
            <w:pPr>
              <w:pStyle w:val="DHHStabletext"/>
            </w:pPr>
            <w:r w:rsidRPr="00662616">
              <w:t>N/S</w:t>
            </w:r>
          </w:p>
        </w:tc>
        <w:tc>
          <w:tcPr>
            <w:tcW w:w="1134" w:type="dxa"/>
            <w:hideMark/>
          </w:tcPr>
          <w:p w14:paraId="0083C024" w14:textId="61A282AE" w:rsidR="0064412C" w:rsidRPr="00662616" w:rsidRDefault="0034479E" w:rsidP="00662616">
            <w:pPr>
              <w:pStyle w:val="DHHStabletext"/>
            </w:pPr>
            <w:r w:rsidRPr="0010585A">
              <w:t>▲</w:t>
            </w:r>
            <w:r>
              <w:br/>
              <w:t>Upward</w:t>
            </w:r>
          </w:p>
        </w:tc>
      </w:tr>
    </w:tbl>
    <w:p w14:paraId="0A09AD32" w14:textId="77777777" w:rsidR="00390CE7" w:rsidRDefault="00390CE7" w:rsidP="0022724E">
      <w:pPr>
        <w:pStyle w:val="DHHSbody"/>
        <w:sectPr w:rsidR="00390CE7" w:rsidSect="00656B77">
          <w:pgSz w:w="16838" w:h="11906" w:orient="landscape"/>
          <w:pgMar w:top="1304" w:right="1701" w:bottom="1304" w:left="1134" w:header="454" w:footer="510" w:gutter="0"/>
          <w:cols w:space="720"/>
          <w:docGrid w:linePitch="360"/>
        </w:sectPr>
      </w:pPr>
    </w:p>
    <w:p w14:paraId="30461D73" w14:textId="571E2384" w:rsidR="00390CE7" w:rsidRDefault="00390CE7" w:rsidP="007D6BCA">
      <w:pPr>
        <w:pStyle w:val="Heading1"/>
      </w:pPr>
      <w:bookmarkStart w:id="37" w:name="_Toc19007979"/>
      <w:bookmarkStart w:id="38" w:name="_Toc33457064"/>
      <w:r w:rsidRPr="005F0940">
        <w:lastRenderedPageBreak/>
        <w:t xml:space="preserve">More about the </w:t>
      </w:r>
      <w:r w:rsidR="00175D1C" w:rsidRPr="005F0940">
        <w:t xml:space="preserve">results of </w:t>
      </w:r>
      <w:r w:rsidR="00E6176A" w:rsidRPr="005F0940">
        <w:t xml:space="preserve">the </w:t>
      </w:r>
      <w:r w:rsidRPr="005F0940">
        <w:t>measures</w:t>
      </w:r>
      <w:bookmarkEnd w:id="37"/>
      <w:bookmarkEnd w:id="38"/>
    </w:p>
    <w:p w14:paraId="3285C41D" w14:textId="68E6888B" w:rsidR="00BD19A0" w:rsidRPr="00801B6B" w:rsidRDefault="00BD19A0" w:rsidP="006053E7">
      <w:pPr>
        <w:pStyle w:val="Heading2"/>
      </w:pPr>
      <w:bookmarkStart w:id="39" w:name="_Toc19007980"/>
      <w:bookmarkStart w:id="40" w:name="_Toc33457065"/>
      <w:r w:rsidRPr="00801B6B">
        <w:t>Understanding the data</w:t>
      </w:r>
      <w:bookmarkEnd w:id="39"/>
      <w:bookmarkEnd w:id="40"/>
    </w:p>
    <w:p w14:paraId="50C14C4C" w14:textId="77777777" w:rsidR="00BD19A0" w:rsidRPr="00BD19A0" w:rsidRDefault="00BD19A0" w:rsidP="00BD19A0">
      <w:pPr>
        <w:pStyle w:val="Heading3"/>
        <w:rPr>
          <w:lang w:eastAsia="en-AU"/>
        </w:rPr>
      </w:pPr>
      <w:bookmarkStart w:id="41" w:name="_Toc19007981"/>
      <w:r w:rsidRPr="00BD19A0">
        <w:rPr>
          <w:lang w:eastAsia="en-AU"/>
        </w:rPr>
        <w:t>Interpreting survey data</w:t>
      </w:r>
      <w:bookmarkEnd w:id="41"/>
    </w:p>
    <w:p w14:paraId="2135F48F" w14:textId="276CF241" w:rsidR="00BD19A0" w:rsidRPr="00BD19A0" w:rsidRDefault="00BD19A0" w:rsidP="00A14570">
      <w:pPr>
        <w:pStyle w:val="DHHSbody"/>
      </w:pPr>
      <w:r w:rsidRPr="00FC065C">
        <w:rPr>
          <w:rFonts w:cs="Arial"/>
          <w:color w:val="000000"/>
        </w:rPr>
        <w:t>Surveys generally involve systematic</w:t>
      </w:r>
      <w:r w:rsidR="00972814">
        <w:rPr>
          <w:rFonts w:cs="Arial"/>
          <w:color w:val="000000"/>
        </w:rPr>
        <w:t>ally</w:t>
      </w:r>
      <w:r w:rsidRPr="00FC065C">
        <w:rPr>
          <w:rFonts w:cs="Arial"/>
          <w:color w:val="000000"/>
        </w:rPr>
        <w:t xml:space="preserve"> gathering information from a representative sample of the</w:t>
      </w:r>
      <w:r w:rsidR="00A14570">
        <w:rPr>
          <w:rFonts w:cs="Arial"/>
          <w:color w:val="000000"/>
        </w:rPr>
        <w:t xml:space="preserve"> </w:t>
      </w:r>
      <w:r w:rsidRPr="00FC065C">
        <w:t>population. If the sample selected is a random one, the findings of the survey are generalisable to the</w:t>
      </w:r>
      <w:r w:rsidR="00A14570">
        <w:t xml:space="preserve"> </w:t>
      </w:r>
      <w:r w:rsidRPr="00FC065C">
        <w:t>population. Confidence intervals are used to reflect the precision of the population estimates.</w:t>
      </w:r>
      <w:r w:rsidR="00A14570">
        <w:t xml:space="preserve"> </w:t>
      </w:r>
      <w:r w:rsidRPr="00FC065C">
        <w:t>A confidence interval is a range of values within which the ‘true’ score (had every member of the</w:t>
      </w:r>
      <w:r w:rsidR="00A14570">
        <w:t xml:space="preserve"> </w:t>
      </w:r>
      <w:r w:rsidRPr="00FC065C">
        <w:t>population been surveyed) is expected to lie. By convention, confidence intervals are reported at the 95</w:t>
      </w:r>
      <w:r w:rsidR="00A14570">
        <w:t xml:space="preserve"> </w:t>
      </w:r>
      <w:r w:rsidRPr="00FC065C">
        <w:t>per cent confidence level. A narrow confidence interval indicates that the estimate is more precise. A</w:t>
      </w:r>
      <w:r w:rsidR="00A14570">
        <w:t xml:space="preserve"> </w:t>
      </w:r>
      <w:r w:rsidRPr="00FC065C">
        <w:t>wide confidence interval indicates that the estimate is less precise.</w:t>
      </w:r>
      <w:r w:rsidR="00A14570">
        <w:t xml:space="preserve"> </w:t>
      </w:r>
      <w:r w:rsidRPr="00FC065C">
        <w:t xml:space="preserve">In this report, confidence intervals are represented on </w:t>
      </w:r>
      <w:r>
        <w:t xml:space="preserve">bar or line </w:t>
      </w:r>
      <w:r w:rsidRPr="00FC065C">
        <w:t xml:space="preserve">graphs </w:t>
      </w:r>
      <w:r w:rsidRPr="00A44A67">
        <w:t>as black lines.</w:t>
      </w:r>
    </w:p>
    <w:p w14:paraId="2DF3E259" w14:textId="77777777" w:rsidR="00BD19A0" w:rsidRPr="00BD19A0" w:rsidRDefault="00BD19A0" w:rsidP="00BD19A0">
      <w:pPr>
        <w:pStyle w:val="Heading3"/>
        <w:rPr>
          <w:lang w:eastAsia="en-AU"/>
        </w:rPr>
      </w:pPr>
      <w:bookmarkStart w:id="42" w:name="_Toc19007982"/>
      <w:r w:rsidRPr="00BD19A0">
        <w:rPr>
          <w:lang w:eastAsia="en-AU"/>
        </w:rPr>
        <w:t>Interpreting rates</w:t>
      </w:r>
      <w:bookmarkEnd w:id="42"/>
    </w:p>
    <w:p w14:paraId="167AB241" w14:textId="03573A5B" w:rsidR="00BD19A0" w:rsidRDefault="00BD19A0" w:rsidP="00A14570">
      <w:pPr>
        <w:pStyle w:val="DHHSbody"/>
        <w:rPr>
          <w:color w:val="000000"/>
        </w:rPr>
      </w:pPr>
      <w:r w:rsidRPr="00FC065C">
        <w:rPr>
          <w:color w:val="000000"/>
        </w:rPr>
        <w:t>A rate is a count of the number of events that occur in a defined population at risk of experiencing the</w:t>
      </w:r>
      <w:r>
        <w:rPr>
          <w:color w:val="000000"/>
        </w:rPr>
        <w:t xml:space="preserve"> </w:t>
      </w:r>
      <w:r w:rsidRPr="00FC065C">
        <w:rPr>
          <w:color w:val="000000"/>
        </w:rPr>
        <w:t>event in a given period of time.</w:t>
      </w:r>
      <w:r>
        <w:rPr>
          <w:color w:val="000000"/>
        </w:rPr>
        <w:t xml:space="preserve"> </w:t>
      </w:r>
      <w:r w:rsidRPr="00657C18">
        <w:t>For example, the number of deaths due to cancer that occur among Victorian residents in a given year is known as the death rate and is expressed in units of deaths per 100,000 population per year.</w:t>
      </w:r>
      <w:r w:rsidR="00952FC7">
        <w:t xml:space="preserve"> </w:t>
      </w:r>
      <w:r w:rsidRPr="00657C18">
        <w:t xml:space="preserve">For the purpose </w:t>
      </w:r>
      <w:r w:rsidR="00972814">
        <w:t xml:space="preserve">of </w:t>
      </w:r>
      <w:r w:rsidRPr="00657C18">
        <w:t>this report an ‘incidence rate’ is the number of new cancers diagnosed in a specified population during a year, usually expressed as the number of new cancers per 100,000 pop</w:t>
      </w:r>
      <w:r>
        <w:t>ulation at risk.</w:t>
      </w:r>
      <w:r w:rsidR="00952FC7">
        <w:t xml:space="preserve"> </w:t>
      </w:r>
      <w:r>
        <w:t>All incidence</w:t>
      </w:r>
      <w:r w:rsidRPr="00657C18">
        <w:t xml:space="preserve"> rates are age</w:t>
      </w:r>
      <w:r w:rsidR="00972814">
        <w:t>-</w:t>
      </w:r>
      <w:r w:rsidRPr="00657C18">
        <w:t>standardised.</w:t>
      </w:r>
    </w:p>
    <w:p w14:paraId="536C227C" w14:textId="4C91758B" w:rsidR="00BD19A0" w:rsidRPr="00657C18" w:rsidRDefault="00BD19A0" w:rsidP="00A14570">
      <w:pPr>
        <w:pStyle w:val="DHHSbody"/>
      </w:pPr>
      <w:r w:rsidRPr="00657C18">
        <w:t>An age</w:t>
      </w:r>
      <w:r w:rsidR="00972814">
        <w:t>-</w:t>
      </w:r>
      <w:r w:rsidRPr="00657C18">
        <w:t>standardised rate refers to an average of age-specific rate that has been weighted using a standardised population distribution.</w:t>
      </w:r>
      <w:r w:rsidR="00952FC7">
        <w:t xml:space="preserve"> </w:t>
      </w:r>
      <w:r w:rsidRPr="00657C18">
        <w:t>These rates are used to reflect the overall numbers that would be expected if a population of interest had an age structure identical to the standard population in Australia.</w:t>
      </w:r>
      <w:r w:rsidR="00952FC7">
        <w:t xml:space="preserve"> </w:t>
      </w:r>
      <w:r w:rsidRPr="00657C18">
        <w:t>They are used to compare cancer rates and trends over time among populations. In this report, the 2001 Australian population is used as a reference</w:t>
      </w:r>
      <w:r>
        <w:t xml:space="preserve"> to make comparisons over time possible</w:t>
      </w:r>
      <w:r w:rsidR="00972814">
        <w:t>,</w:t>
      </w:r>
      <w:r>
        <w:t xml:space="preserve"> even though the population might change.</w:t>
      </w:r>
    </w:p>
    <w:p w14:paraId="55332403" w14:textId="3D78563F" w:rsidR="00BD19A0" w:rsidRPr="00657C18" w:rsidRDefault="00BD19A0" w:rsidP="00A14570">
      <w:pPr>
        <w:pStyle w:val="DHHSbody"/>
      </w:pPr>
      <w:r w:rsidRPr="00657C18">
        <w:t>The term ‘prevalence’ is used to describe the number of people</w:t>
      </w:r>
      <w:r w:rsidR="00972814">
        <w:t xml:space="preserve"> </w:t>
      </w:r>
      <w:r w:rsidRPr="00657C18">
        <w:t>alive after a diagnosis of cancer. It is related to incidence and survival: if incidence and survival are both high, prevalence will be high, whereas if incidence and survival are both low, prevalence will be low.</w:t>
      </w:r>
    </w:p>
    <w:p w14:paraId="6CB1C8FD" w14:textId="74906615" w:rsidR="00BD19A0" w:rsidRDefault="00BD19A0" w:rsidP="00A14570">
      <w:pPr>
        <w:pStyle w:val="DHHSbody"/>
      </w:pPr>
      <w:r w:rsidRPr="00657C18">
        <w:t xml:space="preserve">A ratio is used to compare two rates (the </w:t>
      </w:r>
      <w:r w:rsidR="00972814">
        <w:t>‘</w:t>
      </w:r>
      <w:r w:rsidRPr="00657C18">
        <w:t>rate ratio</w:t>
      </w:r>
      <w:r w:rsidR="00972814">
        <w:t>’</w:t>
      </w:r>
      <w:r w:rsidRPr="00657C18">
        <w:t>)</w:t>
      </w:r>
      <w:r w:rsidR="00972814">
        <w:t xml:space="preserve"> –</w:t>
      </w:r>
      <w:r w:rsidRPr="00657C18">
        <w:t xml:space="preserve"> for example</w:t>
      </w:r>
      <w:r w:rsidR="00972814">
        <w:t>,</w:t>
      </w:r>
      <w:r w:rsidRPr="00657C18">
        <w:t xml:space="preserve"> comparing death rates for women and men at a given age.</w:t>
      </w:r>
    </w:p>
    <w:p w14:paraId="23237E76" w14:textId="097E0B3C" w:rsidR="00BD19A0" w:rsidRPr="00801B6B" w:rsidRDefault="00BD19A0" w:rsidP="00801B6B">
      <w:pPr>
        <w:pStyle w:val="Heading3"/>
      </w:pPr>
      <w:bookmarkStart w:id="43" w:name="_Toc19007983"/>
      <w:r w:rsidRPr="00BD19A0">
        <w:t>Interpreting relative survival rates</w:t>
      </w:r>
      <w:bookmarkEnd w:id="43"/>
    </w:p>
    <w:p w14:paraId="4C5EBD74" w14:textId="6105523F" w:rsidR="00BD19A0" w:rsidRPr="0011089F" w:rsidRDefault="00BD19A0" w:rsidP="00A14570">
      <w:pPr>
        <w:pStyle w:val="DHHSbody"/>
      </w:pPr>
      <w:r w:rsidRPr="00A15F44">
        <w:t>Relative survival is a standard approach used by cancer registries to measure survival of people with cancer compared with that of the general population. It is calculated by dividing observed survival by expected survival, where the numerator and denominator have been matched for age, sex and calendar year. A simplified example of how relative survival is interpreted is shown in Figure</w:t>
      </w:r>
      <w:r>
        <w:t xml:space="preserve"> 2.</w:t>
      </w:r>
      <w:r>
        <w:rPr>
          <w:b/>
        </w:rPr>
        <w:br w:type="page"/>
      </w:r>
    </w:p>
    <w:p w14:paraId="7630FE97" w14:textId="62DCDD92" w:rsidR="00BD19A0" w:rsidRDefault="00BD19A0" w:rsidP="00DB1EBB">
      <w:pPr>
        <w:pStyle w:val="DHHSfigurecaption"/>
      </w:pPr>
      <w:bookmarkStart w:id="44" w:name="_Toc19007984"/>
      <w:bookmarkStart w:id="45" w:name="_Toc19008249"/>
      <w:bookmarkStart w:id="46" w:name="_Toc19008396"/>
      <w:bookmarkStart w:id="47" w:name="_Toc19008543"/>
      <w:bookmarkStart w:id="48" w:name="_Toc27414246"/>
      <w:r w:rsidRPr="009264F6">
        <w:lastRenderedPageBreak/>
        <w:t xml:space="preserve">Figure </w:t>
      </w:r>
      <w:r>
        <w:t>2</w:t>
      </w:r>
      <w:r w:rsidR="00A14570">
        <w:t>:</w:t>
      </w:r>
      <w:r w:rsidRPr="009264F6">
        <w:t xml:space="preserve"> Simplified example of how relative survival is calculated</w:t>
      </w:r>
      <w:r>
        <w:rPr>
          <w:rStyle w:val="FootnoteReference"/>
          <w:rFonts w:cs="Arial"/>
          <w:b w:val="0"/>
          <w:color w:val="000000"/>
        </w:rPr>
        <w:footnoteReference w:id="7"/>
      </w:r>
      <w:bookmarkEnd w:id="44"/>
      <w:bookmarkEnd w:id="45"/>
      <w:bookmarkEnd w:id="46"/>
      <w:bookmarkEnd w:id="47"/>
      <w:bookmarkEnd w:id="48"/>
    </w:p>
    <w:p w14:paraId="50A3E569" w14:textId="42BB9829" w:rsidR="00BD19A0" w:rsidRDefault="00BD19A0" w:rsidP="00BD19A0">
      <w:pPr>
        <w:autoSpaceDE w:val="0"/>
        <w:autoSpaceDN w:val="0"/>
        <w:adjustRightInd w:val="0"/>
        <w:rPr>
          <w:rFonts w:ascii="Arial" w:hAnsi="Arial" w:cs="Arial"/>
          <w:b/>
          <w:color w:val="000000"/>
        </w:rPr>
      </w:pPr>
      <w:r>
        <w:rPr>
          <w:noProof/>
          <w:lang w:val="en-NZ" w:eastAsia="en-NZ"/>
        </w:rPr>
        <w:drawing>
          <wp:inline distT="0" distB="0" distL="0" distR="0" wp14:anchorId="61B2F148" wp14:editId="7A68A038">
            <wp:extent cx="5991225" cy="2952750"/>
            <wp:effectExtent l="0" t="0" r="9525" b="0"/>
            <wp:docPr id="261" name="Picture 6" descr="This figure shows a simplified example of how relative survival is calculated as described in 'Interpreting relative survival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91225" cy="2952750"/>
                    </a:xfrm>
                    <a:prstGeom prst="rect">
                      <a:avLst/>
                    </a:prstGeom>
                    <a:noFill/>
                    <a:ln>
                      <a:noFill/>
                    </a:ln>
                  </pic:spPr>
                </pic:pic>
              </a:graphicData>
            </a:graphic>
          </wp:inline>
        </w:drawing>
      </w:r>
    </w:p>
    <w:p w14:paraId="3AA4BF0B" w14:textId="2F5749EB" w:rsidR="00BD19A0" w:rsidRPr="009264F6" w:rsidRDefault="00BD19A0" w:rsidP="00BD19A0">
      <w:pPr>
        <w:autoSpaceDE w:val="0"/>
        <w:autoSpaceDN w:val="0"/>
        <w:adjustRightInd w:val="0"/>
        <w:rPr>
          <w:rFonts w:ascii="Arial" w:hAnsi="Arial" w:cs="Arial"/>
          <w:b/>
          <w:color w:val="000000"/>
        </w:rPr>
      </w:pPr>
    </w:p>
    <w:p w14:paraId="5D41D0ED" w14:textId="77777777" w:rsidR="00BD19A0" w:rsidRPr="00A15F44" w:rsidRDefault="00BD19A0" w:rsidP="00BD19A0">
      <w:pPr>
        <w:autoSpaceDE w:val="0"/>
        <w:autoSpaceDN w:val="0"/>
        <w:adjustRightInd w:val="0"/>
        <w:jc w:val="center"/>
        <w:rPr>
          <w:rFonts w:ascii="Arial" w:hAnsi="Arial" w:cs="Arial"/>
        </w:rPr>
      </w:pPr>
    </w:p>
    <w:p w14:paraId="40F8FC53" w14:textId="77777777" w:rsidR="00BD19A0" w:rsidRDefault="00BD19A0" w:rsidP="00BD19A0">
      <w:pPr>
        <w:autoSpaceDE w:val="0"/>
        <w:autoSpaceDN w:val="0"/>
        <w:adjustRightInd w:val="0"/>
        <w:rPr>
          <w:rFonts w:ascii="Arial" w:hAnsi="Arial" w:cs="Arial"/>
          <w:color w:val="000000"/>
        </w:rPr>
      </w:pPr>
    </w:p>
    <w:p w14:paraId="74059D46" w14:textId="4F906655" w:rsidR="00390CE7" w:rsidRPr="005F0940" w:rsidRDefault="00390CE7" w:rsidP="007D6BCA">
      <w:pPr>
        <w:pStyle w:val="Heading1"/>
      </w:pPr>
      <w:r>
        <w:br w:type="page"/>
      </w:r>
      <w:bookmarkStart w:id="49" w:name="_Toc19007985"/>
      <w:bookmarkStart w:id="50" w:name="_Toc33457066"/>
      <w:r w:rsidRPr="005F0940">
        <w:lastRenderedPageBreak/>
        <w:t>Outcome: Improve cancer outcomes</w:t>
      </w:r>
      <w:bookmarkEnd w:id="49"/>
      <w:bookmarkEnd w:id="50"/>
    </w:p>
    <w:p w14:paraId="166F788C" w14:textId="5FD1F631" w:rsidR="00E8458B" w:rsidRPr="00B368DD" w:rsidRDefault="00E8458B" w:rsidP="006053E7">
      <w:pPr>
        <w:pStyle w:val="Heading2"/>
        <w:rPr>
          <w:b w:val="0"/>
        </w:rPr>
      </w:pPr>
      <w:bookmarkStart w:id="51" w:name="_Toc19007986"/>
      <w:bookmarkStart w:id="52" w:name="_Toc33457067"/>
      <w:r w:rsidRPr="00DB4F90">
        <w:t xml:space="preserve">Key result: </w:t>
      </w:r>
      <w:r w:rsidR="001936B4" w:rsidRPr="00DB4F90">
        <w:t xml:space="preserve">Decrease </w:t>
      </w:r>
      <w:r w:rsidRPr="00DB4F90">
        <w:t>incidence of preventable cancers</w:t>
      </w:r>
      <w:bookmarkEnd w:id="51"/>
      <w:bookmarkEnd w:id="52"/>
    </w:p>
    <w:p w14:paraId="4D705EE9" w14:textId="4288A6CB" w:rsidR="00E8458B" w:rsidRDefault="00E8458B" w:rsidP="006624DA">
      <w:pPr>
        <w:pStyle w:val="Heading3"/>
        <w:rPr>
          <w:lang w:eastAsia="en-AU"/>
        </w:rPr>
      </w:pPr>
      <w:bookmarkStart w:id="53" w:name="_Measure_1.1_–"/>
      <w:bookmarkStart w:id="54" w:name="_Toc19007987"/>
      <w:bookmarkEnd w:id="53"/>
      <w:r>
        <w:rPr>
          <w:lang w:eastAsia="en-AU"/>
        </w:rPr>
        <w:t xml:space="preserve">Measure 1.1 – </w:t>
      </w:r>
      <w:r w:rsidR="006624DA">
        <w:rPr>
          <w:lang w:eastAsia="en-AU"/>
        </w:rPr>
        <w:t>Incidence of preventable cancers</w:t>
      </w:r>
      <w:bookmarkEnd w:id="54"/>
    </w:p>
    <w:p w14:paraId="0F73879A" w14:textId="2D84E88A" w:rsidR="00A41E84" w:rsidRPr="00A41E84" w:rsidRDefault="00A41E84" w:rsidP="00A41E84">
      <w:pPr>
        <w:pStyle w:val="DHHSbody"/>
        <w:rPr>
          <w:rFonts w:cs="Arial"/>
          <w:color w:val="000000" w:themeColor="text1"/>
          <w:lang w:eastAsia="en-AU"/>
        </w:rPr>
      </w:pPr>
      <w:r w:rsidRPr="00A83190">
        <w:rPr>
          <w:rFonts w:cs="Arial"/>
          <w:color w:val="000000" w:themeColor="text1"/>
          <w:lang w:eastAsia="en-AU"/>
        </w:rPr>
        <w:t>In Australia</w:t>
      </w:r>
      <w:r>
        <w:rPr>
          <w:rFonts w:cs="Arial"/>
          <w:color w:val="000000" w:themeColor="text1"/>
          <w:lang w:eastAsia="en-AU"/>
        </w:rPr>
        <w:t>,</w:t>
      </w:r>
      <w:r w:rsidRPr="00A83190">
        <w:rPr>
          <w:rFonts w:cs="Arial"/>
          <w:color w:val="000000" w:themeColor="text1"/>
          <w:lang w:eastAsia="en-AU"/>
        </w:rPr>
        <w:t xml:space="preserve"> at least one-third or approximately 37,000 of all cancers are preventable each year if the population avoided exposure to </w:t>
      </w:r>
      <w:r>
        <w:rPr>
          <w:rFonts w:cs="Arial"/>
          <w:color w:val="000000" w:themeColor="text1"/>
          <w:lang w:eastAsia="en-AU"/>
        </w:rPr>
        <w:t>13</w:t>
      </w:r>
      <w:r w:rsidRPr="00A83190">
        <w:rPr>
          <w:rFonts w:cs="Arial"/>
          <w:color w:val="000000" w:themeColor="text1"/>
          <w:lang w:eastAsia="en-AU"/>
        </w:rPr>
        <w:t xml:space="preserve"> common risk factors know or strongly suspected to cause cancer.</w:t>
      </w:r>
      <w:r w:rsidRPr="00A83190">
        <w:rPr>
          <w:rStyle w:val="FootnoteReference"/>
          <w:rFonts w:cs="Arial"/>
          <w:color w:val="000000" w:themeColor="text1"/>
          <w:lang w:val="en-US" w:eastAsia="en-AU"/>
        </w:rPr>
        <w:footnoteReference w:id="8"/>
      </w:r>
      <w:r w:rsidRPr="00A83190">
        <w:rPr>
          <w:rFonts w:cs="Arial"/>
          <w:color w:val="000000" w:themeColor="text1"/>
          <w:lang w:eastAsia="en-AU"/>
        </w:rPr>
        <w:t xml:space="preserve"> </w:t>
      </w:r>
      <w:r w:rsidRPr="00A83190">
        <w:rPr>
          <w:rFonts w:cs="Arial"/>
          <w:color w:val="000000" w:themeColor="text1"/>
          <w:lang w:val="en"/>
        </w:rPr>
        <w:t xml:space="preserve">Key preventable causal risk factors </w:t>
      </w:r>
      <w:r w:rsidRPr="00A83190">
        <w:rPr>
          <w:rFonts w:cs="Arial"/>
          <w:color w:val="000000" w:themeColor="text1"/>
          <w:lang w:eastAsia="en-AU"/>
        </w:rPr>
        <w:t xml:space="preserve">include tobacco smoking, excessive exposure to UV radiation, poor diet, being overweight, low levels of physical activity, excessive alcohol use and exposure to infections such as </w:t>
      </w:r>
      <w:r w:rsidRPr="00FA2880">
        <w:rPr>
          <w:rFonts w:cs="Arial"/>
          <w:color w:val="000000" w:themeColor="text1"/>
          <w:lang w:eastAsia="en-AU"/>
        </w:rPr>
        <w:t>human papillomavirus</w:t>
      </w:r>
      <w:r w:rsidRPr="00A83190">
        <w:rPr>
          <w:rFonts w:cs="Arial"/>
          <w:color w:val="000000" w:themeColor="text1"/>
          <w:lang w:eastAsia="en-AU"/>
        </w:rPr>
        <w:t xml:space="preserve"> </w:t>
      </w:r>
      <w:r>
        <w:rPr>
          <w:rFonts w:cs="Arial"/>
          <w:color w:val="000000" w:themeColor="text1"/>
          <w:lang w:eastAsia="en-AU"/>
        </w:rPr>
        <w:t>(</w:t>
      </w:r>
      <w:r w:rsidRPr="00A83190">
        <w:rPr>
          <w:rFonts w:cs="Arial"/>
          <w:color w:val="000000" w:themeColor="text1"/>
          <w:lang w:eastAsia="en-AU"/>
        </w:rPr>
        <w:t>HPV</w:t>
      </w:r>
      <w:r>
        <w:rPr>
          <w:rFonts w:cs="Arial"/>
          <w:color w:val="000000" w:themeColor="text1"/>
          <w:lang w:eastAsia="en-AU"/>
        </w:rPr>
        <w:t>)</w:t>
      </w:r>
      <w:r w:rsidRPr="00A83190">
        <w:rPr>
          <w:rFonts w:cs="Arial"/>
          <w:color w:val="000000" w:themeColor="text1"/>
          <w:lang w:eastAsia="en-AU"/>
        </w:rPr>
        <w:t>.</w:t>
      </w:r>
      <w:r w:rsidRPr="00A83190">
        <w:rPr>
          <w:rStyle w:val="FootnoteReference"/>
          <w:rFonts w:cs="Arial"/>
          <w:color w:val="000000" w:themeColor="text1"/>
          <w:lang w:eastAsia="en-AU"/>
        </w:rPr>
        <w:footnoteReference w:id="9"/>
      </w:r>
      <w:r w:rsidRPr="00A83190">
        <w:rPr>
          <w:rFonts w:cs="Arial"/>
          <w:color w:val="000000" w:themeColor="text1"/>
          <w:lang w:eastAsia="en-AU"/>
        </w:rPr>
        <w:t xml:space="preserve"> </w:t>
      </w:r>
      <w:r>
        <w:rPr>
          <w:rFonts w:cs="Arial"/>
          <w:color w:val="000000" w:themeColor="text1"/>
          <w:lang w:eastAsia="en-AU"/>
        </w:rPr>
        <w:t xml:space="preserve">It is therefore important to quantify the proportion of Victorian cancer incidence that might be prevented if exposure to those risk factors occurred at levels that minimise cancer risk. </w:t>
      </w:r>
      <w:r w:rsidRPr="00A83190">
        <w:rPr>
          <w:rFonts w:cs="Arial"/>
          <w:color w:val="000000" w:themeColor="text1"/>
          <w:lang w:eastAsia="en-AU"/>
        </w:rPr>
        <w:t xml:space="preserve">For the purposes of this measure, incidence reflects the number of primary tumours rather than the number of </w:t>
      </w:r>
      <w:r>
        <w:rPr>
          <w:rFonts w:cs="Arial"/>
          <w:color w:val="000000" w:themeColor="text1"/>
          <w:lang w:eastAsia="en-AU"/>
        </w:rPr>
        <w:t>people</w:t>
      </w:r>
      <w:r w:rsidRPr="00A83190">
        <w:rPr>
          <w:rFonts w:cs="Arial"/>
          <w:color w:val="000000" w:themeColor="text1"/>
          <w:lang w:eastAsia="en-AU"/>
        </w:rPr>
        <w:t xml:space="preserve"> with cancer.</w:t>
      </w:r>
    </w:p>
    <w:p w14:paraId="278E1B7D" w14:textId="4D550F6D" w:rsidR="00A8622F" w:rsidRDefault="00A8622F" w:rsidP="00F00560">
      <w:pPr>
        <w:pStyle w:val="DHHSfigurecaption"/>
      </w:pPr>
      <w:bookmarkStart w:id="55" w:name="_Toc19007988"/>
      <w:bookmarkStart w:id="56" w:name="_Toc19008250"/>
      <w:bookmarkStart w:id="57" w:name="_Toc19008397"/>
      <w:bookmarkStart w:id="58" w:name="_Toc19008544"/>
      <w:bookmarkStart w:id="59" w:name="_Toc27414247"/>
      <w:r w:rsidRPr="00A8622F">
        <w:t>Figure 1.1</w:t>
      </w:r>
      <w:r w:rsidR="00A14570">
        <w:t>:</w:t>
      </w:r>
      <w:r w:rsidRPr="00A8622F">
        <w:t xml:space="preserve"> </w:t>
      </w:r>
      <w:r w:rsidR="00AB6486">
        <w:t>I</w:t>
      </w:r>
      <w:r w:rsidRPr="00A8622F">
        <w:t xml:space="preserve">ncidence </w:t>
      </w:r>
      <w:r w:rsidR="008D4EED">
        <w:t xml:space="preserve">of </w:t>
      </w:r>
      <w:r w:rsidRPr="00A8622F">
        <w:t xml:space="preserve">preventable cancers </w:t>
      </w:r>
      <w:r w:rsidR="008D4EED">
        <w:t xml:space="preserve">in Victoria </w:t>
      </w:r>
      <w:r w:rsidRPr="00A8622F">
        <w:t xml:space="preserve">per 100,000 standardised to the </w:t>
      </w:r>
      <w:r w:rsidR="000F6400">
        <w:t xml:space="preserve">2001 </w:t>
      </w:r>
      <w:r w:rsidRPr="00A8622F">
        <w:t>Australian population, by year of diagnosis, 201</w:t>
      </w:r>
      <w:r w:rsidR="004F723D">
        <w:t>4</w:t>
      </w:r>
      <w:r w:rsidRPr="00A8622F">
        <w:t xml:space="preserve"> and 201</w:t>
      </w:r>
      <w:r w:rsidR="003434E0">
        <w:t>7</w:t>
      </w:r>
      <w:bookmarkEnd w:id="55"/>
      <w:bookmarkEnd w:id="56"/>
      <w:bookmarkEnd w:id="57"/>
      <w:bookmarkEnd w:id="58"/>
      <w:bookmarkEnd w:id="59"/>
    </w:p>
    <w:p w14:paraId="533D9D0A" w14:textId="70F4607D" w:rsidR="00E97EEE" w:rsidRPr="00E97EEE" w:rsidRDefault="00E97EEE" w:rsidP="00E97EEE">
      <w:pPr>
        <w:pStyle w:val="DHHSbody"/>
      </w:pPr>
      <w:r>
        <w:rPr>
          <w:noProof/>
        </w:rPr>
        <w:drawing>
          <wp:inline distT="0" distB="0" distL="0" distR="0" wp14:anchorId="6751547B" wp14:editId="70F70214">
            <wp:extent cx="5766816" cy="4943273"/>
            <wp:effectExtent l="0" t="0" r="5715" b="0"/>
            <wp:docPr id="316" name="Picture 316" descr="This figure shows a data summary of 'Measure 1.1 – Incidence of preventable cancers'. The data set is available under 'Measure 1.1 – Incidence of preventable cancers' in a separate volume, the Victorian cancer plan monitoring and evaluation framework: baseline report: Appendix 2: Datasets available on Cancer care &lt;https://www2.health.vic.gov.au/about/health-strategies/cancer-care&g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10662" cy="4980857"/>
                    </a:xfrm>
                    <a:prstGeom prst="rect">
                      <a:avLst/>
                    </a:prstGeom>
                    <a:noFill/>
                    <a:ln>
                      <a:noFill/>
                    </a:ln>
                  </pic:spPr>
                </pic:pic>
              </a:graphicData>
            </a:graphic>
          </wp:inline>
        </w:drawing>
      </w:r>
    </w:p>
    <w:p w14:paraId="15F21AD9" w14:textId="27DA4C81" w:rsidR="00706F6A" w:rsidRPr="0011089F" w:rsidRDefault="009A2DF4" w:rsidP="00CD30BA">
      <w:pPr>
        <w:pStyle w:val="DHHStablefigurenote"/>
      </w:pPr>
      <w:r w:rsidRPr="003F5C49">
        <w:t>Note:</w:t>
      </w:r>
      <w:r w:rsidR="00250B73">
        <w:t xml:space="preserve"> </w:t>
      </w:r>
      <w:r>
        <w:t>R</w:t>
      </w:r>
      <w:r w:rsidRPr="003F5C49">
        <w:t>esults by</w:t>
      </w:r>
      <w:r w:rsidR="0011089F">
        <w:t xml:space="preserve"> cultural diversity</w:t>
      </w:r>
      <w:r w:rsidRPr="003F5C49">
        <w:t xml:space="preserve"> </w:t>
      </w:r>
      <w:r>
        <w:t xml:space="preserve">are not presented </w:t>
      </w:r>
      <w:r w:rsidR="00BB58BE">
        <w:t>because</w:t>
      </w:r>
      <w:r w:rsidR="00BB58BE" w:rsidRPr="003F5C49">
        <w:t xml:space="preserve"> </w:t>
      </w:r>
      <w:r w:rsidRPr="003F5C49">
        <w:t>the</w:t>
      </w:r>
      <w:r w:rsidR="00BB58BE">
        <w:t xml:space="preserve"> </w:t>
      </w:r>
      <w:r w:rsidR="00BB58BE" w:rsidRPr="000B1825">
        <w:t>estimated resident</w:t>
      </w:r>
      <w:r w:rsidR="00BB58BE" w:rsidRPr="000B1825">
        <w:rPr>
          <w:rFonts w:hint="eastAsia"/>
        </w:rPr>
        <w:t> </w:t>
      </w:r>
      <w:r w:rsidR="00BB58BE" w:rsidRPr="000B1825">
        <w:t>population</w:t>
      </w:r>
      <w:r w:rsidR="00BB58BE" w:rsidRPr="000B1825">
        <w:rPr>
          <w:rFonts w:hint="eastAsia"/>
        </w:rPr>
        <w:t> </w:t>
      </w:r>
      <w:r w:rsidR="00BB58BE">
        <w:t>(</w:t>
      </w:r>
      <w:r w:rsidRPr="003F5C49">
        <w:t>ERP</w:t>
      </w:r>
      <w:r w:rsidR="00BB58BE">
        <w:t>)</w:t>
      </w:r>
      <w:r w:rsidRPr="003F5C49">
        <w:t xml:space="preserve"> does not estimate the population by </w:t>
      </w:r>
      <w:r w:rsidR="0011089F">
        <w:t>cultural diversity</w:t>
      </w:r>
      <w:r w:rsidRPr="003F5C49">
        <w:t xml:space="preserve">, hence </w:t>
      </w:r>
      <w:r>
        <w:t>there is no</w:t>
      </w:r>
      <w:r w:rsidRPr="003F5C49">
        <w:t xml:space="preserve"> denominator for this variable.</w:t>
      </w:r>
      <w:r w:rsidR="0020440A">
        <w:t xml:space="preserve"> </w:t>
      </w:r>
      <w:r w:rsidR="0020440A" w:rsidRPr="00D53842">
        <w:rPr>
          <w:color w:val="000000"/>
        </w:rPr>
        <w:t>Appendix 2 provides the dataset.</w:t>
      </w:r>
      <w:r w:rsidR="00706F6A" w:rsidRPr="0011089F">
        <w:rPr>
          <w:b/>
        </w:rPr>
        <w:br w:type="page"/>
      </w:r>
    </w:p>
    <w:p w14:paraId="05B613DA" w14:textId="350828B5" w:rsidR="00714F4C" w:rsidRDefault="00714F4C" w:rsidP="00F00560">
      <w:pPr>
        <w:pStyle w:val="DHHSfigurecaption"/>
      </w:pPr>
      <w:bookmarkStart w:id="60" w:name="_Toc19007989"/>
      <w:bookmarkStart w:id="61" w:name="_Toc19008251"/>
      <w:bookmarkStart w:id="62" w:name="_Toc19008398"/>
      <w:bookmarkStart w:id="63" w:name="_Toc19008545"/>
      <w:bookmarkStart w:id="64" w:name="_Toc27414248"/>
      <w:r>
        <w:rPr>
          <w:lang w:eastAsia="en-AU"/>
        </w:rPr>
        <w:lastRenderedPageBreak/>
        <w:t>Figure 1.1.</w:t>
      </w:r>
      <w:r w:rsidR="005C7FDD">
        <w:rPr>
          <w:lang w:eastAsia="en-AU"/>
        </w:rPr>
        <w:t>1</w:t>
      </w:r>
      <w:r w:rsidR="00A14570">
        <w:rPr>
          <w:lang w:eastAsia="en-AU"/>
        </w:rPr>
        <w:t>:</w:t>
      </w:r>
      <w:r w:rsidRPr="006378D2">
        <w:rPr>
          <w:lang w:eastAsia="en-AU"/>
        </w:rPr>
        <w:t xml:space="preserve"> Incidence of preventable cancers</w:t>
      </w:r>
      <w:r>
        <w:rPr>
          <w:lang w:eastAsia="en-AU"/>
        </w:rPr>
        <w:t xml:space="preserve">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Pr="006378D2">
        <w:t xml:space="preserve"> </w:t>
      </w:r>
      <w:r w:rsidR="0031077F">
        <w:t xml:space="preserve">and </w:t>
      </w:r>
      <w:r>
        <w:t xml:space="preserve">year, </w:t>
      </w:r>
      <w:r w:rsidRPr="006378D2">
        <w:t>20</w:t>
      </w:r>
      <w:r>
        <w:t>1</w:t>
      </w:r>
      <w:r w:rsidR="004F723D">
        <w:t>4</w:t>
      </w:r>
      <w:r>
        <w:t xml:space="preserve"> and 2017</w:t>
      </w:r>
      <w:bookmarkEnd w:id="60"/>
      <w:bookmarkEnd w:id="61"/>
      <w:bookmarkEnd w:id="62"/>
      <w:bookmarkEnd w:id="63"/>
      <w:bookmarkEnd w:id="64"/>
    </w:p>
    <w:p w14:paraId="150E77C8" w14:textId="3AFCBB5B" w:rsidR="0003161B" w:rsidRPr="0003161B" w:rsidRDefault="002A0979" w:rsidP="0003161B">
      <w:pPr>
        <w:pStyle w:val="DHHSbody"/>
      </w:pPr>
      <w:r>
        <w:rPr>
          <w:noProof/>
        </w:rPr>
        <w:drawing>
          <wp:inline distT="0" distB="0" distL="0" distR="0" wp14:anchorId="425D59D5" wp14:editId="7DB89841">
            <wp:extent cx="6706235" cy="3444240"/>
            <wp:effectExtent l="0" t="0" r="0" b="3810"/>
            <wp:docPr id="35" name="Picture 35" descr="This figure (bar graph) presents the incidence of preventable cancers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06235" cy="3444240"/>
                    </a:xfrm>
                    <a:prstGeom prst="rect">
                      <a:avLst/>
                    </a:prstGeom>
                    <a:noFill/>
                  </pic:spPr>
                </pic:pic>
              </a:graphicData>
            </a:graphic>
          </wp:inline>
        </w:drawing>
      </w:r>
    </w:p>
    <w:p w14:paraId="69D8B2FC" w14:textId="52C19A93" w:rsidR="005867E0" w:rsidRDefault="00414FA1" w:rsidP="000E2F83">
      <w:pPr>
        <w:pStyle w:val="DHHSfigurecaption"/>
        <w:spacing w:before="480"/>
      </w:pPr>
      <w:bookmarkStart w:id="65" w:name="_Toc19007990"/>
      <w:bookmarkStart w:id="66" w:name="_Toc19008252"/>
      <w:bookmarkStart w:id="67" w:name="_Toc19008399"/>
      <w:bookmarkStart w:id="68" w:name="_Toc19008546"/>
      <w:bookmarkStart w:id="69" w:name="_Toc27414249"/>
      <w:r>
        <w:t>Figure 1.1.</w:t>
      </w:r>
      <w:r w:rsidR="005C7FDD">
        <w:t>2</w:t>
      </w:r>
      <w:r w:rsidR="00A14570">
        <w:t>:</w:t>
      </w:r>
      <w:r w:rsidR="00AB6486" w:rsidRPr="00AB6486">
        <w:t xml:space="preserve"> Incidence of preventable cancers </w:t>
      </w:r>
      <w:r w:rsidR="008D4EED">
        <w:t xml:space="preserve">in Victoria </w:t>
      </w:r>
      <w:r w:rsidR="00AB6486" w:rsidRPr="00AB6486">
        <w:t xml:space="preserve">per 100,000 standardised to the 2001 Australian population, by Victorian </w:t>
      </w:r>
      <w:r w:rsidR="005D072A">
        <w:t>LGA</w:t>
      </w:r>
      <w:r w:rsidR="008866E1">
        <w:t>, 201</w:t>
      </w:r>
      <w:bookmarkEnd w:id="65"/>
      <w:bookmarkEnd w:id="66"/>
      <w:bookmarkEnd w:id="67"/>
      <w:bookmarkEnd w:id="68"/>
      <w:r w:rsidR="00FF355E">
        <w:t>4</w:t>
      </w:r>
      <w:bookmarkEnd w:id="69"/>
    </w:p>
    <w:p w14:paraId="6853E838" w14:textId="25944875" w:rsidR="00032255" w:rsidRPr="00032255" w:rsidRDefault="00032255" w:rsidP="00032255">
      <w:pPr>
        <w:pStyle w:val="DHHSbody"/>
      </w:pPr>
      <w:r>
        <w:rPr>
          <w:noProof/>
        </w:rPr>
        <w:drawing>
          <wp:inline distT="0" distB="0" distL="0" distR="0" wp14:anchorId="44AC8326" wp14:editId="44D35381">
            <wp:extent cx="6474372" cy="4308647"/>
            <wp:effectExtent l="0" t="0" r="3175" b="0"/>
            <wp:docPr id="263" name="Picture 263" descr="This figure shows a map of Victoria showing the highest reported rate of preventable cancers in 2014 is in Gannawarra Shire Council and the lowest reported rate is in Queenscliffe Borough Council. The data set is available under 'Measure 1.1 – Incidence of preventable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504805" cy="4328900"/>
                    </a:xfrm>
                    <a:prstGeom prst="rect">
                      <a:avLst/>
                    </a:prstGeom>
                  </pic:spPr>
                </pic:pic>
              </a:graphicData>
            </a:graphic>
          </wp:inline>
        </w:drawing>
      </w:r>
    </w:p>
    <w:p w14:paraId="7D0104F8" w14:textId="78C7FDEA" w:rsidR="008866E1" w:rsidRDefault="00837B41" w:rsidP="00F00560">
      <w:pPr>
        <w:pStyle w:val="DHHSfigurecaption"/>
      </w:pPr>
      <w:bookmarkStart w:id="70" w:name="_Toc19007991"/>
      <w:bookmarkStart w:id="71" w:name="_Toc19008253"/>
      <w:bookmarkStart w:id="72" w:name="_Toc19008400"/>
      <w:bookmarkStart w:id="73" w:name="_Toc19008547"/>
      <w:bookmarkStart w:id="74" w:name="_Toc27414250"/>
      <w:r w:rsidRPr="00AB6486">
        <w:lastRenderedPageBreak/>
        <w:t>Figure 1.1.</w:t>
      </w:r>
      <w:r w:rsidR="005C7FDD">
        <w:t>3</w:t>
      </w:r>
      <w:r w:rsidR="00A14570">
        <w:t>:</w:t>
      </w:r>
      <w:r w:rsidRPr="00AB6486">
        <w:t xml:space="preserve"> Incidence of preventable cancers</w:t>
      </w:r>
      <w:r w:rsidR="00273D6F">
        <w:t xml:space="preserve"> </w:t>
      </w:r>
      <w:r w:rsidR="008D4EED">
        <w:t xml:space="preserve">in Victoria </w:t>
      </w:r>
      <w:r w:rsidRPr="00AB6486">
        <w:t xml:space="preserve">per 100,000 standardised to the 2001 Australian population, by Victorian </w:t>
      </w:r>
      <w:r w:rsidR="005D072A">
        <w:t>LGA</w:t>
      </w:r>
      <w:r w:rsidRPr="00AB6486">
        <w:t>, 201</w:t>
      </w:r>
      <w:r w:rsidR="008866E1">
        <w:t>7</w:t>
      </w:r>
      <w:bookmarkEnd w:id="70"/>
      <w:bookmarkEnd w:id="71"/>
      <w:bookmarkEnd w:id="72"/>
      <w:bookmarkEnd w:id="73"/>
      <w:bookmarkEnd w:id="74"/>
    </w:p>
    <w:p w14:paraId="2B64ED53" w14:textId="73314C25" w:rsidR="004D0100" w:rsidRPr="004D0100" w:rsidRDefault="003C047C" w:rsidP="004D0100">
      <w:pPr>
        <w:pStyle w:val="DHHSbody"/>
      </w:pPr>
      <w:r>
        <w:rPr>
          <w:noProof/>
        </w:rPr>
        <w:drawing>
          <wp:inline distT="0" distB="0" distL="0" distR="0" wp14:anchorId="454327DE" wp14:editId="4A6AED98">
            <wp:extent cx="6467475" cy="4243946"/>
            <wp:effectExtent l="0" t="0" r="0" b="4445"/>
            <wp:docPr id="274" name="Picture 274" descr="This figure shows a map of Victoria showing the highest reported rate of preventable cancers in 2017 is in Strathbogie Shire Council and the lowest reported rate is in Pyrenees Shire Council. The data set is available under 'Measure 1.1 – Incidence of preventable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70764" cy="4246104"/>
                    </a:xfrm>
                    <a:prstGeom prst="rect">
                      <a:avLst/>
                    </a:prstGeom>
                  </pic:spPr>
                </pic:pic>
              </a:graphicData>
            </a:graphic>
          </wp:inline>
        </w:drawing>
      </w:r>
    </w:p>
    <w:p w14:paraId="0120C5E8" w14:textId="3B9EB3BB" w:rsidR="00665D4B" w:rsidRPr="00A25741" w:rsidRDefault="00665D4B" w:rsidP="00F61020">
      <w:pPr>
        <w:pStyle w:val="DHHSbody"/>
        <w:rPr>
          <w:b/>
        </w:rPr>
      </w:pPr>
      <w:r w:rsidRPr="00A25741">
        <w:rPr>
          <w:b/>
        </w:rPr>
        <w:t>Measure assessment</w:t>
      </w:r>
    </w:p>
    <w:p w14:paraId="794AF088" w14:textId="6CE2CFFA" w:rsidR="00C15AE4" w:rsidRPr="0078684F" w:rsidRDefault="00C15AE4" w:rsidP="0078684F">
      <w:pPr>
        <w:autoSpaceDE w:val="0"/>
        <w:autoSpaceDN w:val="0"/>
        <w:adjustRightInd w:val="0"/>
        <w:spacing w:after="120" w:line="270" w:lineRule="atLeast"/>
        <w:rPr>
          <w:rFonts w:ascii="Arial" w:hAnsi="Arial" w:cs="Arial"/>
          <w:color w:val="C00000"/>
        </w:rPr>
      </w:pPr>
      <w:r w:rsidRPr="0049739F">
        <w:rPr>
          <w:rFonts w:ascii="Arial" w:hAnsi="Arial" w:cs="Arial"/>
        </w:rPr>
        <w:t xml:space="preserve">Traffic light rating: </w:t>
      </w:r>
      <w:r w:rsidR="0049739F" w:rsidRPr="004F47C9">
        <w:rPr>
          <w:rFonts w:ascii="Arial" w:hAnsi="Arial" w:cs="Arial"/>
          <w:b/>
          <w:color w:val="C00000"/>
        </w:rPr>
        <w:t>Red</w:t>
      </w:r>
      <w:r w:rsidR="0078684F">
        <w:rPr>
          <w:rFonts w:ascii="Arial" w:hAnsi="Arial" w:cs="Arial"/>
          <w:b/>
          <w:color w:val="C00000"/>
        </w:rPr>
        <w:t xml:space="preserve"> </w:t>
      </w:r>
      <w:r w:rsidR="0078684F">
        <w:rPr>
          <w:rFonts w:ascii="Arial" w:hAnsi="Arial" w:cs="Arial"/>
          <w:color w:val="C00000"/>
        </w:rPr>
        <w:t>(result is of concern)</w:t>
      </w:r>
    </w:p>
    <w:p w14:paraId="092125E3" w14:textId="724C1C33" w:rsidR="00C15AE4" w:rsidRPr="0078684F" w:rsidRDefault="00C15AE4" w:rsidP="0078684F">
      <w:pPr>
        <w:autoSpaceDE w:val="0"/>
        <w:autoSpaceDN w:val="0"/>
        <w:adjustRightInd w:val="0"/>
        <w:spacing w:after="120" w:line="270" w:lineRule="atLeast"/>
        <w:rPr>
          <w:rFonts w:ascii="Arial" w:hAnsi="Arial" w:cs="Arial"/>
        </w:rPr>
      </w:pPr>
      <w:r w:rsidRPr="0049739F">
        <w:rPr>
          <w:rFonts w:ascii="Arial" w:hAnsi="Arial" w:cs="Arial"/>
        </w:rPr>
        <w:t xml:space="preserve">Overall trend: </w:t>
      </w:r>
      <w:r w:rsidR="00DF691A" w:rsidRPr="0049739F">
        <w:rPr>
          <w:rFonts w:ascii="Arial" w:hAnsi="Arial" w:cs="Arial"/>
        </w:rPr>
        <w:t>Static or unchanging</w:t>
      </w:r>
    </w:p>
    <w:p w14:paraId="7C95CE3A" w14:textId="450E3F87" w:rsidR="005E2F5C" w:rsidRPr="00A41E84" w:rsidRDefault="00C15AE4" w:rsidP="008B44E6">
      <w:pPr>
        <w:pStyle w:val="DHHSbody"/>
        <w:rPr>
          <w:rFonts w:cs="Arial"/>
          <w:color w:val="000000" w:themeColor="text1"/>
          <w:lang w:eastAsia="en-AU"/>
        </w:rPr>
      </w:pPr>
      <w:r w:rsidRPr="00A83190">
        <w:rPr>
          <w:rFonts w:cs="Arial"/>
          <w:color w:val="000000" w:themeColor="text1"/>
        </w:rPr>
        <w:t>Commentary:</w:t>
      </w:r>
      <w:r w:rsidRPr="00A83190">
        <w:rPr>
          <w:color w:val="000000" w:themeColor="text1"/>
          <w:lang w:eastAsia="en-AU"/>
        </w:rPr>
        <w:t xml:space="preserve"> </w:t>
      </w:r>
      <w:r w:rsidR="005E2F5C" w:rsidRPr="00DF53F4">
        <w:rPr>
          <w:rFonts w:cs="Arial"/>
          <w:lang w:val="en"/>
        </w:rPr>
        <w:t xml:space="preserve">Figure 1.1 shows the age-standardised incidence rate </w:t>
      </w:r>
      <w:r w:rsidR="00A84580" w:rsidRPr="00DF53F4">
        <w:rPr>
          <w:rFonts w:cs="Arial"/>
          <w:lang w:val="en"/>
        </w:rPr>
        <w:t xml:space="preserve">overall </w:t>
      </w:r>
      <w:r w:rsidR="005E2F5C" w:rsidRPr="00DF53F4">
        <w:rPr>
          <w:rFonts w:cs="Arial"/>
          <w:lang w:val="en"/>
        </w:rPr>
        <w:t xml:space="preserve">of preventable cancers combined </w:t>
      </w:r>
      <w:r w:rsidR="008866E1" w:rsidRPr="00DF53F4">
        <w:rPr>
          <w:rFonts w:cs="Arial"/>
          <w:lang w:val="en"/>
        </w:rPr>
        <w:t>did not vary between 201</w:t>
      </w:r>
      <w:r w:rsidR="00A6119B">
        <w:rPr>
          <w:rFonts w:cs="Arial"/>
          <w:lang w:val="en"/>
        </w:rPr>
        <w:t>4</w:t>
      </w:r>
      <w:r w:rsidR="008866E1" w:rsidRPr="00DF53F4">
        <w:rPr>
          <w:rFonts w:cs="Arial"/>
          <w:lang w:val="en"/>
        </w:rPr>
        <w:t xml:space="preserve"> (33</w:t>
      </w:r>
      <w:r w:rsidR="00A6119B">
        <w:rPr>
          <w:rFonts w:cs="Arial"/>
          <w:lang w:val="en"/>
        </w:rPr>
        <w:t>9</w:t>
      </w:r>
      <w:r w:rsidR="005527D9" w:rsidRPr="00DF53F4">
        <w:rPr>
          <w:rFonts w:cs="Arial"/>
          <w:lang w:val="en"/>
        </w:rPr>
        <w:t xml:space="preserve"> per 100,000 population)</w:t>
      </w:r>
      <w:r w:rsidR="008866E1" w:rsidRPr="00DF53F4">
        <w:rPr>
          <w:rFonts w:cs="Arial"/>
          <w:lang w:val="en"/>
        </w:rPr>
        <w:t xml:space="preserve"> and 2017 (339</w:t>
      </w:r>
      <w:r w:rsidR="005527D9" w:rsidRPr="00DF53F4">
        <w:rPr>
          <w:rFonts w:cs="Arial"/>
          <w:lang w:val="en"/>
        </w:rPr>
        <w:t xml:space="preserve"> per 100,000 population)</w:t>
      </w:r>
      <w:r w:rsidR="00292FFE" w:rsidRPr="00DF53F4">
        <w:rPr>
          <w:rFonts w:cs="Arial"/>
          <w:lang w:val="en"/>
        </w:rPr>
        <w:t>.</w:t>
      </w:r>
      <w:r w:rsidR="00952FC7">
        <w:rPr>
          <w:rFonts w:cs="Arial"/>
          <w:lang w:val="en"/>
        </w:rPr>
        <w:t xml:space="preserve"> </w:t>
      </w:r>
      <w:r w:rsidR="00292FFE" w:rsidRPr="00DF53F4">
        <w:rPr>
          <w:rFonts w:cs="Arial"/>
          <w:lang w:val="en"/>
        </w:rPr>
        <w:t xml:space="preserve">The </w:t>
      </w:r>
      <w:r w:rsidR="004F50A1" w:rsidRPr="00DF53F4">
        <w:rPr>
          <w:rFonts w:cs="Arial"/>
          <w:lang w:val="en"/>
        </w:rPr>
        <w:t>incidence rate for males was 32</w:t>
      </w:r>
      <w:r w:rsidR="000A3F6A">
        <w:rPr>
          <w:rFonts w:cs="Arial"/>
          <w:lang w:val="en"/>
        </w:rPr>
        <w:t>2</w:t>
      </w:r>
      <w:r w:rsidR="00292FFE" w:rsidRPr="00DF53F4">
        <w:rPr>
          <w:rFonts w:cs="Arial"/>
          <w:lang w:val="en"/>
        </w:rPr>
        <w:t xml:space="preserve"> new cases in per 100,000 males i</w:t>
      </w:r>
      <w:r w:rsidR="004F50A1" w:rsidRPr="00DF53F4">
        <w:rPr>
          <w:rFonts w:cs="Arial"/>
          <w:lang w:val="en"/>
        </w:rPr>
        <w:t>n 201</w:t>
      </w:r>
      <w:r w:rsidR="000A3F6A">
        <w:rPr>
          <w:rFonts w:cs="Arial"/>
          <w:lang w:val="en"/>
        </w:rPr>
        <w:t>4</w:t>
      </w:r>
      <w:r w:rsidR="004F50A1" w:rsidRPr="00DF53F4">
        <w:rPr>
          <w:rFonts w:cs="Arial"/>
          <w:lang w:val="en"/>
        </w:rPr>
        <w:t xml:space="preserve"> decreasing to 319</w:t>
      </w:r>
      <w:r w:rsidR="00292FFE" w:rsidRPr="00DF53F4">
        <w:rPr>
          <w:rFonts w:cs="Arial"/>
          <w:lang w:val="en"/>
        </w:rPr>
        <w:t xml:space="preserve"> per 100,000 males in 201</w:t>
      </w:r>
      <w:r w:rsidR="000A3F6A">
        <w:rPr>
          <w:rFonts w:cs="Arial"/>
          <w:lang w:val="en"/>
        </w:rPr>
        <w:t>7</w:t>
      </w:r>
      <w:r w:rsidR="009007A4" w:rsidRPr="00DF53F4">
        <w:rPr>
          <w:rFonts w:cs="Arial"/>
          <w:lang w:val="en"/>
        </w:rPr>
        <w:t>.</w:t>
      </w:r>
      <w:r w:rsidR="00952FC7">
        <w:rPr>
          <w:rFonts w:cs="Arial"/>
          <w:lang w:val="en"/>
        </w:rPr>
        <w:t xml:space="preserve"> </w:t>
      </w:r>
      <w:r w:rsidR="004F50A1" w:rsidRPr="00DF53F4">
        <w:rPr>
          <w:rFonts w:cs="Arial"/>
          <w:lang w:val="en"/>
        </w:rPr>
        <w:t>However, t</w:t>
      </w:r>
      <w:r w:rsidR="009007A4" w:rsidRPr="00DF53F4">
        <w:rPr>
          <w:rFonts w:cs="Arial"/>
          <w:lang w:val="en"/>
        </w:rPr>
        <w:t>he incidence rate for females for the same per</w:t>
      </w:r>
      <w:r w:rsidR="004F50A1" w:rsidRPr="00DF53F4">
        <w:rPr>
          <w:rFonts w:cs="Arial"/>
          <w:lang w:val="en"/>
        </w:rPr>
        <w:t>iod was noticeably higher at 3</w:t>
      </w:r>
      <w:r w:rsidR="000A3F6A">
        <w:rPr>
          <w:rFonts w:cs="Arial"/>
          <w:lang w:val="en"/>
        </w:rPr>
        <w:t xml:space="preserve">61 </w:t>
      </w:r>
      <w:r w:rsidR="009007A4" w:rsidRPr="00DF53F4">
        <w:rPr>
          <w:rFonts w:cs="Arial"/>
          <w:lang w:val="en"/>
        </w:rPr>
        <w:t>new c</w:t>
      </w:r>
      <w:r w:rsidR="004F50A1" w:rsidRPr="00DF53F4">
        <w:rPr>
          <w:rFonts w:cs="Arial"/>
          <w:lang w:val="en"/>
        </w:rPr>
        <w:t xml:space="preserve">ases per 100,000 females in </w:t>
      </w:r>
      <w:r w:rsidR="000A3F6A">
        <w:rPr>
          <w:rFonts w:cs="Arial"/>
          <w:lang w:val="en"/>
        </w:rPr>
        <w:t xml:space="preserve">both </w:t>
      </w:r>
      <w:r w:rsidR="004F50A1" w:rsidRPr="00DF53F4">
        <w:rPr>
          <w:rFonts w:cs="Arial"/>
          <w:lang w:val="en"/>
        </w:rPr>
        <w:t>201</w:t>
      </w:r>
      <w:r w:rsidR="000A3F6A">
        <w:rPr>
          <w:rFonts w:cs="Arial"/>
          <w:lang w:val="en"/>
        </w:rPr>
        <w:t>4</w:t>
      </w:r>
      <w:r w:rsidR="004F50A1" w:rsidRPr="00DF53F4">
        <w:rPr>
          <w:rFonts w:cs="Arial"/>
          <w:lang w:val="en"/>
        </w:rPr>
        <w:t xml:space="preserve"> </w:t>
      </w:r>
      <w:r w:rsidR="000A3F6A">
        <w:rPr>
          <w:rFonts w:cs="Arial"/>
          <w:lang w:val="en"/>
        </w:rPr>
        <w:t xml:space="preserve">and </w:t>
      </w:r>
      <w:r w:rsidR="004F50A1" w:rsidRPr="00DF53F4">
        <w:rPr>
          <w:rFonts w:cs="Arial"/>
          <w:lang w:val="en"/>
        </w:rPr>
        <w:t>2017</w:t>
      </w:r>
      <w:r w:rsidR="009007A4" w:rsidRPr="00DF53F4">
        <w:rPr>
          <w:rFonts w:cs="Arial"/>
          <w:lang w:val="en"/>
        </w:rPr>
        <w:t>.</w:t>
      </w:r>
      <w:r w:rsidR="000E465C" w:rsidRPr="00DF53F4">
        <w:rPr>
          <w:rFonts w:cs="Arial"/>
          <w:lang w:val="en"/>
        </w:rPr>
        <w:t xml:space="preserve"> This disparity between the sexes may have been the result of population-based screening </w:t>
      </w:r>
      <w:r w:rsidR="00CD6341" w:rsidRPr="00DF53F4">
        <w:rPr>
          <w:rFonts w:cs="Arial"/>
          <w:lang w:val="en"/>
        </w:rPr>
        <w:t>(</w:t>
      </w:r>
      <w:r w:rsidR="008869C1">
        <w:rPr>
          <w:rFonts w:cs="Arial"/>
          <w:lang w:val="en"/>
        </w:rPr>
        <w:t>for example,</w:t>
      </w:r>
      <w:r w:rsidR="00CD6341" w:rsidRPr="00DF53F4">
        <w:rPr>
          <w:rFonts w:cs="Arial"/>
          <w:lang w:val="en"/>
        </w:rPr>
        <w:t xml:space="preserve"> </w:t>
      </w:r>
      <w:r w:rsidR="00FB25D8">
        <w:rPr>
          <w:rFonts w:cs="Arial"/>
          <w:lang w:val="en"/>
        </w:rPr>
        <w:t xml:space="preserve">the </w:t>
      </w:r>
      <w:r w:rsidR="00CD6341" w:rsidRPr="00DF53F4">
        <w:rPr>
          <w:rFonts w:cs="Arial"/>
          <w:lang w:val="en"/>
        </w:rPr>
        <w:t>BreastScreen Australia</w:t>
      </w:r>
      <w:r w:rsidR="00FB25D8">
        <w:rPr>
          <w:rFonts w:cs="Arial"/>
          <w:lang w:val="en"/>
        </w:rPr>
        <w:t xml:space="preserve"> Program</w:t>
      </w:r>
      <w:r w:rsidR="00DE6F67" w:rsidRPr="00DF53F4">
        <w:rPr>
          <w:rFonts w:cs="Arial"/>
          <w:lang w:val="en"/>
        </w:rPr>
        <w:t>)</w:t>
      </w:r>
      <w:r w:rsidR="00CD6341" w:rsidRPr="00DF53F4">
        <w:rPr>
          <w:rFonts w:cs="Arial"/>
          <w:lang w:val="en"/>
        </w:rPr>
        <w:t xml:space="preserve"> </w:t>
      </w:r>
      <w:r w:rsidR="000E465C" w:rsidRPr="00DF53F4">
        <w:rPr>
          <w:rFonts w:cs="Arial"/>
          <w:lang w:val="en"/>
        </w:rPr>
        <w:t xml:space="preserve">and improvements in technologies and techniques used to identify and diagnose </w:t>
      </w:r>
      <w:r w:rsidR="00286191" w:rsidRPr="00DF53F4">
        <w:rPr>
          <w:rFonts w:cs="Arial"/>
          <w:lang w:val="en"/>
        </w:rPr>
        <w:t>cancers</w:t>
      </w:r>
      <w:r w:rsidR="00170304" w:rsidRPr="00DF53F4">
        <w:rPr>
          <w:rFonts w:cs="Arial"/>
          <w:lang w:val="en"/>
        </w:rPr>
        <w:t>.</w:t>
      </w:r>
      <w:r w:rsidR="00F87036" w:rsidRPr="00DF53F4">
        <w:rPr>
          <w:rStyle w:val="FootnoteReference"/>
          <w:rFonts w:cs="Arial"/>
          <w:lang w:val="en"/>
        </w:rPr>
        <w:footnoteReference w:id="10"/>
      </w:r>
    </w:p>
    <w:p w14:paraId="3DBAF82E" w14:textId="350D63A0" w:rsidR="00D31025" w:rsidRDefault="00170304" w:rsidP="008B44E6">
      <w:pPr>
        <w:pStyle w:val="DHHSbody"/>
        <w:rPr>
          <w:rFonts w:cs="Arial"/>
          <w:lang w:val="en"/>
        </w:rPr>
      </w:pPr>
      <w:r w:rsidRPr="00DE6F67">
        <w:rPr>
          <w:rFonts w:cs="Arial"/>
          <w:lang w:val="en"/>
        </w:rPr>
        <w:t>Trend data</w:t>
      </w:r>
      <w:r w:rsidRPr="00170304">
        <w:rPr>
          <w:rFonts w:cs="Arial"/>
          <w:lang w:val="en"/>
        </w:rPr>
        <w:t xml:space="preserve"> for </w:t>
      </w:r>
      <w:r w:rsidR="00DE7FFE">
        <w:rPr>
          <w:rFonts w:cs="Arial"/>
          <w:lang w:val="en"/>
        </w:rPr>
        <w:t>SES</w:t>
      </w:r>
      <w:r w:rsidR="009B67A1">
        <w:rPr>
          <w:rFonts w:cs="Arial"/>
          <w:lang w:val="en"/>
        </w:rPr>
        <w:t xml:space="preserve"> </w:t>
      </w:r>
      <w:r w:rsidR="00045CED">
        <w:rPr>
          <w:rFonts w:cs="Arial"/>
          <w:lang w:val="en"/>
        </w:rPr>
        <w:t xml:space="preserve">shows </w:t>
      </w:r>
      <w:r w:rsidR="004F50A1">
        <w:rPr>
          <w:rFonts w:cs="Arial"/>
          <w:lang w:val="en"/>
        </w:rPr>
        <w:t>that between 201</w:t>
      </w:r>
      <w:r w:rsidR="000A3F6A">
        <w:rPr>
          <w:rFonts w:cs="Arial"/>
          <w:lang w:val="en"/>
        </w:rPr>
        <w:t>4</w:t>
      </w:r>
      <w:r w:rsidR="004F50A1">
        <w:rPr>
          <w:rFonts w:cs="Arial"/>
          <w:lang w:val="en"/>
        </w:rPr>
        <w:t xml:space="preserve"> and 2017</w:t>
      </w:r>
      <w:r w:rsidR="009B67A1">
        <w:rPr>
          <w:rFonts w:cs="Arial"/>
          <w:lang w:val="en"/>
        </w:rPr>
        <w:t xml:space="preserve"> the age</w:t>
      </w:r>
      <w:r w:rsidR="00607AAA">
        <w:rPr>
          <w:rFonts w:cs="Arial"/>
          <w:lang w:val="en"/>
        </w:rPr>
        <w:t>-</w:t>
      </w:r>
      <w:r w:rsidR="009B67A1">
        <w:rPr>
          <w:rFonts w:cs="Arial"/>
          <w:lang w:val="en"/>
        </w:rPr>
        <w:t xml:space="preserve">standardised incidence rate for </w:t>
      </w:r>
      <w:r w:rsidR="00045CED">
        <w:rPr>
          <w:rFonts w:cs="Arial"/>
          <w:lang w:val="en"/>
        </w:rPr>
        <w:t>preventable cancers combined was highest for those living in</w:t>
      </w:r>
      <w:r w:rsidR="00F34179">
        <w:rPr>
          <w:rFonts w:cs="Arial"/>
          <w:lang w:val="en"/>
        </w:rPr>
        <w:t xml:space="preserve"> more socioeconomically disadvantaged areas</w:t>
      </w:r>
      <w:r w:rsidR="00045CED">
        <w:rPr>
          <w:rFonts w:cs="Arial"/>
          <w:lang w:val="en"/>
        </w:rPr>
        <w:t xml:space="preserve"> </w:t>
      </w:r>
      <w:r w:rsidR="004F50A1">
        <w:rPr>
          <w:rFonts w:cs="Arial"/>
          <w:lang w:val="en"/>
        </w:rPr>
        <w:t xml:space="preserve">(SES 1 and 2) compared </w:t>
      </w:r>
      <w:r w:rsidR="001B50BF">
        <w:rPr>
          <w:rFonts w:cs="Arial"/>
          <w:lang w:val="en"/>
        </w:rPr>
        <w:t xml:space="preserve">with </w:t>
      </w:r>
      <w:r w:rsidR="00045CED">
        <w:rPr>
          <w:rFonts w:cs="Arial"/>
          <w:lang w:val="en"/>
        </w:rPr>
        <w:t xml:space="preserve">those living in the two highest socioeconomic </w:t>
      </w:r>
      <w:r w:rsidR="00F34179">
        <w:rPr>
          <w:rFonts w:cs="Arial"/>
          <w:lang w:val="en"/>
        </w:rPr>
        <w:t>area</w:t>
      </w:r>
      <w:r w:rsidR="00045CED">
        <w:rPr>
          <w:rFonts w:cs="Arial"/>
          <w:lang w:val="en"/>
        </w:rPr>
        <w:t>s (Figure 1.1).</w:t>
      </w:r>
      <w:r w:rsidR="00875CCD">
        <w:rPr>
          <w:rFonts w:cs="Arial"/>
          <w:lang w:val="en"/>
        </w:rPr>
        <w:t xml:space="preserve"> Observed differences</w:t>
      </w:r>
      <w:r w:rsidR="004F50A1">
        <w:rPr>
          <w:rFonts w:cs="Arial"/>
          <w:lang w:val="en"/>
        </w:rPr>
        <w:t xml:space="preserve"> between 201</w:t>
      </w:r>
      <w:r w:rsidR="000A3F6A">
        <w:rPr>
          <w:rFonts w:cs="Arial"/>
          <w:lang w:val="en"/>
        </w:rPr>
        <w:t>4</w:t>
      </w:r>
      <w:r w:rsidR="004F50A1">
        <w:rPr>
          <w:rFonts w:cs="Arial"/>
          <w:lang w:val="en"/>
        </w:rPr>
        <w:t xml:space="preserve"> and 2017</w:t>
      </w:r>
      <w:r w:rsidR="00875CCD">
        <w:rPr>
          <w:rFonts w:cs="Arial"/>
          <w:lang w:val="en"/>
        </w:rPr>
        <w:t xml:space="preserve"> by remoteness </w:t>
      </w:r>
      <w:r w:rsidR="0001046D">
        <w:rPr>
          <w:rFonts w:cs="Arial"/>
          <w:lang w:val="en"/>
        </w:rPr>
        <w:t xml:space="preserve">area </w:t>
      </w:r>
      <w:r w:rsidR="00875CCD">
        <w:rPr>
          <w:rFonts w:cs="Arial"/>
          <w:lang w:val="en"/>
        </w:rPr>
        <w:t xml:space="preserve">show that people living </w:t>
      </w:r>
      <w:r w:rsidR="005F747A">
        <w:rPr>
          <w:rFonts w:cs="Arial"/>
          <w:lang w:val="en"/>
        </w:rPr>
        <w:t xml:space="preserve">in </w:t>
      </w:r>
      <w:r w:rsidR="00875CCD">
        <w:rPr>
          <w:rFonts w:cs="Arial"/>
          <w:lang w:val="en"/>
        </w:rPr>
        <w:t xml:space="preserve">regional (inner and outer) and remote areas </w:t>
      </w:r>
      <w:r w:rsidR="0001046D">
        <w:rPr>
          <w:rFonts w:cs="Arial"/>
          <w:lang w:val="en"/>
        </w:rPr>
        <w:t>have</w:t>
      </w:r>
      <w:r w:rsidR="008F0CA4">
        <w:rPr>
          <w:rFonts w:cs="Arial"/>
          <w:lang w:val="en"/>
        </w:rPr>
        <w:t xml:space="preserve"> higher incidence rates compared </w:t>
      </w:r>
      <w:r w:rsidR="001B50BF">
        <w:rPr>
          <w:rFonts w:cs="Arial"/>
          <w:lang w:val="en"/>
        </w:rPr>
        <w:t>with</w:t>
      </w:r>
      <w:r w:rsidR="008F0CA4">
        <w:rPr>
          <w:rFonts w:cs="Arial"/>
          <w:lang w:val="en"/>
        </w:rPr>
        <w:t xml:space="preserve"> Victorians living in major cities (Figure 1.1)</w:t>
      </w:r>
      <w:r w:rsidR="00D31025">
        <w:rPr>
          <w:rFonts w:cs="Arial"/>
          <w:lang w:val="en"/>
        </w:rPr>
        <w:t>.</w:t>
      </w:r>
    </w:p>
    <w:p w14:paraId="1B40C5C8" w14:textId="3FFBCE6E" w:rsidR="003E23C0" w:rsidRDefault="00D31025" w:rsidP="006D57B0">
      <w:pPr>
        <w:pStyle w:val="DHHSbody"/>
        <w:rPr>
          <w:lang w:val="en"/>
        </w:rPr>
      </w:pPr>
      <w:r w:rsidRPr="00A83190">
        <w:rPr>
          <w:rFonts w:cs="Arial"/>
          <w:color w:val="000000" w:themeColor="text1"/>
          <w:lang w:val="en"/>
        </w:rPr>
        <w:t>Due to the small number of incident canc</w:t>
      </w:r>
      <w:r w:rsidR="004F50A1">
        <w:rPr>
          <w:rFonts w:cs="Arial"/>
          <w:color w:val="000000" w:themeColor="text1"/>
          <w:lang w:val="en"/>
        </w:rPr>
        <w:t>er cases reported in Victoria between</w:t>
      </w:r>
      <w:r w:rsidRPr="00A83190">
        <w:rPr>
          <w:rFonts w:cs="Arial"/>
          <w:color w:val="000000" w:themeColor="text1"/>
          <w:lang w:val="en"/>
        </w:rPr>
        <w:t xml:space="preserve"> </w:t>
      </w:r>
      <w:r w:rsidR="004F50A1">
        <w:rPr>
          <w:rFonts w:cs="Arial"/>
          <w:color w:val="000000" w:themeColor="text1"/>
          <w:lang w:val="en"/>
        </w:rPr>
        <w:t>201</w:t>
      </w:r>
      <w:r w:rsidR="000A3F6A">
        <w:rPr>
          <w:rFonts w:cs="Arial"/>
          <w:color w:val="000000" w:themeColor="text1"/>
          <w:lang w:val="en"/>
        </w:rPr>
        <w:t>4</w:t>
      </w:r>
      <w:r w:rsidR="004F50A1">
        <w:rPr>
          <w:rFonts w:cs="Arial"/>
          <w:color w:val="000000" w:themeColor="text1"/>
          <w:lang w:val="en"/>
        </w:rPr>
        <w:t xml:space="preserve"> and 2017</w:t>
      </w:r>
      <w:r w:rsidRPr="00A83190">
        <w:rPr>
          <w:rFonts w:cs="Arial"/>
          <w:color w:val="000000" w:themeColor="text1"/>
          <w:lang w:val="en"/>
        </w:rPr>
        <w:t xml:space="preserve">, results of analysis by Aboriginal </w:t>
      </w:r>
      <w:r w:rsidR="00BF714A">
        <w:rPr>
          <w:rFonts w:cs="Arial"/>
          <w:color w:val="000000" w:themeColor="text1"/>
          <w:lang w:val="en"/>
        </w:rPr>
        <w:t>Victorian</w:t>
      </w:r>
      <w:r w:rsidR="006D57B0">
        <w:rPr>
          <w:rFonts w:cs="Arial"/>
          <w:color w:val="000000" w:themeColor="text1"/>
          <w:lang w:val="en"/>
        </w:rPr>
        <w:t xml:space="preserve"> </w:t>
      </w:r>
      <w:r w:rsidRPr="00A83190">
        <w:rPr>
          <w:rFonts w:cs="Arial"/>
          <w:color w:val="000000" w:themeColor="text1"/>
          <w:lang w:val="en"/>
        </w:rPr>
        <w:t>status should be interpreted with caution.</w:t>
      </w:r>
      <w:r w:rsidR="00952FC7">
        <w:rPr>
          <w:rFonts w:cs="Arial"/>
          <w:color w:val="000000" w:themeColor="text1"/>
          <w:lang w:val="en"/>
        </w:rPr>
        <w:t xml:space="preserve"> </w:t>
      </w:r>
      <w:r w:rsidR="00497AF5">
        <w:rPr>
          <w:rFonts w:cs="Arial"/>
          <w:color w:val="000000" w:themeColor="text1"/>
          <w:lang w:val="en"/>
        </w:rPr>
        <w:t>Nevertheless, t</w:t>
      </w:r>
      <w:r w:rsidR="006D57B0">
        <w:rPr>
          <w:rFonts w:cs="Arial"/>
          <w:color w:val="000000" w:themeColor="text1"/>
          <w:lang w:val="en"/>
        </w:rPr>
        <w:t>he higher</w:t>
      </w:r>
      <w:r w:rsidR="00BF714A">
        <w:rPr>
          <w:rFonts w:cs="Arial"/>
          <w:color w:val="000000" w:themeColor="text1"/>
          <w:lang w:val="en"/>
        </w:rPr>
        <w:t xml:space="preserve"> </w:t>
      </w:r>
      <w:r w:rsidR="00BF714A" w:rsidRPr="00A83190">
        <w:rPr>
          <w:rFonts w:cs="Arial"/>
          <w:color w:val="000000" w:themeColor="text1"/>
          <w:lang w:val="en"/>
        </w:rPr>
        <w:t xml:space="preserve">Aboriginal </w:t>
      </w:r>
      <w:r w:rsidR="00BF714A">
        <w:rPr>
          <w:rFonts w:cs="Arial"/>
          <w:color w:val="000000" w:themeColor="text1"/>
          <w:lang w:val="en"/>
        </w:rPr>
        <w:t>Victorian</w:t>
      </w:r>
      <w:r w:rsidR="006D57B0">
        <w:rPr>
          <w:rFonts w:cs="Arial"/>
          <w:color w:val="000000" w:themeColor="text1"/>
          <w:lang w:val="en"/>
        </w:rPr>
        <w:t xml:space="preserve"> incidence rate</w:t>
      </w:r>
      <w:r w:rsidR="0001046D">
        <w:rPr>
          <w:rFonts w:cs="Arial"/>
          <w:color w:val="000000" w:themeColor="text1"/>
          <w:lang w:val="en"/>
        </w:rPr>
        <w:t>,</w:t>
      </w:r>
      <w:r w:rsidR="006D57B0">
        <w:rPr>
          <w:rFonts w:cs="Arial"/>
          <w:color w:val="000000" w:themeColor="text1"/>
          <w:lang w:val="en"/>
        </w:rPr>
        <w:t xml:space="preserve"> </w:t>
      </w:r>
      <w:r w:rsidR="00414FA1">
        <w:rPr>
          <w:rFonts w:cs="Arial"/>
          <w:color w:val="000000" w:themeColor="text1"/>
          <w:lang w:val="en"/>
        </w:rPr>
        <w:t>which increased from 5</w:t>
      </w:r>
      <w:r w:rsidR="000A3F6A">
        <w:rPr>
          <w:rFonts w:cs="Arial"/>
          <w:color w:val="000000" w:themeColor="text1"/>
          <w:lang w:val="en"/>
        </w:rPr>
        <w:t>11</w:t>
      </w:r>
      <w:r w:rsidR="00414FA1">
        <w:rPr>
          <w:rFonts w:cs="Arial"/>
          <w:color w:val="000000" w:themeColor="text1"/>
          <w:lang w:val="en"/>
        </w:rPr>
        <w:t xml:space="preserve"> per 100,000 population in 201</w:t>
      </w:r>
      <w:r w:rsidR="000A3F6A">
        <w:rPr>
          <w:rFonts w:cs="Arial"/>
          <w:color w:val="000000" w:themeColor="text1"/>
          <w:lang w:val="en"/>
        </w:rPr>
        <w:t>4</w:t>
      </w:r>
      <w:r w:rsidR="00414FA1">
        <w:rPr>
          <w:rFonts w:cs="Arial"/>
          <w:color w:val="000000" w:themeColor="text1"/>
          <w:lang w:val="en"/>
        </w:rPr>
        <w:t xml:space="preserve"> to 594 per 100,000 population in 2017</w:t>
      </w:r>
      <w:r w:rsidR="0001046D">
        <w:rPr>
          <w:rFonts w:cs="Arial"/>
          <w:color w:val="000000" w:themeColor="text1"/>
          <w:lang w:val="en"/>
        </w:rPr>
        <w:t>,</w:t>
      </w:r>
      <w:r w:rsidR="00414FA1">
        <w:rPr>
          <w:rFonts w:cs="Arial"/>
          <w:color w:val="000000" w:themeColor="text1"/>
          <w:lang w:val="en"/>
        </w:rPr>
        <w:t xml:space="preserve"> </w:t>
      </w:r>
      <w:r w:rsidR="006D57B0">
        <w:rPr>
          <w:rFonts w:cs="Arial"/>
          <w:color w:val="000000" w:themeColor="text1"/>
          <w:lang w:val="en"/>
        </w:rPr>
        <w:t xml:space="preserve">may also be </w:t>
      </w:r>
      <w:r w:rsidR="006D57B0">
        <w:rPr>
          <w:rFonts w:cs="Arial"/>
          <w:color w:val="000000" w:themeColor="text1"/>
          <w:lang w:val="en"/>
        </w:rPr>
        <w:lastRenderedPageBreak/>
        <w:t>related to high prevalence of preventable causal risk factors such as</w:t>
      </w:r>
      <w:r w:rsidR="006D57B0">
        <w:rPr>
          <w:lang w:val="en"/>
        </w:rPr>
        <w:t xml:space="preserve"> smoking, alcohol consumption and </w:t>
      </w:r>
      <w:r w:rsidR="001B50BF">
        <w:rPr>
          <w:lang w:val="en"/>
        </w:rPr>
        <w:t>h</w:t>
      </w:r>
      <w:r w:rsidR="006D57B0">
        <w:rPr>
          <w:lang w:val="en"/>
        </w:rPr>
        <w:t xml:space="preserve">epatitis B infection, along with lower participation in cancer screening </w:t>
      </w:r>
      <w:r w:rsidR="00607AAA">
        <w:rPr>
          <w:lang w:val="en"/>
        </w:rPr>
        <w:t xml:space="preserve">among </w:t>
      </w:r>
      <w:r w:rsidR="00414FA1">
        <w:rPr>
          <w:lang w:val="en"/>
        </w:rPr>
        <w:t>Aboriginal</w:t>
      </w:r>
      <w:r w:rsidR="006D57B0">
        <w:rPr>
          <w:lang w:val="en"/>
        </w:rPr>
        <w:t xml:space="preserve"> Victorians.</w:t>
      </w:r>
    </w:p>
    <w:p w14:paraId="05958DF8" w14:textId="58D143C6" w:rsidR="005C7FDD" w:rsidRPr="005C7FDD" w:rsidRDefault="005C7FDD" w:rsidP="006D57B0">
      <w:pPr>
        <w:pStyle w:val="DHHSbody"/>
        <w:rPr>
          <w:rFonts w:cs="Arial"/>
          <w:color w:val="000000" w:themeColor="text1"/>
          <w:lang w:eastAsia="en-AU"/>
        </w:rPr>
      </w:pPr>
      <w:r>
        <w:rPr>
          <w:rFonts w:cs="Arial"/>
          <w:color w:val="000000" w:themeColor="text1"/>
          <w:lang w:eastAsia="en-AU"/>
        </w:rPr>
        <w:t xml:space="preserve">Figure 1.1.1 shows that metropolitan ICS had lower rates compared </w:t>
      </w:r>
      <w:r w:rsidR="001B50BF">
        <w:rPr>
          <w:rFonts w:cs="Arial"/>
          <w:color w:val="000000" w:themeColor="text1"/>
          <w:lang w:eastAsia="en-AU"/>
        </w:rPr>
        <w:t xml:space="preserve">with </w:t>
      </w:r>
      <w:r>
        <w:rPr>
          <w:rFonts w:cs="Arial"/>
          <w:color w:val="000000" w:themeColor="text1"/>
          <w:lang w:eastAsia="en-AU"/>
        </w:rPr>
        <w:t>the regional/rural ICSs</w:t>
      </w:r>
      <w:r w:rsidR="00607AAA">
        <w:rPr>
          <w:rFonts w:cs="Arial"/>
          <w:color w:val="000000" w:themeColor="text1"/>
          <w:lang w:eastAsia="en-AU"/>
        </w:rPr>
        <w:t>,</w:t>
      </w:r>
      <w:r>
        <w:rPr>
          <w:rFonts w:cs="Arial"/>
          <w:color w:val="000000" w:themeColor="text1"/>
          <w:lang w:eastAsia="en-AU"/>
        </w:rPr>
        <w:t xml:space="preserve"> which reported an increase in incidence rates over the analysis period, suggesting that the burden of preventable cancers was inequitably distributed across Victoria</w:t>
      </w:r>
      <w:r w:rsidRPr="00EE51DC">
        <w:rPr>
          <w:rFonts w:cs="Arial"/>
          <w:color w:val="000000" w:themeColor="text1"/>
          <w:lang w:eastAsia="en-AU"/>
        </w:rPr>
        <w:t xml:space="preserve">. </w:t>
      </w:r>
    </w:p>
    <w:p w14:paraId="16740E16" w14:textId="67722E16" w:rsidR="00FD5129" w:rsidRPr="00AB4A70" w:rsidRDefault="00701337" w:rsidP="006D57B0">
      <w:pPr>
        <w:pStyle w:val="DHHSbody"/>
        <w:rPr>
          <w:rFonts w:cs="Arial"/>
          <w:color w:val="000000" w:themeColor="text1"/>
          <w:highlight w:val="green"/>
          <w:lang w:eastAsia="en-AU"/>
        </w:rPr>
      </w:pPr>
      <w:r w:rsidRPr="001F03E2">
        <w:rPr>
          <w:rFonts w:cs="Arial"/>
          <w:color w:val="000000" w:themeColor="text1"/>
          <w:lang w:eastAsia="en-AU"/>
        </w:rPr>
        <w:t>Figures 1.1.</w:t>
      </w:r>
      <w:r w:rsidR="005C7FDD">
        <w:rPr>
          <w:rFonts w:cs="Arial"/>
          <w:color w:val="000000" w:themeColor="text1"/>
          <w:lang w:eastAsia="en-AU"/>
        </w:rPr>
        <w:t>2</w:t>
      </w:r>
      <w:r w:rsidRPr="001F03E2">
        <w:rPr>
          <w:rFonts w:cs="Arial"/>
          <w:color w:val="000000" w:themeColor="text1"/>
          <w:lang w:eastAsia="en-AU"/>
        </w:rPr>
        <w:t xml:space="preserve"> and 1.1.</w:t>
      </w:r>
      <w:r w:rsidR="005C7FDD">
        <w:rPr>
          <w:rFonts w:cs="Arial"/>
          <w:color w:val="000000" w:themeColor="text1"/>
          <w:lang w:eastAsia="en-AU"/>
        </w:rPr>
        <w:t>3</w:t>
      </w:r>
      <w:r w:rsidRPr="001F03E2">
        <w:rPr>
          <w:rFonts w:cs="Arial"/>
          <w:color w:val="000000" w:themeColor="text1"/>
          <w:lang w:eastAsia="en-AU"/>
        </w:rPr>
        <w:t xml:space="preserve"> visualise the geospatial distribution of the incidence </w:t>
      </w:r>
      <w:r w:rsidR="00D61C17">
        <w:rPr>
          <w:rFonts w:cs="Arial"/>
          <w:color w:val="000000" w:themeColor="text1"/>
          <w:lang w:eastAsia="en-AU"/>
        </w:rPr>
        <w:t xml:space="preserve">rate </w:t>
      </w:r>
      <w:r w:rsidRPr="001F03E2">
        <w:rPr>
          <w:rFonts w:cs="Arial"/>
          <w:color w:val="000000" w:themeColor="text1"/>
          <w:lang w:eastAsia="en-AU"/>
        </w:rPr>
        <w:t xml:space="preserve">of preventable cancers by </w:t>
      </w:r>
      <w:r w:rsidR="005D072A">
        <w:rPr>
          <w:rFonts w:cs="Arial"/>
          <w:color w:val="000000" w:themeColor="text1"/>
          <w:lang w:eastAsia="en-AU"/>
        </w:rPr>
        <w:t>LGA</w:t>
      </w:r>
      <w:r w:rsidRPr="001F03E2">
        <w:rPr>
          <w:rFonts w:cs="Arial"/>
          <w:color w:val="000000" w:themeColor="text1"/>
          <w:lang w:eastAsia="en-AU"/>
        </w:rPr>
        <w:t xml:space="preserve"> and show variations in ra</w:t>
      </w:r>
      <w:r w:rsidR="0001046D" w:rsidRPr="001F03E2">
        <w:rPr>
          <w:rFonts w:cs="Arial"/>
          <w:color w:val="000000" w:themeColor="text1"/>
          <w:lang w:eastAsia="en-AU"/>
        </w:rPr>
        <w:t xml:space="preserve">tes </w:t>
      </w:r>
      <w:r w:rsidR="001F03E2" w:rsidRPr="001F03E2">
        <w:rPr>
          <w:rFonts w:cs="Arial"/>
          <w:color w:val="000000" w:themeColor="text1"/>
          <w:lang w:eastAsia="en-AU"/>
        </w:rPr>
        <w:t>across</w:t>
      </w:r>
      <w:r w:rsidR="0001046D" w:rsidRPr="001F03E2">
        <w:rPr>
          <w:rFonts w:cs="Arial"/>
          <w:color w:val="000000" w:themeColor="text1"/>
          <w:lang w:eastAsia="en-AU"/>
        </w:rPr>
        <w:t xml:space="preserve"> Victoria between 201</w:t>
      </w:r>
      <w:r w:rsidR="000A3F6A">
        <w:rPr>
          <w:rFonts w:cs="Arial"/>
          <w:color w:val="000000" w:themeColor="text1"/>
          <w:lang w:eastAsia="en-AU"/>
        </w:rPr>
        <w:t>4</w:t>
      </w:r>
      <w:r w:rsidR="0001046D" w:rsidRPr="001F03E2">
        <w:rPr>
          <w:rFonts w:cs="Arial"/>
          <w:color w:val="000000" w:themeColor="text1"/>
          <w:lang w:eastAsia="en-AU"/>
        </w:rPr>
        <w:t xml:space="preserve"> and 2017</w:t>
      </w:r>
      <w:r w:rsidRPr="001F03E2">
        <w:rPr>
          <w:rFonts w:cs="Arial"/>
          <w:color w:val="000000" w:themeColor="text1"/>
          <w:lang w:eastAsia="en-AU"/>
        </w:rPr>
        <w:t>.</w:t>
      </w:r>
      <w:r w:rsidR="00165DC1" w:rsidRPr="001F03E2">
        <w:rPr>
          <w:rFonts w:cs="Arial"/>
          <w:color w:val="000000" w:themeColor="text1"/>
          <w:lang w:eastAsia="en-AU"/>
        </w:rPr>
        <w:t xml:space="preserve"> </w:t>
      </w:r>
      <w:r w:rsidR="00616AF1">
        <w:rPr>
          <w:rFonts w:cs="Arial"/>
          <w:color w:val="000000" w:themeColor="text1"/>
          <w:lang w:eastAsia="en-AU"/>
        </w:rPr>
        <w:t>Sixty-two</w:t>
      </w:r>
      <w:r w:rsidR="00796477">
        <w:rPr>
          <w:rFonts w:cs="Arial"/>
          <w:color w:val="000000" w:themeColor="text1"/>
          <w:lang w:eastAsia="en-AU"/>
        </w:rPr>
        <w:t xml:space="preserve"> per cent of the 79 Victorian </w:t>
      </w:r>
      <w:r w:rsidR="00796477" w:rsidRPr="00BC56E0">
        <w:rPr>
          <w:rFonts w:cs="Arial"/>
          <w:color w:val="000000" w:themeColor="text1"/>
          <w:lang w:eastAsia="en-AU"/>
        </w:rPr>
        <w:t xml:space="preserve">LGAs </w:t>
      </w:r>
      <w:r w:rsidR="00165DC1" w:rsidRPr="00BC56E0">
        <w:rPr>
          <w:rFonts w:cs="Arial"/>
          <w:color w:val="000000" w:themeColor="text1"/>
          <w:lang w:eastAsia="en-AU"/>
        </w:rPr>
        <w:t xml:space="preserve">had higher rates </w:t>
      </w:r>
      <w:r w:rsidR="00D61C17">
        <w:rPr>
          <w:rFonts w:cs="Arial"/>
          <w:color w:val="000000" w:themeColor="text1"/>
          <w:lang w:eastAsia="en-AU"/>
        </w:rPr>
        <w:t>of</w:t>
      </w:r>
      <w:r w:rsidR="00165DC1" w:rsidRPr="00BC56E0">
        <w:rPr>
          <w:rFonts w:cs="Arial"/>
          <w:color w:val="000000" w:themeColor="text1"/>
          <w:lang w:eastAsia="en-AU"/>
        </w:rPr>
        <w:t xml:space="preserve"> preventable cancers than the o</w:t>
      </w:r>
      <w:r w:rsidR="0001046D" w:rsidRPr="00BC56E0">
        <w:rPr>
          <w:rFonts w:cs="Arial"/>
          <w:color w:val="000000" w:themeColor="text1"/>
          <w:lang w:eastAsia="en-AU"/>
        </w:rPr>
        <w:t xml:space="preserve">verall rate </w:t>
      </w:r>
      <w:r w:rsidR="00796477" w:rsidRPr="00BC56E0">
        <w:rPr>
          <w:rFonts w:cs="Arial"/>
          <w:color w:val="000000" w:themeColor="text1"/>
          <w:lang w:eastAsia="en-AU"/>
        </w:rPr>
        <w:t>(3</w:t>
      </w:r>
      <w:r w:rsidR="00616AF1">
        <w:rPr>
          <w:rFonts w:cs="Arial"/>
          <w:color w:val="000000" w:themeColor="text1"/>
          <w:lang w:eastAsia="en-AU"/>
        </w:rPr>
        <w:t>40</w:t>
      </w:r>
      <w:r w:rsidR="00796477" w:rsidRPr="00BC56E0">
        <w:rPr>
          <w:rFonts w:cs="Arial"/>
          <w:color w:val="000000" w:themeColor="text1"/>
          <w:lang w:eastAsia="en-AU"/>
        </w:rPr>
        <w:t xml:space="preserve"> per 100,000 population) </w:t>
      </w:r>
      <w:r w:rsidR="0001046D" w:rsidRPr="00BC56E0">
        <w:rPr>
          <w:rFonts w:cs="Arial"/>
          <w:color w:val="000000" w:themeColor="text1"/>
          <w:lang w:eastAsia="en-AU"/>
        </w:rPr>
        <w:t>for Victoria in 201</w:t>
      </w:r>
      <w:r w:rsidR="00616AF1">
        <w:rPr>
          <w:rFonts w:cs="Arial"/>
          <w:color w:val="000000" w:themeColor="text1"/>
          <w:lang w:eastAsia="en-AU"/>
        </w:rPr>
        <w:t>4</w:t>
      </w:r>
      <w:r w:rsidR="00796477" w:rsidRPr="00BC56E0">
        <w:rPr>
          <w:rFonts w:cs="Arial"/>
          <w:color w:val="000000" w:themeColor="text1"/>
          <w:lang w:eastAsia="en-AU"/>
        </w:rPr>
        <w:t>.</w:t>
      </w:r>
      <w:r w:rsidR="0001046D" w:rsidRPr="00BC56E0">
        <w:rPr>
          <w:rFonts w:cs="Arial"/>
          <w:color w:val="000000" w:themeColor="text1"/>
          <w:lang w:eastAsia="en-AU"/>
        </w:rPr>
        <w:t xml:space="preserve"> </w:t>
      </w:r>
      <w:r w:rsidR="00616AF1">
        <w:rPr>
          <w:rFonts w:cs="Arial"/>
          <w:color w:val="000000" w:themeColor="text1"/>
          <w:lang w:eastAsia="en-AU"/>
        </w:rPr>
        <w:t xml:space="preserve">Gannawarra Shire </w:t>
      </w:r>
      <w:r w:rsidR="00796477" w:rsidRPr="00BC56E0">
        <w:rPr>
          <w:rFonts w:cs="Arial"/>
          <w:color w:val="000000" w:themeColor="text1"/>
          <w:lang w:eastAsia="en-AU"/>
        </w:rPr>
        <w:t>LGA reported the highest incidence rate (47</w:t>
      </w:r>
      <w:r w:rsidR="00616AF1">
        <w:rPr>
          <w:rFonts w:cs="Arial"/>
          <w:color w:val="000000" w:themeColor="text1"/>
          <w:lang w:eastAsia="en-AU"/>
        </w:rPr>
        <w:t>9</w:t>
      </w:r>
      <w:r w:rsidR="00796477" w:rsidRPr="00BC56E0">
        <w:rPr>
          <w:rFonts w:cs="Arial"/>
          <w:color w:val="000000" w:themeColor="text1"/>
          <w:lang w:eastAsia="en-AU"/>
        </w:rPr>
        <w:t xml:space="preserve"> per 100,000 population) </w:t>
      </w:r>
      <w:r w:rsidR="005D44E9">
        <w:rPr>
          <w:rFonts w:cs="Arial"/>
          <w:color w:val="000000" w:themeColor="text1"/>
          <w:lang w:eastAsia="en-AU"/>
        </w:rPr>
        <w:t>and</w:t>
      </w:r>
      <w:r w:rsidR="00796477" w:rsidRPr="00BC56E0">
        <w:rPr>
          <w:rFonts w:cs="Arial"/>
          <w:color w:val="000000" w:themeColor="text1"/>
          <w:lang w:eastAsia="en-AU"/>
        </w:rPr>
        <w:t xml:space="preserve"> </w:t>
      </w:r>
      <w:r w:rsidR="00616AF1">
        <w:rPr>
          <w:rFonts w:cs="Arial"/>
          <w:color w:val="000000" w:themeColor="text1"/>
          <w:lang w:eastAsia="en-AU"/>
        </w:rPr>
        <w:t xml:space="preserve">Queenscliffe Borough </w:t>
      </w:r>
      <w:r w:rsidR="003A7879" w:rsidRPr="00BC56E0">
        <w:rPr>
          <w:rFonts w:cs="Arial"/>
          <w:color w:val="000000" w:themeColor="text1"/>
          <w:lang w:eastAsia="en-AU"/>
        </w:rPr>
        <w:t>LGA the lowest incidence rate (2</w:t>
      </w:r>
      <w:r w:rsidR="00616AF1">
        <w:rPr>
          <w:rFonts w:cs="Arial"/>
          <w:color w:val="000000" w:themeColor="text1"/>
          <w:lang w:eastAsia="en-AU"/>
        </w:rPr>
        <w:t>41</w:t>
      </w:r>
      <w:r w:rsidR="003A7879" w:rsidRPr="00BC56E0">
        <w:rPr>
          <w:rFonts w:cs="Arial"/>
          <w:color w:val="000000" w:themeColor="text1"/>
          <w:lang w:eastAsia="en-AU"/>
        </w:rPr>
        <w:t xml:space="preserve"> per 100,000 population) in 201</w:t>
      </w:r>
      <w:r w:rsidR="00616AF1">
        <w:rPr>
          <w:rFonts w:cs="Arial"/>
          <w:color w:val="000000" w:themeColor="text1"/>
          <w:lang w:eastAsia="en-AU"/>
        </w:rPr>
        <w:t>4</w:t>
      </w:r>
      <w:r w:rsidR="005D44E9">
        <w:rPr>
          <w:rFonts w:cs="Arial"/>
          <w:color w:val="000000" w:themeColor="text1"/>
          <w:lang w:eastAsia="en-AU"/>
        </w:rPr>
        <w:t xml:space="preserve"> (Figure 1.1.</w:t>
      </w:r>
      <w:r w:rsidR="005C7FDD">
        <w:rPr>
          <w:rFonts w:cs="Arial"/>
          <w:color w:val="000000" w:themeColor="text1"/>
          <w:lang w:eastAsia="en-AU"/>
        </w:rPr>
        <w:t>2</w:t>
      </w:r>
      <w:r w:rsidR="005D44E9">
        <w:rPr>
          <w:rFonts w:cs="Arial"/>
          <w:color w:val="000000" w:themeColor="text1"/>
          <w:lang w:eastAsia="en-AU"/>
        </w:rPr>
        <w:t>)</w:t>
      </w:r>
      <w:r w:rsidR="003A7879" w:rsidRPr="00BC56E0">
        <w:rPr>
          <w:rFonts w:cs="Arial"/>
          <w:color w:val="000000" w:themeColor="text1"/>
          <w:lang w:eastAsia="en-AU"/>
        </w:rPr>
        <w:t>.</w:t>
      </w:r>
      <w:r w:rsidR="00952FC7">
        <w:rPr>
          <w:rFonts w:cs="Arial"/>
          <w:color w:val="000000" w:themeColor="text1"/>
          <w:lang w:eastAsia="en-AU"/>
        </w:rPr>
        <w:t xml:space="preserve"> </w:t>
      </w:r>
      <w:r w:rsidR="00BC56E0" w:rsidRPr="00BC56E0">
        <w:rPr>
          <w:rFonts w:cs="Arial"/>
          <w:color w:val="000000" w:themeColor="text1"/>
          <w:lang w:eastAsia="en-AU"/>
        </w:rPr>
        <w:t>By comparison, 57 per cent of the 79 LGAs had high</w:t>
      </w:r>
      <w:r w:rsidR="00B55FF0">
        <w:rPr>
          <w:rFonts w:cs="Arial"/>
          <w:color w:val="000000" w:themeColor="text1"/>
          <w:lang w:eastAsia="en-AU"/>
        </w:rPr>
        <w:t>er</w:t>
      </w:r>
      <w:r w:rsidR="00BC56E0" w:rsidRPr="00BC56E0">
        <w:rPr>
          <w:rFonts w:cs="Arial"/>
          <w:color w:val="000000" w:themeColor="text1"/>
          <w:lang w:eastAsia="en-AU"/>
        </w:rPr>
        <w:t xml:space="preserve"> incidence rates </w:t>
      </w:r>
      <w:r w:rsidR="00D61C17">
        <w:rPr>
          <w:rFonts w:cs="Arial"/>
          <w:color w:val="000000" w:themeColor="text1"/>
          <w:lang w:eastAsia="en-AU"/>
        </w:rPr>
        <w:t>of</w:t>
      </w:r>
      <w:r w:rsidR="00BC56E0" w:rsidRPr="00BC56E0">
        <w:rPr>
          <w:rFonts w:cs="Arial"/>
          <w:color w:val="000000" w:themeColor="text1"/>
          <w:lang w:eastAsia="en-AU"/>
        </w:rPr>
        <w:t xml:space="preserve"> preventable cancers than the overall rate (339 per 100,000 population) for Victoria in 2017.</w:t>
      </w:r>
      <w:r w:rsidR="005D44E9">
        <w:rPr>
          <w:rFonts w:cs="Arial"/>
          <w:color w:val="000000" w:themeColor="text1"/>
          <w:lang w:eastAsia="en-AU"/>
        </w:rPr>
        <w:t xml:space="preserve"> Strathbogie Shire LGA reported the highest incidence rate (477 per 100,000 population) and the Pyrenees Shire LGA the lowest (259 per 100,000 population in 2017 (Figure 1.1.</w:t>
      </w:r>
      <w:r w:rsidR="005C7FDD">
        <w:rPr>
          <w:rFonts w:cs="Arial"/>
          <w:color w:val="000000" w:themeColor="text1"/>
          <w:lang w:eastAsia="en-AU"/>
        </w:rPr>
        <w:t>3</w:t>
      </w:r>
      <w:r w:rsidR="005D44E9">
        <w:rPr>
          <w:rFonts w:cs="Arial"/>
          <w:color w:val="000000" w:themeColor="text1"/>
          <w:lang w:eastAsia="en-AU"/>
        </w:rPr>
        <w:t>)</w:t>
      </w:r>
      <w:r w:rsidR="00AB4A70">
        <w:rPr>
          <w:rFonts w:cs="Arial"/>
          <w:color w:val="000000" w:themeColor="text1"/>
          <w:lang w:eastAsia="en-AU"/>
        </w:rPr>
        <w:t>.</w:t>
      </w:r>
      <w:r w:rsidR="00952FC7">
        <w:rPr>
          <w:rFonts w:cs="Arial"/>
          <w:color w:val="000000" w:themeColor="text1"/>
          <w:lang w:eastAsia="en-AU"/>
        </w:rPr>
        <w:t xml:space="preserve"> </w:t>
      </w:r>
      <w:r w:rsidR="00AB4A70">
        <w:rPr>
          <w:rFonts w:cs="Arial"/>
          <w:color w:val="000000" w:themeColor="text1"/>
          <w:lang w:eastAsia="en-AU"/>
        </w:rPr>
        <w:t xml:space="preserve">Overall, </w:t>
      </w:r>
      <w:r w:rsidR="00AB4A70" w:rsidRPr="00AB4A70">
        <w:rPr>
          <w:rFonts w:cs="Arial"/>
          <w:color w:val="000000" w:themeColor="text1"/>
          <w:lang w:eastAsia="en-AU"/>
        </w:rPr>
        <w:t>m</w:t>
      </w:r>
      <w:r w:rsidR="00CD7585" w:rsidRPr="00AB4A70">
        <w:rPr>
          <w:rFonts w:cs="Arial"/>
          <w:color w:val="000000" w:themeColor="text1"/>
          <w:lang w:eastAsia="en-AU"/>
        </w:rPr>
        <w:t xml:space="preserve">ost of the </w:t>
      </w:r>
      <w:r w:rsidR="00AB4A70" w:rsidRPr="00AB4A70">
        <w:rPr>
          <w:rFonts w:cs="Arial"/>
          <w:color w:val="000000" w:themeColor="text1"/>
          <w:lang w:eastAsia="en-AU"/>
        </w:rPr>
        <w:t xml:space="preserve">79 LGAs </w:t>
      </w:r>
      <w:r w:rsidR="00CD7585" w:rsidRPr="00AB4A70">
        <w:rPr>
          <w:rFonts w:cs="Arial"/>
          <w:color w:val="000000" w:themeColor="text1"/>
          <w:lang w:eastAsia="en-AU"/>
        </w:rPr>
        <w:t xml:space="preserve">reported slight </w:t>
      </w:r>
      <w:r w:rsidR="00224B68" w:rsidRPr="00AB4A70">
        <w:rPr>
          <w:rFonts w:cs="Arial"/>
          <w:color w:val="000000" w:themeColor="text1"/>
          <w:lang w:eastAsia="en-AU"/>
        </w:rPr>
        <w:t>fluctuations</w:t>
      </w:r>
      <w:r w:rsidR="00CD7585" w:rsidRPr="00AB4A70">
        <w:rPr>
          <w:rFonts w:cs="Arial"/>
          <w:color w:val="000000" w:themeColor="text1"/>
          <w:lang w:eastAsia="en-AU"/>
        </w:rPr>
        <w:t xml:space="preserve"> in</w:t>
      </w:r>
      <w:r w:rsidR="0001046D" w:rsidRPr="00AB4A70">
        <w:rPr>
          <w:rFonts w:cs="Arial"/>
          <w:color w:val="000000" w:themeColor="text1"/>
          <w:lang w:eastAsia="en-AU"/>
        </w:rPr>
        <w:t xml:space="preserve"> the incidence rate between 201</w:t>
      </w:r>
      <w:r w:rsidR="00616AF1">
        <w:rPr>
          <w:rFonts w:cs="Arial"/>
          <w:color w:val="000000" w:themeColor="text1"/>
          <w:lang w:eastAsia="en-AU"/>
        </w:rPr>
        <w:t>4</w:t>
      </w:r>
      <w:r w:rsidR="0001046D" w:rsidRPr="00AB4A70">
        <w:rPr>
          <w:rFonts w:cs="Arial"/>
          <w:color w:val="000000" w:themeColor="text1"/>
          <w:lang w:eastAsia="en-AU"/>
        </w:rPr>
        <w:t xml:space="preserve"> and 2017</w:t>
      </w:r>
      <w:r w:rsidR="00CD7585" w:rsidRPr="00AB4A70">
        <w:rPr>
          <w:rFonts w:cs="Arial"/>
          <w:color w:val="000000" w:themeColor="text1"/>
          <w:lang w:eastAsia="en-AU"/>
        </w:rPr>
        <w:t xml:space="preserve"> but the most significant was the </w:t>
      </w:r>
      <w:r w:rsidR="00224B68" w:rsidRPr="00AB4A70">
        <w:rPr>
          <w:rFonts w:cs="Arial"/>
          <w:color w:val="000000" w:themeColor="text1"/>
          <w:lang w:eastAsia="en-AU"/>
        </w:rPr>
        <w:t xml:space="preserve">Alpine Shire </w:t>
      </w:r>
      <w:r w:rsidR="00472E70">
        <w:rPr>
          <w:rFonts w:cs="Arial"/>
          <w:color w:val="000000" w:themeColor="text1"/>
          <w:lang w:eastAsia="en-AU"/>
        </w:rPr>
        <w:t>(rural LGA)</w:t>
      </w:r>
      <w:r w:rsidR="00607AAA">
        <w:rPr>
          <w:rFonts w:cs="Arial"/>
          <w:color w:val="000000" w:themeColor="text1"/>
          <w:lang w:eastAsia="en-AU"/>
        </w:rPr>
        <w:t>,</w:t>
      </w:r>
      <w:r w:rsidR="00472E70">
        <w:rPr>
          <w:rFonts w:cs="Arial"/>
          <w:color w:val="000000" w:themeColor="text1"/>
          <w:lang w:eastAsia="en-AU"/>
        </w:rPr>
        <w:t xml:space="preserve"> </w:t>
      </w:r>
      <w:r w:rsidR="00224B68" w:rsidRPr="00AB4A70">
        <w:rPr>
          <w:rFonts w:cs="Arial"/>
          <w:color w:val="000000" w:themeColor="text1"/>
          <w:lang w:eastAsia="en-AU"/>
        </w:rPr>
        <w:t>which reported a dramatic decrease from 3</w:t>
      </w:r>
      <w:r w:rsidR="00616AF1">
        <w:rPr>
          <w:rFonts w:cs="Arial"/>
          <w:color w:val="000000" w:themeColor="text1"/>
          <w:lang w:eastAsia="en-AU"/>
        </w:rPr>
        <w:t>4</w:t>
      </w:r>
      <w:r w:rsidR="00EE51DC" w:rsidRPr="00AB4A70">
        <w:rPr>
          <w:rFonts w:cs="Arial"/>
          <w:color w:val="000000" w:themeColor="text1"/>
          <w:lang w:eastAsia="en-AU"/>
        </w:rPr>
        <w:t>1</w:t>
      </w:r>
      <w:r w:rsidR="00224B68" w:rsidRPr="00AB4A70">
        <w:rPr>
          <w:rFonts w:cs="Arial"/>
          <w:color w:val="000000" w:themeColor="text1"/>
          <w:lang w:eastAsia="en-AU"/>
        </w:rPr>
        <w:t xml:space="preserve"> per 100,000 population in 201</w:t>
      </w:r>
      <w:r w:rsidR="00616AF1">
        <w:rPr>
          <w:rFonts w:cs="Arial"/>
          <w:color w:val="000000" w:themeColor="text1"/>
          <w:lang w:eastAsia="en-AU"/>
        </w:rPr>
        <w:t>4</w:t>
      </w:r>
      <w:r w:rsidR="00224B68" w:rsidRPr="00AB4A70">
        <w:rPr>
          <w:rFonts w:cs="Arial"/>
          <w:color w:val="000000" w:themeColor="text1"/>
          <w:lang w:eastAsia="en-AU"/>
        </w:rPr>
        <w:t xml:space="preserve"> to </w:t>
      </w:r>
      <w:r w:rsidR="00EE51DC" w:rsidRPr="00AB4A70">
        <w:rPr>
          <w:rFonts w:cs="Arial"/>
          <w:color w:val="000000" w:themeColor="text1"/>
          <w:lang w:eastAsia="en-AU"/>
        </w:rPr>
        <w:t>315</w:t>
      </w:r>
      <w:r w:rsidR="00224B68" w:rsidRPr="00AB4A70">
        <w:rPr>
          <w:rFonts w:cs="Arial"/>
          <w:color w:val="000000" w:themeColor="text1"/>
          <w:lang w:eastAsia="en-AU"/>
        </w:rPr>
        <w:t xml:space="preserve"> per 100,000 population in 201</w:t>
      </w:r>
      <w:r w:rsidR="00EE51DC" w:rsidRPr="00AB4A70">
        <w:rPr>
          <w:rFonts w:cs="Arial"/>
          <w:color w:val="000000" w:themeColor="text1"/>
          <w:lang w:eastAsia="en-AU"/>
        </w:rPr>
        <w:t>7</w:t>
      </w:r>
      <w:r w:rsidR="00224B68" w:rsidRPr="00AB4A70">
        <w:rPr>
          <w:rFonts w:cs="Arial"/>
          <w:color w:val="000000" w:themeColor="text1"/>
          <w:lang w:eastAsia="en-AU"/>
        </w:rPr>
        <w:t>.</w:t>
      </w:r>
    </w:p>
    <w:p w14:paraId="54C5D36B" w14:textId="78273275" w:rsidR="009A2DF4" w:rsidRPr="00C47A3C" w:rsidRDefault="00383E76" w:rsidP="00C47A3C">
      <w:pPr>
        <w:shd w:val="clear" w:color="auto" w:fill="FFFFFF"/>
        <w:spacing w:after="120" w:line="270" w:lineRule="atLeast"/>
        <w:rPr>
          <w:rFonts w:ascii="Arial" w:hAnsi="Arial" w:cs="Arial"/>
          <w:color w:val="000000"/>
          <w:lang w:val="en-US"/>
        </w:rPr>
      </w:pPr>
      <w:r w:rsidRPr="00403451">
        <w:rPr>
          <w:rStyle w:val="DHHSbodyChar"/>
        </w:rPr>
        <w:t>The target</w:t>
      </w:r>
      <w:r w:rsidR="00076615" w:rsidRPr="00403451">
        <w:rPr>
          <w:rStyle w:val="DHHSbodyChar"/>
        </w:rPr>
        <w:t xml:space="preserve"> set</w:t>
      </w:r>
      <w:r w:rsidRPr="00403451">
        <w:rPr>
          <w:rStyle w:val="DHHSbodyChar"/>
        </w:rPr>
        <w:t xml:space="preserve"> for this measure is </w:t>
      </w:r>
      <w:r w:rsidR="003E23C0" w:rsidRPr="00403451">
        <w:rPr>
          <w:rStyle w:val="DHHSbodyChar"/>
        </w:rPr>
        <w:t xml:space="preserve">that the proportion of Victorians diagnosed with preventable cancers is halved by 2040 from the </w:t>
      </w:r>
      <w:r w:rsidR="001150F9" w:rsidRPr="00403451">
        <w:rPr>
          <w:rStyle w:val="DHHSbodyChar"/>
        </w:rPr>
        <w:t>baseline</w:t>
      </w:r>
      <w:r w:rsidR="00AA2D1E" w:rsidRPr="00403451">
        <w:rPr>
          <w:rStyle w:val="DHHSbodyChar"/>
        </w:rPr>
        <w:t>.</w:t>
      </w:r>
      <w:r w:rsidR="00952FC7" w:rsidRPr="00403451">
        <w:rPr>
          <w:rStyle w:val="DHHSbodyChar"/>
        </w:rPr>
        <w:t xml:space="preserve"> </w:t>
      </w:r>
      <w:r w:rsidR="00AA2D1E" w:rsidRPr="00403451">
        <w:rPr>
          <w:rStyle w:val="DHHSbodyChar"/>
        </w:rPr>
        <w:t>Currently Victoria</w:t>
      </w:r>
      <w:r w:rsidR="001150F9" w:rsidRPr="00403451">
        <w:rPr>
          <w:rStyle w:val="DHHSbodyChar"/>
        </w:rPr>
        <w:t xml:space="preserve"> </w:t>
      </w:r>
      <w:r w:rsidR="00404C9F" w:rsidRPr="00403451">
        <w:rPr>
          <w:rStyle w:val="DHHSbodyChar"/>
        </w:rPr>
        <w:t>is not on track</w:t>
      </w:r>
      <w:r w:rsidR="0053048C" w:rsidRPr="00403451">
        <w:rPr>
          <w:rStyle w:val="DHHSbodyChar"/>
        </w:rPr>
        <w:t xml:space="preserve"> to meet this target</w:t>
      </w:r>
      <w:r w:rsidR="0053048C">
        <w:rPr>
          <w:rFonts w:ascii="Arial" w:hAnsi="Arial" w:cs="Arial"/>
          <w:color w:val="000000"/>
          <w:lang w:val="en-US"/>
        </w:rPr>
        <w:t>.</w:t>
      </w:r>
      <w:r w:rsidR="009A2DF4">
        <w:br w:type="page"/>
      </w:r>
    </w:p>
    <w:p w14:paraId="34965FDD" w14:textId="3FDA266E" w:rsidR="00E10792" w:rsidRDefault="00E8458B" w:rsidP="00E10792">
      <w:pPr>
        <w:pStyle w:val="Heading3"/>
        <w:rPr>
          <w:lang w:eastAsia="en-AU"/>
        </w:rPr>
      </w:pPr>
      <w:bookmarkStart w:id="75" w:name="_Measure_1.2_–"/>
      <w:bookmarkStart w:id="76" w:name="_Toc19007992"/>
      <w:bookmarkEnd w:id="75"/>
      <w:r>
        <w:rPr>
          <w:lang w:eastAsia="en-AU"/>
        </w:rPr>
        <w:lastRenderedPageBreak/>
        <w:t xml:space="preserve">Measure 1.2 – </w:t>
      </w:r>
      <w:r w:rsidR="006624DA">
        <w:rPr>
          <w:lang w:eastAsia="en-AU"/>
        </w:rPr>
        <w:t xml:space="preserve">Lifetime risk of cancer before the age of </w:t>
      </w:r>
      <w:r w:rsidR="00D01BB7">
        <w:rPr>
          <w:lang w:eastAsia="en-AU"/>
        </w:rPr>
        <w:t>8</w:t>
      </w:r>
      <w:r w:rsidR="006624DA">
        <w:rPr>
          <w:lang w:eastAsia="en-AU"/>
        </w:rPr>
        <w:t>5 years</w:t>
      </w:r>
      <w:bookmarkEnd w:id="76"/>
    </w:p>
    <w:p w14:paraId="3BC3C1A1" w14:textId="1B3FD8FF" w:rsidR="009A2DF4" w:rsidRPr="00D01BB7" w:rsidRDefault="00C708FF" w:rsidP="00FA314C">
      <w:pPr>
        <w:pStyle w:val="DHHSfigurecaption"/>
      </w:pPr>
      <w:bookmarkStart w:id="77" w:name="_Toc19007993"/>
      <w:bookmarkStart w:id="78" w:name="_Toc19008254"/>
      <w:bookmarkStart w:id="79" w:name="_Toc19008401"/>
      <w:bookmarkStart w:id="80" w:name="_Toc19008548"/>
      <w:bookmarkStart w:id="81" w:name="_Toc27414251"/>
      <w:r w:rsidRPr="00806513">
        <w:t>Figure 1.2</w:t>
      </w:r>
      <w:r w:rsidR="00A14570" w:rsidRPr="00806513">
        <w:t>:</w:t>
      </w:r>
      <w:r w:rsidR="00825D76" w:rsidRPr="00806513">
        <w:t xml:space="preserve"> Lifetime risk of cancer before the age of </w:t>
      </w:r>
      <w:r w:rsidR="00D01BB7" w:rsidRPr="00806513">
        <w:t>85</w:t>
      </w:r>
      <w:r w:rsidR="00825D76" w:rsidRPr="00806513">
        <w:t xml:space="preserve"> years by year, 201</w:t>
      </w:r>
      <w:r w:rsidR="00A61D0A" w:rsidRPr="00806513">
        <w:t>4</w:t>
      </w:r>
      <w:r w:rsidR="00825D76" w:rsidRPr="00806513">
        <w:t xml:space="preserve"> and 2017</w:t>
      </w:r>
      <w:bookmarkEnd w:id="77"/>
      <w:bookmarkEnd w:id="78"/>
      <w:bookmarkEnd w:id="79"/>
      <w:bookmarkEnd w:id="80"/>
      <w:bookmarkEnd w:id="81"/>
    </w:p>
    <w:p w14:paraId="0F6875D2" w14:textId="2C36FE0A" w:rsidR="0043559C" w:rsidRDefault="00285D7C" w:rsidP="00806513">
      <w:pPr>
        <w:autoSpaceDE w:val="0"/>
        <w:autoSpaceDN w:val="0"/>
        <w:adjustRightInd w:val="0"/>
        <w:ind w:hanging="284"/>
        <w:rPr>
          <w:rFonts w:ascii="Arial" w:hAnsi="Arial" w:cs="Arial"/>
        </w:rPr>
      </w:pPr>
      <w:r>
        <w:rPr>
          <w:rFonts w:ascii="Arial" w:hAnsi="Arial" w:cs="Arial"/>
          <w:noProof/>
        </w:rPr>
        <w:drawing>
          <wp:inline distT="0" distB="0" distL="0" distR="0" wp14:anchorId="65A5807E" wp14:editId="487352D5">
            <wp:extent cx="6703060" cy="6419850"/>
            <wp:effectExtent l="0" t="0" r="2540" b="0"/>
            <wp:docPr id="305" name="Picture 305" descr="This figure (presented as a forest plot) shows a data summary of 'Measure 1.2 – Lifetime risk of cancer before the age of 85 years'. The data is broken down by the following category: All Victorians, Aboriginal Victorians, sex, socioeconomic status and remoteness.  The data set is available under 'Measure 1.2 – Lifetime risk of cancer before the age of 85 years' in a separate volume, the Victorian cancer plan monitoring and evaluation framework: baseline report: Appendix 2: Datasets available on Cancer care &lt;https://www2.health.vic.gov.au/about/health-strategies/cancer-care&g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05767" cy="6422443"/>
                    </a:xfrm>
                    <a:prstGeom prst="rect">
                      <a:avLst/>
                    </a:prstGeom>
                    <a:noFill/>
                    <a:ln>
                      <a:noFill/>
                    </a:ln>
                  </pic:spPr>
                </pic:pic>
              </a:graphicData>
            </a:graphic>
          </wp:inline>
        </w:drawing>
      </w:r>
    </w:p>
    <w:p w14:paraId="4809E5AE" w14:textId="4EBD6C08" w:rsidR="00B11993" w:rsidRPr="0011089F" w:rsidRDefault="009A2DF4" w:rsidP="00FA1AAC">
      <w:pPr>
        <w:pStyle w:val="DHHStablefigurenote"/>
      </w:pPr>
      <w:r w:rsidRPr="003F5C49">
        <w:t>Note:</w:t>
      </w:r>
      <w:r w:rsidR="00250B73">
        <w:t xml:space="preserve"> </w:t>
      </w:r>
      <w:r>
        <w:t>R</w:t>
      </w:r>
      <w:r w:rsidRPr="003F5C49">
        <w:t xml:space="preserve">esults by </w:t>
      </w:r>
      <w:r w:rsidR="0011089F">
        <w:t xml:space="preserve">cultural diversity </w:t>
      </w:r>
      <w:r>
        <w:t xml:space="preserve">are not presented </w:t>
      </w:r>
      <w:r w:rsidR="00607AAA">
        <w:t>because</w:t>
      </w:r>
      <w:r w:rsidR="00607AAA" w:rsidRPr="003F5C49">
        <w:t xml:space="preserve"> </w:t>
      </w:r>
      <w:r w:rsidRPr="003F5C49">
        <w:t>the ERP does not estimate the population by</w:t>
      </w:r>
      <w:r w:rsidR="0011089F">
        <w:t xml:space="preserve"> cultural diversity</w:t>
      </w:r>
      <w:r w:rsidRPr="003F5C49">
        <w:t xml:space="preserve">, hence </w:t>
      </w:r>
      <w:r>
        <w:t>there is no</w:t>
      </w:r>
      <w:r w:rsidRPr="003F5C49">
        <w:t xml:space="preserve"> denominator for this variable.</w:t>
      </w:r>
      <w:r w:rsidR="00B11993" w:rsidRPr="0011089F">
        <w:rPr>
          <w:b/>
        </w:rPr>
        <w:br w:type="page"/>
      </w:r>
    </w:p>
    <w:p w14:paraId="71566EED" w14:textId="2CF942EC" w:rsidR="00E16B9A" w:rsidRDefault="006552B8" w:rsidP="00FA314C">
      <w:pPr>
        <w:pStyle w:val="DHHSfigurecaption"/>
      </w:pPr>
      <w:bookmarkStart w:id="82" w:name="_Toc19007994"/>
      <w:bookmarkStart w:id="83" w:name="_Toc19008255"/>
      <w:bookmarkStart w:id="84" w:name="_Toc19008402"/>
      <w:bookmarkStart w:id="85" w:name="_Toc19008549"/>
      <w:bookmarkStart w:id="86" w:name="_Toc27414252"/>
      <w:r w:rsidRPr="006552B8">
        <w:lastRenderedPageBreak/>
        <w:t>Figure 1.2.1</w:t>
      </w:r>
      <w:r w:rsidR="00A14570">
        <w:t>:</w:t>
      </w:r>
      <w:r w:rsidRPr="006552B8">
        <w:t xml:space="preserve"> Lifetime risk of developing cancer before the age of 85 years</w:t>
      </w:r>
      <w:r w:rsidR="00607AAA">
        <w:t>,</w:t>
      </w:r>
      <w:r w:rsidRPr="006552B8">
        <w:t xml:space="preserve"> by </w:t>
      </w:r>
      <w:r w:rsidR="008439C8">
        <w:t>ICS</w:t>
      </w:r>
      <w:r w:rsidRPr="006552B8">
        <w:t xml:space="preserve"> and year, 201</w:t>
      </w:r>
      <w:r w:rsidR="00675D23">
        <w:t>4</w:t>
      </w:r>
      <w:r w:rsidR="00A14570">
        <w:t>–</w:t>
      </w:r>
      <w:r w:rsidRPr="006552B8">
        <w:t>2017</w:t>
      </w:r>
      <w:bookmarkEnd w:id="82"/>
      <w:bookmarkEnd w:id="83"/>
      <w:bookmarkEnd w:id="84"/>
      <w:bookmarkEnd w:id="85"/>
      <w:bookmarkEnd w:id="86"/>
    </w:p>
    <w:p w14:paraId="28FE7A00" w14:textId="11DB3C30" w:rsidR="005C68DF" w:rsidRDefault="005C68DF" w:rsidP="00675D23">
      <w:pPr>
        <w:pStyle w:val="DHHSbody"/>
      </w:pPr>
      <w:r>
        <w:rPr>
          <w:noProof/>
        </w:rPr>
        <w:drawing>
          <wp:inline distT="0" distB="0" distL="0" distR="0" wp14:anchorId="2EC11068" wp14:editId="23A6C5B4">
            <wp:extent cx="6748780" cy="3048000"/>
            <wp:effectExtent l="0" t="0" r="0" b="0"/>
            <wp:docPr id="36" name="Picture 36" descr="This figure (bar graph) presents the lifetime risk of developing cancer before the age of 85 years  in Victoria by Integrated Cancer Service for the period 2014 to 2017. The data set is available under 'Measure 1.2 – Lifetime risk of cancer before the age of 85 yea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48780" cy="3048000"/>
                    </a:xfrm>
                    <a:prstGeom prst="rect">
                      <a:avLst/>
                    </a:prstGeom>
                    <a:noFill/>
                  </pic:spPr>
                </pic:pic>
              </a:graphicData>
            </a:graphic>
          </wp:inline>
        </w:drawing>
      </w:r>
    </w:p>
    <w:p w14:paraId="68137134" w14:textId="4DCF160E" w:rsidR="009A2DF4" w:rsidRPr="00E16B9A" w:rsidRDefault="00665D4B" w:rsidP="00E16B9A">
      <w:pPr>
        <w:autoSpaceDE w:val="0"/>
        <w:autoSpaceDN w:val="0"/>
        <w:adjustRightInd w:val="0"/>
        <w:rPr>
          <w:rFonts w:ascii="Arial" w:hAnsi="Arial" w:cs="Arial"/>
          <w:b/>
        </w:rPr>
      </w:pPr>
      <w:r w:rsidRPr="00FA2880">
        <w:rPr>
          <w:rStyle w:val="Heading4Char"/>
        </w:rPr>
        <w:t>Measure assessment</w:t>
      </w:r>
    </w:p>
    <w:p w14:paraId="57EF1A38" w14:textId="77777777" w:rsidR="00665D4B" w:rsidRDefault="00665D4B" w:rsidP="00E10792">
      <w:pPr>
        <w:autoSpaceDE w:val="0"/>
        <w:autoSpaceDN w:val="0"/>
        <w:adjustRightInd w:val="0"/>
        <w:rPr>
          <w:rFonts w:ascii="Arial" w:hAnsi="Arial" w:cs="Arial"/>
        </w:rPr>
      </w:pPr>
    </w:p>
    <w:p w14:paraId="7C70A03D" w14:textId="586DCE0F" w:rsidR="00E10792" w:rsidRPr="00EA3932" w:rsidRDefault="00E10792" w:rsidP="00E10792">
      <w:pPr>
        <w:autoSpaceDE w:val="0"/>
        <w:autoSpaceDN w:val="0"/>
        <w:adjustRightInd w:val="0"/>
        <w:rPr>
          <w:rFonts w:ascii="Arial" w:hAnsi="Arial" w:cs="Arial"/>
          <w:color w:val="C5511A"/>
        </w:rPr>
      </w:pPr>
      <w:r w:rsidRPr="009F01B1">
        <w:rPr>
          <w:rFonts w:ascii="Arial" w:hAnsi="Arial" w:cs="Arial"/>
        </w:rPr>
        <w:t xml:space="preserve">Traffic light rating: </w:t>
      </w:r>
      <w:r w:rsidR="00D01BB7"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07C03B56" w14:textId="77777777" w:rsidR="00E10792" w:rsidRDefault="00E10792" w:rsidP="00E10792">
      <w:pPr>
        <w:autoSpaceDE w:val="0"/>
        <w:autoSpaceDN w:val="0"/>
        <w:adjustRightInd w:val="0"/>
        <w:rPr>
          <w:rFonts w:ascii="Arial" w:hAnsi="Arial" w:cs="Arial"/>
        </w:rPr>
      </w:pPr>
    </w:p>
    <w:p w14:paraId="74B11526" w14:textId="5708635E" w:rsidR="00E10792" w:rsidRDefault="00E10792" w:rsidP="00E10792">
      <w:pPr>
        <w:autoSpaceDE w:val="0"/>
        <w:autoSpaceDN w:val="0"/>
        <w:adjustRightInd w:val="0"/>
        <w:rPr>
          <w:rFonts w:ascii="Arial" w:hAnsi="Arial" w:cs="Arial"/>
        </w:rPr>
      </w:pPr>
      <w:r w:rsidRPr="00C15AE4">
        <w:rPr>
          <w:rFonts w:ascii="Arial" w:hAnsi="Arial" w:cs="Arial"/>
        </w:rPr>
        <w:t xml:space="preserve">Overall trend: </w:t>
      </w:r>
      <w:r w:rsidR="00D01BB7">
        <w:rPr>
          <w:rFonts w:ascii="Arial" w:hAnsi="Arial" w:cs="Arial"/>
        </w:rPr>
        <w:t>Static or unchanging</w:t>
      </w:r>
    </w:p>
    <w:p w14:paraId="48855AE0" w14:textId="77777777" w:rsidR="00E10792" w:rsidRPr="003E5FD3" w:rsidRDefault="00E10792" w:rsidP="00E10792">
      <w:pPr>
        <w:autoSpaceDE w:val="0"/>
        <w:autoSpaceDN w:val="0"/>
        <w:adjustRightInd w:val="0"/>
        <w:rPr>
          <w:rFonts w:ascii="Arial" w:hAnsi="Arial" w:cs="Arial"/>
        </w:rPr>
      </w:pPr>
    </w:p>
    <w:p w14:paraId="39A93671" w14:textId="55238BD5" w:rsidR="007D1D00" w:rsidRPr="00905207" w:rsidRDefault="00590F71" w:rsidP="00E10792">
      <w:pPr>
        <w:pStyle w:val="DHHSbody"/>
        <w:rPr>
          <w:lang w:eastAsia="en-AU"/>
        </w:rPr>
      </w:pPr>
      <w:r>
        <w:rPr>
          <w:lang w:eastAsia="en-AU"/>
        </w:rPr>
        <w:t xml:space="preserve">Commentary: </w:t>
      </w:r>
      <w:r w:rsidR="00DE3E1F">
        <w:rPr>
          <w:lang w:eastAsia="en-AU"/>
        </w:rPr>
        <w:t>Globally the lifetime risk of developing cancer has been estimated and is publicly available in several countries</w:t>
      </w:r>
      <w:r w:rsidR="00B40166">
        <w:rPr>
          <w:lang w:eastAsia="en-AU"/>
        </w:rPr>
        <w:t>;</w:t>
      </w:r>
      <w:r w:rsidR="00DE3E1F">
        <w:rPr>
          <w:lang w:eastAsia="en-AU"/>
        </w:rPr>
        <w:t xml:space="preserve"> however</w:t>
      </w:r>
      <w:r w:rsidR="00B40166">
        <w:rPr>
          <w:lang w:eastAsia="en-AU"/>
        </w:rPr>
        <w:t>,</w:t>
      </w:r>
      <w:r w:rsidR="007D1D00">
        <w:rPr>
          <w:lang w:eastAsia="en-AU"/>
        </w:rPr>
        <w:t xml:space="preserve"> there is variation between the cut-off age group. </w:t>
      </w:r>
      <w:r w:rsidR="004A6547" w:rsidRPr="00E306C3">
        <w:rPr>
          <w:rFonts w:cs="Arial"/>
          <w:lang w:eastAsia="en-AU"/>
        </w:rPr>
        <w:t>The purpose of this measure is to estimate</w:t>
      </w:r>
      <w:r w:rsidR="00E36100">
        <w:rPr>
          <w:rFonts w:cs="Arial"/>
          <w:lang w:eastAsia="en-AU"/>
        </w:rPr>
        <w:t xml:space="preserve"> the probability </w:t>
      </w:r>
      <w:r w:rsidR="006C3C7B">
        <w:rPr>
          <w:rFonts w:cs="Arial"/>
          <w:lang w:eastAsia="en-AU"/>
        </w:rPr>
        <w:t xml:space="preserve">(risk) </w:t>
      </w:r>
      <w:r w:rsidR="00E36100">
        <w:rPr>
          <w:rFonts w:cs="Arial"/>
          <w:lang w:eastAsia="en-AU"/>
        </w:rPr>
        <w:t xml:space="preserve">of developing </w:t>
      </w:r>
      <w:r w:rsidR="004A6547" w:rsidRPr="00E306C3">
        <w:rPr>
          <w:rFonts w:cs="Arial"/>
          <w:lang w:eastAsia="en-AU"/>
        </w:rPr>
        <w:t xml:space="preserve">cancer before the age of 85. </w:t>
      </w:r>
    </w:p>
    <w:p w14:paraId="48F11EDB" w14:textId="46F85EFB" w:rsidR="00A03EA1" w:rsidRPr="00655E36" w:rsidRDefault="00E306C3" w:rsidP="00E10792">
      <w:pPr>
        <w:pStyle w:val="DHHSbody"/>
        <w:rPr>
          <w:rStyle w:val="normaltextrun"/>
          <w:lang w:eastAsia="en-AU"/>
        </w:rPr>
      </w:pPr>
      <w:r w:rsidRPr="00655E36">
        <w:rPr>
          <w:rStyle w:val="normaltextrun"/>
          <w:rFonts w:cs="Arial"/>
          <w:lang w:val="en"/>
        </w:rPr>
        <w:t>In 201</w:t>
      </w:r>
      <w:r w:rsidR="00BF34BB" w:rsidRPr="00655E36">
        <w:rPr>
          <w:rStyle w:val="normaltextrun"/>
          <w:rFonts w:cs="Arial"/>
          <w:lang w:val="en"/>
        </w:rPr>
        <w:t>7</w:t>
      </w:r>
      <w:r w:rsidRPr="00655E36">
        <w:rPr>
          <w:rStyle w:val="normaltextrun"/>
          <w:rFonts w:cs="Arial"/>
          <w:lang w:val="en"/>
        </w:rPr>
        <w:t>, it is estimated that the risk of an individual Australian</w:t>
      </w:r>
      <w:r w:rsidR="00E36100" w:rsidRPr="00655E36">
        <w:rPr>
          <w:rStyle w:val="normaltextrun"/>
          <w:rFonts w:cs="Arial"/>
          <w:lang w:val="en"/>
        </w:rPr>
        <w:t xml:space="preserve"> developing</w:t>
      </w:r>
      <w:r w:rsidR="006C3C7B" w:rsidRPr="00655E36">
        <w:rPr>
          <w:rStyle w:val="normaltextrun"/>
          <w:rFonts w:cs="Arial"/>
          <w:lang w:val="en"/>
        </w:rPr>
        <w:t xml:space="preserve"> </w:t>
      </w:r>
      <w:r w:rsidRPr="00655E36">
        <w:rPr>
          <w:rStyle w:val="normaltextrun"/>
          <w:rFonts w:cs="Arial"/>
          <w:lang w:val="en"/>
        </w:rPr>
        <w:t xml:space="preserve">cancer by their 85th birthday will be </w:t>
      </w:r>
      <w:r w:rsidR="00B30945">
        <w:rPr>
          <w:rStyle w:val="normaltextrun"/>
          <w:rFonts w:cs="Arial"/>
          <w:lang w:val="en"/>
        </w:rPr>
        <w:t>one</w:t>
      </w:r>
      <w:r w:rsidRPr="00655E36">
        <w:rPr>
          <w:rStyle w:val="normaltextrun"/>
          <w:rFonts w:cs="Arial"/>
          <w:lang w:val="en"/>
        </w:rPr>
        <w:t xml:space="preserve"> in </w:t>
      </w:r>
      <w:r w:rsidR="00B30945">
        <w:rPr>
          <w:rStyle w:val="normaltextrun"/>
          <w:rFonts w:cs="Arial"/>
          <w:lang w:val="en"/>
        </w:rPr>
        <w:t>two</w:t>
      </w:r>
      <w:r w:rsidRPr="00655E36">
        <w:rPr>
          <w:rStyle w:val="normaltextrun"/>
          <w:rFonts w:cs="Arial"/>
          <w:lang w:val="en"/>
        </w:rPr>
        <w:t> for both males and females.</w:t>
      </w:r>
      <w:r w:rsidRPr="00655E36">
        <w:rPr>
          <w:rStyle w:val="FootnoteReference"/>
          <w:rFonts w:cs="Arial"/>
          <w:lang w:val="en"/>
        </w:rPr>
        <w:footnoteReference w:id="11"/>
      </w:r>
      <w:r w:rsidR="00590F71" w:rsidRPr="00655E36">
        <w:rPr>
          <w:rStyle w:val="normaltextrun"/>
          <w:rFonts w:cs="Arial"/>
          <w:lang w:val="en"/>
        </w:rPr>
        <w:t xml:space="preserve"> </w:t>
      </w:r>
      <w:r w:rsidR="004650FA" w:rsidRPr="00655E36">
        <w:rPr>
          <w:rStyle w:val="normaltextrun"/>
          <w:rFonts w:cs="Arial"/>
          <w:lang w:val="en"/>
        </w:rPr>
        <w:t xml:space="preserve">While no target has been set for this measure, </w:t>
      </w:r>
      <w:r w:rsidR="00590F71" w:rsidRPr="00655E36">
        <w:rPr>
          <w:rStyle w:val="normaltextrun"/>
          <w:rFonts w:cs="Arial"/>
          <w:lang w:val="en"/>
        </w:rPr>
        <w:t>Figure 1.2 shows that between 201</w:t>
      </w:r>
      <w:r w:rsidR="008C67B5">
        <w:rPr>
          <w:rStyle w:val="normaltextrun"/>
          <w:rFonts w:cs="Arial"/>
          <w:lang w:val="en"/>
        </w:rPr>
        <w:t>4</w:t>
      </w:r>
      <w:r w:rsidR="00590F71" w:rsidRPr="00655E36">
        <w:rPr>
          <w:rStyle w:val="normaltextrun"/>
          <w:rFonts w:cs="Arial"/>
          <w:lang w:val="en"/>
        </w:rPr>
        <w:t xml:space="preserve"> and 2017 the lifetime risk of a Victorian </w:t>
      </w:r>
      <w:r w:rsidR="00A34B54" w:rsidRPr="00655E36">
        <w:rPr>
          <w:rStyle w:val="normaltextrun"/>
          <w:rFonts w:cs="Arial"/>
          <w:lang w:val="en"/>
        </w:rPr>
        <w:t xml:space="preserve">individual </w:t>
      </w:r>
      <w:r w:rsidR="00E36100" w:rsidRPr="00655E36">
        <w:rPr>
          <w:rStyle w:val="normaltextrun"/>
          <w:rFonts w:cs="Arial"/>
          <w:lang w:val="en"/>
        </w:rPr>
        <w:t xml:space="preserve">developing </w:t>
      </w:r>
      <w:r w:rsidR="00590F71" w:rsidRPr="00655E36">
        <w:rPr>
          <w:rStyle w:val="normaltextrun"/>
          <w:rFonts w:cs="Arial"/>
          <w:lang w:val="en"/>
        </w:rPr>
        <w:t xml:space="preserve">cancer </w:t>
      </w:r>
      <w:r w:rsidR="008C67B5">
        <w:rPr>
          <w:rStyle w:val="normaltextrun"/>
          <w:rFonts w:cs="Arial"/>
          <w:lang w:val="en"/>
        </w:rPr>
        <w:t xml:space="preserve">overall </w:t>
      </w:r>
      <w:r w:rsidR="00590F71" w:rsidRPr="00655E36">
        <w:rPr>
          <w:rStyle w:val="normaltextrun"/>
          <w:rFonts w:cs="Arial"/>
          <w:lang w:val="en"/>
        </w:rPr>
        <w:t xml:space="preserve">before the age of 85 years was also </w:t>
      </w:r>
      <w:r w:rsidR="006526D9">
        <w:rPr>
          <w:rStyle w:val="normaltextrun"/>
          <w:rFonts w:cs="Arial"/>
          <w:lang w:val="en"/>
        </w:rPr>
        <w:t>one</w:t>
      </w:r>
      <w:r w:rsidR="00590F71" w:rsidRPr="00655E36">
        <w:rPr>
          <w:rStyle w:val="normaltextrun"/>
          <w:rFonts w:cs="Arial"/>
          <w:lang w:val="en"/>
        </w:rPr>
        <w:t xml:space="preserve"> in </w:t>
      </w:r>
      <w:r w:rsidR="006526D9">
        <w:rPr>
          <w:rStyle w:val="normaltextrun"/>
          <w:rFonts w:cs="Arial"/>
          <w:lang w:val="en"/>
        </w:rPr>
        <w:t>two</w:t>
      </w:r>
      <w:r w:rsidR="00590F71" w:rsidRPr="00655E36">
        <w:rPr>
          <w:rStyle w:val="normaltextrun"/>
          <w:rFonts w:cs="Arial"/>
          <w:lang w:val="en"/>
        </w:rPr>
        <w:t>.</w:t>
      </w:r>
      <w:r w:rsidR="00326D25" w:rsidRPr="00655E36">
        <w:rPr>
          <w:rStyle w:val="normaltextrun"/>
          <w:rFonts w:cs="Arial"/>
          <w:lang w:val="en"/>
        </w:rPr>
        <w:t xml:space="preserve"> </w:t>
      </w:r>
      <w:r w:rsidR="00B40345" w:rsidRPr="00655E36">
        <w:rPr>
          <w:rStyle w:val="normaltextrun"/>
          <w:rFonts w:cs="Arial"/>
          <w:lang w:val="en"/>
        </w:rPr>
        <w:t>Nevertheless,</w:t>
      </w:r>
      <w:r w:rsidR="00DA2E7D" w:rsidRPr="00655E36">
        <w:rPr>
          <w:rStyle w:val="normaltextrun"/>
          <w:rFonts w:cs="Arial"/>
          <w:lang w:val="en"/>
        </w:rPr>
        <w:t xml:space="preserve"> the risk </w:t>
      </w:r>
      <w:r w:rsidR="00590F71" w:rsidRPr="00655E36">
        <w:rPr>
          <w:rStyle w:val="normaltextrun"/>
          <w:rFonts w:cs="Arial"/>
          <w:lang w:val="en"/>
        </w:rPr>
        <w:t xml:space="preserve">was </w:t>
      </w:r>
      <w:r w:rsidR="00B91EA8" w:rsidRPr="00655E36">
        <w:rPr>
          <w:rStyle w:val="normaltextrun"/>
          <w:rFonts w:cs="Arial"/>
          <w:lang w:val="en"/>
        </w:rPr>
        <w:t>lower for females</w:t>
      </w:r>
      <w:r w:rsidR="006526D9">
        <w:rPr>
          <w:rStyle w:val="normaltextrun"/>
          <w:rFonts w:cs="Arial"/>
          <w:lang w:val="en"/>
        </w:rPr>
        <w:t>,</w:t>
      </w:r>
      <w:r w:rsidR="00B91EA8" w:rsidRPr="00655E36">
        <w:rPr>
          <w:rStyle w:val="normaltextrun"/>
          <w:rFonts w:cs="Arial"/>
          <w:lang w:val="en"/>
        </w:rPr>
        <w:t xml:space="preserve"> </w:t>
      </w:r>
      <w:r w:rsidR="00A03EA1" w:rsidRPr="00655E36">
        <w:rPr>
          <w:rStyle w:val="normaltextrun"/>
          <w:rFonts w:cs="Arial"/>
          <w:lang w:val="en"/>
        </w:rPr>
        <w:t xml:space="preserve">amounting to 40 per cent (2017) </w:t>
      </w:r>
      <w:r w:rsidR="00B91EA8" w:rsidRPr="00655E36">
        <w:rPr>
          <w:rStyle w:val="normaltextrun"/>
          <w:rFonts w:cs="Arial"/>
          <w:lang w:val="en"/>
        </w:rPr>
        <w:t xml:space="preserve">compared </w:t>
      </w:r>
      <w:r w:rsidR="001B50BF">
        <w:rPr>
          <w:rStyle w:val="normaltextrun"/>
          <w:rFonts w:cs="Arial"/>
          <w:lang w:val="en"/>
        </w:rPr>
        <w:t>with</w:t>
      </w:r>
      <w:r w:rsidR="001B50BF" w:rsidRPr="00655E36">
        <w:rPr>
          <w:rStyle w:val="normaltextrun"/>
          <w:rFonts w:cs="Arial"/>
          <w:lang w:val="en"/>
        </w:rPr>
        <w:t xml:space="preserve"> </w:t>
      </w:r>
      <w:r w:rsidR="00A03EA1" w:rsidRPr="00655E36">
        <w:rPr>
          <w:rStyle w:val="normaltextrun"/>
          <w:rFonts w:cs="Arial"/>
          <w:lang w:val="en"/>
        </w:rPr>
        <w:t xml:space="preserve">52 per cent for </w:t>
      </w:r>
      <w:r w:rsidR="00B91EA8" w:rsidRPr="00655E36">
        <w:rPr>
          <w:rStyle w:val="normaltextrun"/>
          <w:rFonts w:cs="Arial"/>
          <w:lang w:val="en"/>
        </w:rPr>
        <w:t>males</w:t>
      </w:r>
      <w:r w:rsidR="00A03EA1" w:rsidRPr="00655E36">
        <w:rPr>
          <w:rStyle w:val="normaltextrun"/>
          <w:rFonts w:cs="Arial"/>
          <w:lang w:val="en"/>
        </w:rPr>
        <w:t xml:space="preserve"> (2017). T</w:t>
      </w:r>
      <w:r w:rsidR="00B91EA8" w:rsidRPr="00655E36">
        <w:rPr>
          <w:rStyle w:val="normaltextrun"/>
          <w:rFonts w:cs="Arial"/>
          <w:lang w:val="en"/>
        </w:rPr>
        <w:t xml:space="preserve">he latter </w:t>
      </w:r>
      <w:r w:rsidR="006526D9">
        <w:rPr>
          <w:rStyle w:val="normaltextrun"/>
          <w:rFonts w:cs="Arial"/>
          <w:lang w:val="en"/>
        </w:rPr>
        <w:t xml:space="preserve">is </w:t>
      </w:r>
      <w:r w:rsidR="00B91EA8" w:rsidRPr="00655E36">
        <w:rPr>
          <w:rStyle w:val="normaltextrun"/>
          <w:rFonts w:cs="Arial"/>
          <w:lang w:val="en"/>
        </w:rPr>
        <w:t>possibly due to increasing age-</w:t>
      </w:r>
      <w:r w:rsidR="00D25BE8" w:rsidRPr="00655E36">
        <w:rPr>
          <w:rStyle w:val="normaltextrun"/>
          <w:rFonts w:cs="Arial"/>
          <w:lang w:val="en"/>
        </w:rPr>
        <w:t>specific</w:t>
      </w:r>
      <w:r w:rsidR="00B91EA8" w:rsidRPr="00655E36">
        <w:rPr>
          <w:rStyle w:val="normaltextrun"/>
          <w:rFonts w:cs="Arial"/>
          <w:lang w:val="en"/>
        </w:rPr>
        <w:t xml:space="preserve"> rates of cancer</w:t>
      </w:r>
      <w:r w:rsidR="00E36100" w:rsidRPr="00655E36">
        <w:rPr>
          <w:rStyle w:val="normaltextrun"/>
          <w:rFonts w:cs="Arial"/>
          <w:lang w:val="en"/>
        </w:rPr>
        <w:t xml:space="preserve">s </w:t>
      </w:r>
      <w:r w:rsidR="00B91EA8" w:rsidRPr="00655E36">
        <w:rPr>
          <w:rStyle w:val="normaltextrun"/>
          <w:rFonts w:cs="Arial"/>
          <w:lang w:val="en"/>
        </w:rPr>
        <w:t xml:space="preserve">such as </w:t>
      </w:r>
      <w:r w:rsidR="00D25BE8" w:rsidRPr="00655E36">
        <w:rPr>
          <w:rStyle w:val="normaltextrun"/>
          <w:rFonts w:cs="Arial"/>
          <w:lang w:val="en"/>
        </w:rPr>
        <w:t>prostate</w:t>
      </w:r>
      <w:r w:rsidR="00A03EA1" w:rsidRPr="00655E36">
        <w:rPr>
          <w:rStyle w:val="normaltextrun"/>
          <w:rFonts w:cs="Arial"/>
          <w:lang w:val="en"/>
        </w:rPr>
        <w:t xml:space="preserve"> and lung</w:t>
      </w:r>
      <w:r w:rsidR="00B91EA8" w:rsidRPr="00655E36">
        <w:rPr>
          <w:rStyle w:val="normaltextrun"/>
          <w:rFonts w:cs="Arial"/>
          <w:lang w:val="en"/>
        </w:rPr>
        <w:t xml:space="preserve"> cancer </w:t>
      </w:r>
      <w:r w:rsidR="008C67B5">
        <w:rPr>
          <w:rStyle w:val="normaltextrun"/>
          <w:rFonts w:cs="Arial"/>
          <w:lang w:val="en"/>
        </w:rPr>
        <w:t xml:space="preserve">in males </w:t>
      </w:r>
      <w:r w:rsidR="00B91EA8" w:rsidRPr="00655E36">
        <w:rPr>
          <w:rStyle w:val="normaltextrun"/>
          <w:rFonts w:cs="Arial"/>
          <w:lang w:val="en"/>
        </w:rPr>
        <w:t>having an impact on the increasing life</w:t>
      </w:r>
      <w:r w:rsidR="00D25BE8" w:rsidRPr="00655E36">
        <w:rPr>
          <w:rStyle w:val="normaltextrun"/>
          <w:rFonts w:cs="Arial"/>
          <w:lang w:val="en"/>
        </w:rPr>
        <w:t xml:space="preserve">time risk of </w:t>
      </w:r>
      <w:r w:rsidR="00E36100" w:rsidRPr="00655E36">
        <w:rPr>
          <w:rStyle w:val="normaltextrun"/>
          <w:rFonts w:cs="Arial"/>
          <w:lang w:val="en"/>
        </w:rPr>
        <w:t>deve</w:t>
      </w:r>
      <w:r w:rsidR="00326D25" w:rsidRPr="00655E36">
        <w:rPr>
          <w:rStyle w:val="normaltextrun"/>
          <w:rFonts w:cs="Arial"/>
          <w:lang w:val="en"/>
        </w:rPr>
        <w:t xml:space="preserve">loping </w:t>
      </w:r>
      <w:r w:rsidR="00D25BE8" w:rsidRPr="00655E36">
        <w:rPr>
          <w:rStyle w:val="normaltextrun"/>
          <w:rFonts w:cs="Arial"/>
          <w:lang w:val="en"/>
        </w:rPr>
        <w:t>cancer before the age of 85 years</w:t>
      </w:r>
      <w:r w:rsidR="004650FA" w:rsidRPr="00655E36">
        <w:rPr>
          <w:rStyle w:val="normaltextrun"/>
          <w:rFonts w:cs="Arial"/>
          <w:lang w:val="en"/>
        </w:rPr>
        <w:t xml:space="preserve">. </w:t>
      </w:r>
    </w:p>
    <w:p w14:paraId="07E878D8" w14:textId="4B6D94C4" w:rsidR="00E10792" w:rsidRPr="00655E36" w:rsidRDefault="00A03EA1" w:rsidP="00E10792">
      <w:pPr>
        <w:pStyle w:val="DHHSbody"/>
        <w:rPr>
          <w:rStyle w:val="normaltextrun"/>
          <w:rFonts w:cs="Arial"/>
          <w:lang w:val="en"/>
        </w:rPr>
      </w:pPr>
      <w:r w:rsidRPr="00655E36">
        <w:rPr>
          <w:rStyle w:val="normaltextrun"/>
          <w:rFonts w:cs="Arial"/>
          <w:lang w:val="en"/>
        </w:rPr>
        <w:t xml:space="preserve">Figure 1.2 shows that the lifetime risk of developing cancer </w:t>
      </w:r>
      <w:r w:rsidR="004650FA" w:rsidRPr="00655E36">
        <w:rPr>
          <w:rStyle w:val="normaltextrun"/>
          <w:rFonts w:cs="Arial"/>
          <w:lang w:val="en"/>
        </w:rPr>
        <w:t>for Victorian Aboriginal and Torres Strait Islanders</w:t>
      </w:r>
      <w:r w:rsidR="00B91EA8" w:rsidRPr="00655E36">
        <w:rPr>
          <w:rStyle w:val="normaltextrun"/>
          <w:rFonts w:cs="Arial"/>
          <w:lang w:val="en"/>
        </w:rPr>
        <w:t xml:space="preserve"> </w:t>
      </w:r>
      <w:r w:rsidRPr="00655E36">
        <w:rPr>
          <w:rStyle w:val="normaltextrun"/>
          <w:rFonts w:cs="Arial"/>
          <w:lang w:val="en"/>
        </w:rPr>
        <w:t xml:space="preserve">increased </w:t>
      </w:r>
      <w:r w:rsidR="00DE3E1F" w:rsidRPr="00655E36">
        <w:rPr>
          <w:rStyle w:val="normaltextrun"/>
          <w:rFonts w:cs="Arial"/>
          <w:lang w:val="en"/>
        </w:rPr>
        <w:t>from 5</w:t>
      </w:r>
      <w:r w:rsidR="008C67B5">
        <w:rPr>
          <w:rStyle w:val="normaltextrun"/>
          <w:rFonts w:cs="Arial"/>
          <w:lang w:val="en"/>
        </w:rPr>
        <w:t>5</w:t>
      </w:r>
      <w:r w:rsidR="00DE3E1F" w:rsidRPr="00655E36">
        <w:rPr>
          <w:rStyle w:val="normaltextrun"/>
          <w:rFonts w:cs="Arial"/>
          <w:lang w:val="en"/>
        </w:rPr>
        <w:t xml:space="preserve"> per</w:t>
      </w:r>
      <w:r w:rsidR="006526D9">
        <w:rPr>
          <w:rStyle w:val="normaltextrun"/>
          <w:rFonts w:cs="Arial"/>
          <w:lang w:val="en"/>
        </w:rPr>
        <w:t xml:space="preserve"> </w:t>
      </w:r>
      <w:r w:rsidR="00DE3E1F" w:rsidRPr="00655E36">
        <w:rPr>
          <w:rStyle w:val="normaltextrun"/>
          <w:rFonts w:cs="Arial"/>
          <w:lang w:val="en"/>
        </w:rPr>
        <w:t>cent in 201</w:t>
      </w:r>
      <w:r w:rsidR="008C67B5">
        <w:rPr>
          <w:rStyle w:val="normaltextrun"/>
          <w:rFonts w:cs="Arial"/>
          <w:lang w:val="en"/>
        </w:rPr>
        <w:t>4</w:t>
      </w:r>
      <w:r w:rsidR="00DE3E1F" w:rsidRPr="00655E36">
        <w:rPr>
          <w:rStyle w:val="normaltextrun"/>
          <w:rFonts w:cs="Arial"/>
          <w:lang w:val="en"/>
        </w:rPr>
        <w:t xml:space="preserve"> to 64 per cent in </w:t>
      </w:r>
      <w:r w:rsidR="00B91EA8" w:rsidRPr="00655E36">
        <w:rPr>
          <w:rStyle w:val="normaltextrun"/>
          <w:rFonts w:cs="Arial"/>
          <w:lang w:val="en"/>
        </w:rPr>
        <w:t>2017.</w:t>
      </w:r>
      <w:r w:rsidR="00952FC7">
        <w:rPr>
          <w:rStyle w:val="normaltextrun"/>
          <w:rFonts w:cs="Arial"/>
          <w:lang w:val="en"/>
        </w:rPr>
        <w:t xml:space="preserve"> </w:t>
      </w:r>
      <w:r w:rsidR="00DE3E1F" w:rsidRPr="00655E36">
        <w:rPr>
          <w:rStyle w:val="normaltextrun"/>
          <w:rFonts w:cs="Arial"/>
          <w:lang w:val="en"/>
        </w:rPr>
        <w:t xml:space="preserve">The lifetime risk of developing cancer before the age of 85 years did not vary significantly between </w:t>
      </w:r>
      <w:r w:rsidR="00DE7FFE">
        <w:rPr>
          <w:rStyle w:val="normaltextrun"/>
          <w:rFonts w:cs="Arial"/>
          <w:lang w:val="en"/>
        </w:rPr>
        <w:t>SES</w:t>
      </w:r>
      <w:r w:rsidR="00A34B54" w:rsidRPr="00655E36">
        <w:rPr>
          <w:rStyle w:val="normaltextrun"/>
          <w:rFonts w:cs="Arial"/>
          <w:lang w:val="en"/>
        </w:rPr>
        <w:t xml:space="preserve"> and remoteness (Figure 1.2). Figure</w:t>
      </w:r>
      <w:r w:rsidR="004C0D1F" w:rsidRPr="00655E36">
        <w:rPr>
          <w:rStyle w:val="normaltextrun"/>
          <w:rFonts w:cs="Arial"/>
          <w:lang w:val="en"/>
        </w:rPr>
        <w:t xml:space="preserve"> 1.2.1 also shows </w:t>
      </w:r>
      <w:r w:rsidR="00356801">
        <w:rPr>
          <w:rStyle w:val="normaltextrun"/>
          <w:rFonts w:cs="Arial"/>
          <w:lang w:val="en"/>
        </w:rPr>
        <w:t xml:space="preserve">that there was very little variation </w:t>
      </w:r>
      <w:r w:rsidR="005B62C9">
        <w:rPr>
          <w:rStyle w:val="normaltextrun"/>
          <w:rFonts w:cs="Arial"/>
          <w:lang w:val="en"/>
        </w:rPr>
        <w:t xml:space="preserve">in </w:t>
      </w:r>
      <w:r w:rsidR="004C0D1F" w:rsidRPr="00655E36">
        <w:rPr>
          <w:rStyle w:val="normaltextrun"/>
          <w:rFonts w:cs="Arial"/>
          <w:lang w:val="en"/>
        </w:rPr>
        <w:t>the lifetime risk of developing cancer before the age of 85 years between</w:t>
      </w:r>
      <w:r w:rsidR="00A34B54" w:rsidRPr="00655E36">
        <w:rPr>
          <w:rStyle w:val="normaltextrun"/>
          <w:rFonts w:cs="Arial"/>
          <w:lang w:val="en"/>
        </w:rPr>
        <w:t xml:space="preserve"> </w:t>
      </w:r>
      <w:r w:rsidR="004C0D1F" w:rsidRPr="00655E36">
        <w:rPr>
          <w:rStyle w:val="normaltextrun"/>
          <w:rFonts w:cs="Arial"/>
          <w:lang w:val="en"/>
        </w:rPr>
        <w:t>I</w:t>
      </w:r>
      <w:r w:rsidR="00A34B54" w:rsidRPr="00655E36">
        <w:rPr>
          <w:rStyle w:val="normaltextrun"/>
          <w:rFonts w:cs="Arial"/>
          <w:lang w:val="en"/>
        </w:rPr>
        <w:t>CS</w:t>
      </w:r>
      <w:r w:rsidR="005B62C9">
        <w:rPr>
          <w:rStyle w:val="normaltextrun"/>
          <w:rFonts w:cs="Arial"/>
          <w:lang w:val="en"/>
        </w:rPr>
        <w:t>s</w:t>
      </w:r>
      <w:r w:rsidR="00A34B54" w:rsidRPr="00655E36">
        <w:rPr>
          <w:rStyle w:val="normaltextrun"/>
          <w:rFonts w:cs="Arial"/>
          <w:lang w:val="en"/>
        </w:rPr>
        <w:t xml:space="preserve"> </w:t>
      </w:r>
      <w:r w:rsidR="00DF6DCB" w:rsidRPr="00655E36">
        <w:rPr>
          <w:rStyle w:val="normaltextrun"/>
          <w:rFonts w:cs="Arial"/>
          <w:lang w:val="en"/>
        </w:rPr>
        <w:t>in the analysis period</w:t>
      </w:r>
      <w:r w:rsidR="00675D23">
        <w:rPr>
          <w:rStyle w:val="normaltextrun"/>
          <w:rFonts w:cs="Arial"/>
          <w:lang w:val="en"/>
        </w:rPr>
        <w:t>.</w:t>
      </w:r>
    </w:p>
    <w:p w14:paraId="45D06DDC" w14:textId="44534151" w:rsidR="009A2DF4" w:rsidRDefault="009A2DF4">
      <w:pPr>
        <w:rPr>
          <w:rFonts w:ascii="Arial" w:eastAsia="MS Gothic" w:hAnsi="Arial"/>
          <w:b/>
          <w:bCs/>
          <w:sz w:val="24"/>
          <w:szCs w:val="26"/>
        </w:rPr>
      </w:pPr>
      <w:r>
        <w:br w:type="page"/>
      </w:r>
    </w:p>
    <w:p w14:paraId="00DD32D0" w14:textId="457E7D1D" w:rsidR="00E8458B" w:rsidRDefault="00E8458B" w:rsidP="006624DA">
      <w:pPr>
        <w:pStyle w:val="Heading3"/>
        <w:rPr>
          <w:lang w:eastAsia="en-AU"/>
        </w:rPr>
      </w:pPr>
      <w:bookmarkStart w:id="87" w:name="_Measure_1.3_–"/>
      <w:bookmarkStart w:id="88" w:name="_Toc19007995"/>
      <w:bookmarkEnd w:id="87"/>
      <w:r>
        <w:rPr>
          <w:lang w:eastAsia="en-AU"/>
        </w:rPr>
        <w:lastRenderedPageBreak/>
        <w:t xml:space="preserve">Measure 1.3 – </w:t>
      </w:r>
      <w:r w:rsidR="006624DA">
        <w:rPr>
          <w:lang w:eastAsia="en-AU"/>
        </w:rPr>
        <w:t>Incidence of lung cancer</w:t>
      </w:r>
      <w:bookmarkEnd w:id="88"/>
    </w:p>
    <w:p w14:paraId="32B30B4F" w14:textId="49D31D19" w:rsidR="008D4EED" w:rsidRDefault="008D4EED" w:rsidP="00FA314C">
      <w:pPr>
        <w:pStyle w:val="DHHSfigurecaption"/>
      </w:pPr>
      <w:bookmarkStart w:id="89" w:name="_Toc19007996"/>
      <w:bookmarkStart w:id="90" w:name="_Toc19008256"/>
      <w:bookmarkStart w:id="91" w:name="_Toc19008403"/>
      <w:bookmarkStart w:id="92" w:name="_Toc19008550"/>
      <w:bookmarkStart w:id="93" w:name="_Toc27414253"/>
      <w:r w:rsidRPr="00A8622F">
        <w:t>Figure 1.</w:t>
      </w:r>
      <w:r>
        <w:t>3</w:t>
      </w:r>
      <w:r w:rsidR="00A14570">
        <w:t>:</w:t>
      </w:r>
      <w:r w:rsidRPr="00A8622F">
        <w:t xml:space="preserve"> </w:t>
      </w:r>
      <w:r>
        <w:t>I</w:t>
      </w:r>
      <w:r w:rsidRPr="00A8622F">
        <w:t xml:space="preserve">ncidence </w:t>
      </w:r>
      <w:r>
        <w:t>of lung</w:t>
      </w:r>
      <w:r w:rsidRPr="00A8622F">
        <w:t xml:space="preserve"> cancer </w:t>
      </w:r>
      <w:r>
        <w:t xml:space="preserve">in Victoria </w:t>
      </w:r>
      <w:r w:rsidRPr="00A8622F">
        <w:t xml:space="preserve">per 100,000 standardised to the </w:t>
      </w:r>
      <w:r>
        <w:t xml:space="preserve">2001 </w:t>
      </w:r>
      <w:r w:rsidRPr="00A8622F">
        <w:t>Australian population, by year of diagnosis, 201</w:t>
      </w:r>
      <w:r w:rsidR="004D3231">
        <w:t>4</w:t>
      </w:r>
      <w:r w:rsidRPr="00A8622F">
        <w:t xml:space="preserve"> and 201</w:t>
      </w:r>
      <w:r>
        <w:t>7</w:t>
      </w:r>
      <w:bookmarkEnd w:id="89"/>
      <w:bookmarkEnd w:id="90"/>
      <w:bookmarkEnd w:id="91"/>
      <w:bookmarkEnd w:id="92"/>
      <w:bookmarkEnd w:id="93"/>
    </w:p>
    <w:p w14:paraId="43101363" w14:textId="1F655EEA" w:rsidR="00E541E2" w:rsidRPr="00E541E2" w:rsidRDefault="00E541E2" w:rsidP="00E541E2">
      <w:pPr>
        <w:pStyle w:val="DHHSbody"/>
      </w:pPr>
      <w:r>
        <w:rPr>
          <w:noProof/>
        </w:rPr>
        <w:drawing>
          <wp:inline distT="0" distB="0" distL="0" distR="0" wp14:anchorId="45AD7DDF" wp14:editId="3A39DFE9">
            <wp:extent cx="6484620" cy="7010400"/>
            <wp:effectExtent l="0" t="0" r="0" b="0"/>
            <wp:docPr id="301" name="Picture 301" descr="This figure shows a data summary of 'Measure 1.3 – Incidence of lung cancer'. The data set is available under 'Measure 1.3 – Incidence of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89246" cy="7015401"/>
                    </a:xfrm>
                    <a:prstGeom prst="rect">
                      <a:avLst/>
                    </a:prstGeom>
                    <a:noFill/>
                    <a:ln>
                      <a:noFill/>
                    </a:ln>
                  </pic:spPr>
                </pic:pic>
              </a:graphicData>
            </a:graphic>
          </wp:inline>
        </w:drawing>
      </w:r>
    </w:p>
    <w:p w14:paraId="16402827" w14:textId="53D5CB8F" w:rsidR="0099461B" w:rsidRPr="0099461B" w:rsidRDefault="0099461B" w:rsidP="0099461B">
      <w:pPr>
        <w:pStyle w:val="DHHSbody"/>
      </w:pPr>
    </w:p>
    <w:p w14:paraId="4FB8135C" w14:textId="77777777" w:rsidR="0020440A" w:rsidRDefault="009A2DF4" w:rsidP="00FA1AAC">
      <w:pPr>
        <w:pStyle w:val="DHHStablefigurenote"/>
      </w:pPr>
      <w:r w:rsidRPr="003F5C49">
        <w:t>Note:</w:t>
      </w:r>
      <w:r w:rsidR="00250B73">
        <w:t xml:space="preserve"> </w:t>
      </w:r>
      <w:r>
        <w:t>R</w:t>
      </w:r>
      <w:r w:rsidRPr="003F5C49">
        <w:t xml:space="preserve">esults by </w:t>
      </w:r>
      <w:r w:rsidR="0011089F">
        <w:t>cultural diversity</w:t>
      </w:r>
      <w:r w:rsidRPr="003F5C49">
        <w:t xml:space="preserve"> </w:t>
      </w:r>
      <w:r>
        <w:t xml:space="preserve">are not presented </w:t>
      </w:r>
      <w:r w:rsidRPr="003F5C49">
        <w:t xml:space="preserve">as the ERP does not estimate the population by </w:t>
      </w:r>
      <w:r w:rsidR="0011089F">
        <w:t>cultural diversity</w:t>
      </w:r>
      <w:r w:rsidRPr="003F5C49">
        <w:t xml:space="preserve">, hence </w:t>
      </w:r>
      <w:r>
        <w:t>there is no</w:t>
      </w:r>
      <w:r w:rsidRPr="003F5C49">
        <w:t xml:space="preserve"> denominator for this variable.</w:t>
      </w:r>
    </w:p>
    <w:p w14:paraId="1C2066FE" w14:textId="63CB8D1B" w:rsidR="000D5A35" w:rsidRPr="0011089F" w:rsidRDefault="0020440A" w:rsidP="00FA1AAC">
      <w:pPr>
        <w:pStyle w:val="DHHStablefigurenote"/>
      </w:pPr>
      <w:r w:rsidRPr="00D53842">
        <w:rPr>
          <w:color w:val="000000"/>
        </w:rPr>
        <w:t>Appendix 2 provides the dataset.</w:t>
      </w:r>
      <w:r w:rsidR="000D5A35" w:rsidRPr="0011089F">
        <w:rPr>
          <w:b/>
        </w:rPr>
        <w:br w:type="page"/>
      </w:r>
    </w:p>
    <w:p w14:paraId="732C8216" w14:textId="1AB3FF51" w:rsidR="00A76E50" w:rsidRDefault="00A76E50" w:rsidP="00FA314C">
      <w:pPr>
        <w:pStyle w:val="DHHSfigurecaption"/>
      </w:pPr>
      <w:bookmarkStart w:id="94" w:name="_Toc19007997"/>
      <w:bookmarkStart w:id="95" w:name="_Toc19008257"/>
      <w:bookmarkStart w:id="96" w:name="_Toc19008404"/>
      <w:bookmarkStart w:id="97" w:name="_Toc19008551"/>
      <w:bookmarkStart w:id="98" w:name="_Toc27414254"/>
      <w:r>
        <w:rPr>
          <w:lang w:eastAsia="en-AU"/>
        </w:rPr>
        <w:lastRenderedPageBreak/>
        <w:t>Figure 1.3.1</w:t>
      </w:r>
      <w:r w:rsidR="00A14570">
        <w:rPr>
          <w:lang w:eastAsia="en-AU"/>
        </w:rPr>
        <w:t>:</w:t>
      </w:r>
      <w:r w:rsidRPr="006378D2">
        <w:rPr>
          <w:lang w:eastAsia="en-AU"/>
        </w:rPr>
        <w:t xml:space="preserve"> Incidence of </w:t>
      </w:r>
      <w:r>
        <w:rPr>
          <w:lang w:eastAsia="en-AU"/>
        </w:rPr>
        <w:t xml:space="preserve">lung </w:t>
      </w:r>
      <w:r w:rsidRPr="006378D2">
        <w:rPr>
          <w:lang w:eastAsia="en-AU"/>
        </w:rPr>
        <w:t>cancer</w:t>
      </w:r>
      <w:r>
        <w:rPr>
          <w:lang w:eastAsia="en-AU"/>
        </w:rPr>
        <w:t xml:space="preserve">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Pr="006378D2">
        <w:t xml:space="preserve"> </w:t>
      </w:r>
      <w:r w:rsidR="0031077F">
        <w:t xml:space="preserve">and </w:t>
      </w:r>
      <w:r>
        <w:t xml:space="preserve">year, </w:t>
      </w:r>
      <w:r w:rsidRPr="006378D2">
        <w:t>20</w:t>
      </w:r>
      <w:r>
        <w:t>1</w:t>
      </w:r>
      <w:r w:rsidR="00B73C3A">
        <w:t>4</w:t>
      </w:r>
      <w:r>
        <w:t xml:space="preserve"> and 2017</w:t>
      </w:r>
      <w:bookmarkEnd w:id="94"/>
      <w:bookmarkEnd w:id="95"/>
      <w:bookmarkEnd w:id="96"/>
      <w:bookmarkEnd w:id="97"/>
      <w:bookmarkEnd w:id="98"/>
    </w:p>
    <w:p w14:paraId="4E070B8F" w14:textId="2BC63779" w:rsidR="005E68EC" w:rsidRDefault="005C68DF" w:rsidP="009F0663">
      <w:pPr>
        <w:pStyle w:val="DHHSbody"/>
      </w:pPr>
      <w:r>
        <w:rPr>
          <w:noProof/>
        </w:rPr>
        <w:drawing>
          <wp:inline distT="0" distB="0" distL="0" distR="0" wp14:anchorId="18985EBA" wp14:editId="3714B137">
            <wp:extent cx="6736715" cy="3609340"/>
            <wp:effectExtent l="0" t="0" r="6985" b="0"/>
            <wp:docPr id="39" name="Picture 39" descr="This figure (bar graph) presents the incidence of lung cancer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36715" cy="3609340"/>
                    </a:xfrm>
                    <a:prstGeom prst="rect">
                      <a:avLst/>
                    </a:prstGeom>
                    <a:noFill/>
                  </pic:spPr>
                </pic:pic>
              </a:graphicData>
            </a:graphic>
          </wp:inline>
        </w:drawing>
      </w:r>
    </w:p>
    <w:p w14:paraId="20F592C6" w14:textId="584712B4" w:rsidR="00DD3161" w:rsidRDefault="00DD3161" w:rsidP="00765C2F">
      <w:pPr>
        <w:pStyle w:val="DHHSfigurecaption"/>
      </w:pPr>
      <w:bookmarkStart w:id="99" w:name="_Toc19007998"/>
      <w:bookmarkStart w:id="100" w:name="_Toc19008258"/>
      <w:bookmarkStart w:id="101" w:name="_Toc19008405"/>
      <w:bookmarkStart w:id="102" w:name="_Toc19008552"/>
      <w:bookmarkStart w:id="103" w:name="_Toc27414255"/>
      <w:r>
        <w:t>Figure 1.3.2</w:t>
      </w:r>
      <w:r w:rsidR="00A14570">
        <w:t>:</w:t>
      </w:r>
      <w:r w:rsidRPr="00AB6486">
        <w:t xml:space="preserve"> Incidence of </w:t>
      </w:r>
      <w:r>
        <w:t xml:space="preserve">lung </w:t>
      </w:r>
      <w:r w:rsidRPr="00AB6486">
        <w:t xml:space="preserve">cancer </w:t>
      </w:r>
      <w:r>
        <w:t xml:space="preserve">in Victoria </w:t>
      </w:r>
      <w:r w:rsidRPr="00AB6486">
        <w:t xml:space="preserve">per 100,000 standardised to the 2001 Australian population, by Victorian </w:t>
      </w:r>
      <w:r w:rsidR="005D072A">
        <w:t>LGA</w:t>
      </w:r>
      <w:r>
        <w:t>, 201</w:t>
      </w:r>
      <w:bookmarkEnd w:id="99"/>
      <w:bookmarkEnd w:id="100"/>
      <w:bookmarkEnd w:id="101"/>
      <w:bookmarkEnd w:id="102"/>
      <w:r w:rsidR="00A51BE6">
        <w:t>4</w:t>
      </w:r>
      <w:bookmarkEnd w:id="103"/>
    </w:p>
    <w:p w14:paraId="39A56E04" w14:textId="5A7D5705" w:rsidR="00CA4827" w:rsidRPr="00CA4827" w:rsidRDefault="00CA4827" w:rsidP="00CA4827">
      <w:pPr>
        <w:pStyle w:val="DHHSbody"/>
      </w:pPr>
      <w:r>
        <w:rPr>
          <w:noProof/>
        </w:rPr>
        <w:drawing>
          <wp:inline distT="0" distB="0" distL="0" distR="0" wp14:anchorId="1580413F" wp14:editId="51AA9BC8">
            <wp:extent cx="6257580" cy="4299101"/>
            <wp:effectExtent l="0" t="0" r="0" b="6350"/>
            <wp:docPr id="192" name="Picture 192" descr="This figure shows a map of Victoria showing the highest reported rate of lung cancer in 2014 is in Murrindindi Shire Council and the lowest reported rate is in Bayside City Council. The data set is available under 'Measure 1.3 – Incidence of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70314" cy="4307849"/>
                    </a:xfrm>
                    <a:prstGeom prst="rect">
                      <a:avLst/>
                    </a:prstGeom>
                  </pic:spPr>
                </pic:pic>
              </a:graphicData>
            </a:graphic>
          </wp:inline>
        </w:drawing>
      </w:r>
    </w:p>
    <w:p w14:paraId="3655A380" w14:textId="09EBFF2B" w:rsidR="00DD3161" w:rsidRDefault="00DD3161" w:rsidP="00276C8B">
      <w:pPr>
        <w:pStyle w:val="DHHSfigurecaption"/>
      </w:pPr>
      <w:bookmarkStart w:id="104" w:name="_Toc19007999"/>
      <w:bookmarkStart w:id="105" w:name="_Toc19008259"/>
      <w:bookmarkStart w:id="106" w:name="_Toc19008406"/>
      <w:bookmarkStart w:id="107" w:name="_Toc19008553"/>
      <w:bookmarkStart w:id="108" w:name="_Toc27414256"/>
      <w:r w:rsidRPr="00276C8B">
        <w:lastRenderedPageBreak/>
        <w:t>Figure 1.3.3</w:t>
      </w:r>
      <w:r w:rsidR="00A14570" w:rsidRPr="00276C8B">
        <w:t>:</w:t>
      </w:r>
      <w:r w:rsidRPr="00276C8B">
        <w:t xml:space="preserve"> Incidence of lung cancer in Victoria per 100,000 standardised to the 2001 Australian population, by Victorian </w:t>
      </w:r>
      <w:r w:rsidR="005D072A" w:rsidRPr="00276C8B">
        <w:t>LGA</w:t>
      </w:r>
      <w:r w:rsidRPr="00276C8B">
        <w:t>, 2017</w:t>
      </w:r>
      <w:bookmarkEnd w:id="104"/>
      <w:bookmarkEnd w:id="105"/>
      <w:bookmarkEnd w:id="106"/>
      <w:bookmarkEnd w:id="107"/>
      <w:bookmarkEnd w:id="108"/>
    </w:p>
    <w:p w14:paraId="21444319" w14:textId="4D8657B8" w:rsidR="005F6509" w:rsidRPr="00E16B1C" w:rsidRDefault="00E16B1C" w:rsidP="00E16B1C">
      <w:pPr>
        <w:pStyle w:val="DHHSbody"/>
      </w:pPr>
      <w:r>
        <w:rPr>
          <w:noProof/>
        </w:rPr>
        <w:drawing>
          <wp:inline distT="0" distB="0" distL="0" distR="0" wp14:anchorId="7D1A41D9" wp14:editId="397B15FC">
            <wp:extent cx="6629400" cy="4221654"/>
            <wp:effectExtent l="0" t="0" r="0" b="7620"/>
            <wp:docPr id="264" name="Picture 264" descr="This figure shows a map of Victoria showing the highest reported rate of lung cancer in 2017 is in Loddon Shire Council and the lowest reported rate is in Nillumbik Shire Council. The data set is available under 'Measure 1.3 – Incidence of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638877" cy="4227689"/>
                    </a:xfrm>
                    <a:prstGeom prst="rect">
                      <a:avLst/>
                    </a:prstGeom>
                  </pic:spPr>
                </pic:pic>
              </a:graphicData>
            </a:graphic>
          </wp:inline>
        </w:drawing>
      </w:r>
    </w:p>
    <w:p w14:paraId="5800372C" w14:textId="4CA910A2" w:rsidR="00665D4B" w:rsidRPr="0078684F" w:rsidRDefault="00665D4B" w:rsidP="0078684F">
      <w:pPr>
        <w:pStyle w:val="DHHStabletext"/>
        <w:rPr>
          <w:rFonts w:cs="Arial"/>
          <w:b/>
        </w:rPr>
      </w:pPr>
      <w:r w:rsidRPr="00FA2880">
        <w:rPr>
          <w:rStyle w:val="Heading4Char"/>
        </w:rPr>
        <w:t>Measure assessment</w:t>
      </w:r>
    </w:p>
    <w:p w14:paraId="34DA9E85" w14:textId="6E2EE51F" w:rsidR="003E5FD3" w:rsidRPr="0078684F" w:rsidRDefault="003E5FD3" w:rsidP="0078684F">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957B57"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r w:rsidR="00D533B2">
        <w:rPr>
          <w:rFonts w:ascii="Arial" w:hAnsi="Arial" w:cs="Arial"/>
          <w:color w:val="C5511A"/>
        </w:rPr>
        <w:t>)</w:t>
      </w:r>
    </w:p>
    <w:p w14:paraId="46EBCBB5" w14:textId="2DE118E9" w:rsidR="003E5FD3" w:rsidRPr="003E5FD3" w:rsidRDefault="003E5FD3" w:rsidP="0078684F">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957B57">
        <w:rPr>
          <w:rFonts w:ascii="Arial" w:hAnsi="Arial" w:cs="Arial"/>
        </w:rPr>
        <w:t>Static or unchanging</w:t>
      </w:r>
    </w:p>
    <w:p w14:paraId="40A4C239" w14:textId="7E3BCCA4" w:rsidR="00BF71C5" w:rsidRDefault="00F77624" w:rsidP="0078684F">
      <w:pPr>
        <w:pStyle w:val="DHHSbody"/>
        <w:rPr>
          <w:rStyle w:val="A5"/>
          <w:rFonts w:cs="Arial"/>
          <w:color w:val="auto"/>
        </w:rPr>
      </w:pPr>
      <w:r w:rsidRPr="00313494">
        <w:rPr>
          <w:rFonts w:cs="Arial"/>
          <w:lang w:eastAsia="en-AU"/>
        </w:rPr>
        <w:t xml:space="preserve">Commentary: </w:t>
      </w:r>
      <w:r w:rsidR="007B3148">
        <w:rPr>
          <w:rFonts w:cs="Arial"/>
          <w:lang w:eastAsia="en-AU"/>
        </w:rPr>
        <w:t xml:space="preserve">It is well documented that there are </w:t>
      </w:r>
      <w:r w:rsidR="00EB15F1">
        <w:rPr>
          <w:rFonts w:cs="Arial"/>
          <w:lang w:eastAsia="en-AU"/>
        </w:rPr>
        <w:t>several</w:t>
      </w:r>
      <w:r w:rsidR="007B3148">
        <w:t xml:space="preserve"> risk factors relating to develop</w:t>
      </w:r>
      <w:r w:rsidR="006526D9">
        <w:t>ing</w:t>
      </w:r>
      <w:r w:rsidR="007B3148">
        <w:t xml:space="preserve"> lung cancer. Of these, tobacco smoking has been identified as being the greatest risk factor. </w:t>
      </w:r>
      <w:r w:rsidR="00BE6A23">
        <w:rPr>
          <w:lang w:val="en-GB"/>
        </w:rPr>
        <w:t xml:space="preserve">Lung cancer </w:t>
      </w:r>
      <w:r w:rsidR="00F247BE">
        <w:rPr>
          <w:lang w:val="en-GB"/>
        </w:rPr>
        <w:t>has been identified as</w:t>
      </w:r>
      <w:r w:rsidR="00BE6A23">
        <w:rPr>
          <w:lang w:val="en-GB"/>
        </w:rPr>
        <w:t xml:space="preserve"> the leading cause of cancer death and the fifth most common cancer diagnosed in Australia.</w:t>
      </w:r>
      <w:r w:rsidR="00BE6A23">
        <w:rPr>
          <w:rStyle w:val="FootnoteReference"/>
          <w:lang w:val="en-GB"/>
        </w:rPr>
        <w:footnoteReference w:id="12"/>
      </w:r>
      <w:r w:rsidR="00F247BE">
        <w:t xml:space="preserve"> </w:t>
      </w:r>
      <w:r w:rsidR="007B3148">
        <w:t>In</w:t>
      </w:r>
      <w:r w:rsidR="007B3148">
        <w:rPr>
          <w:rFonts w:cs="Arial"/>
          <w:lang w:eastAsia="en-AU"/>
        </w:rPr>
        <w:t xml:space="preserve"> </w:t>
      </w:r>
      <w:r w:rsidR="00BF71C5">
        <w:rPr>
          <w:rFonts w:cs="Arial"/>
          <w:lang w:eastAsia="en-AU"/>
        </w:rPr>
        <w:t>Victoria</w:t>
      </w:r>
      <w:r w:rsidR="006E2C2B">
        <w:rPr>
          <w:rFonts w:cs="Arial"/>
          <w:lang w:eastAsia="en-AU"/>
        </w:rPr>
        <w:t>,</w:t>
      </w:r>
      <w:r w:rsidR="00BF71C5">
        <w:rPr>
          <w:rFonts w:cs="Arial"/>
          <w:lang w:eastAsia="en-AU"/>
        </w:rPr>
        <w:t xml:space="preserve"> latest statistics show that </w:t>
      </w:r>
      <w:r w:rsidRPr="00313494">
        <w:rPr>
          <w:rFonts w:cs="Arial"/>
          <w:lang w:eastAsia="en-AU"/>
        </w:rPr>
        <w:t>l</w:t>
      </w:r>
      <w:r w:rsidRPr="00313494">
        <w:rPr>
          <w:rStyle w:val="A5"/>
          <w:rFonts w:cs="Arial"/>
          <w:color w:val="auto"/>
        </w:rPr>
        <w:t>ung cancer was the fifth most common new cancer (2,990 new cases) in 2017</w:t>
      </w:r>
      <w:r w:rsidR="009A0E77" w:rsidRPr="00313494">
        <w:rPr>
          <w:rStyle w:val="A5"/>
          <w:rFonts w:cs="Arial"/>
          <w:color w:val="auto"/>
        </w:rPr>
        <w:t xml:space="preserve"> </w:t>
      </w:r>
      <w:r w:rsidRPr="00313494">
        <w:rPr>
          <w:rStyle w:val="A5"/>
          <w:rFonts w:cs="Arial"/>
          <w:color w:val="auto"/>
        </w:rPr>
        <w:t>and remains the leading cause of</w:t>
      </w:r>
      <w:r w:rsidR="007421F7">
        <w:rPr>
          <w:rStyle w:val="A5"/>
          <w:rFonts w:cs="Arial"/>
          <w:color w:val="auto"/>
        </w:rPr>
        <w:t xml:space="preserve"> cancer death (1,999 deaths, 18 per cent</w:t>
      </w:r>
      <w:r w:rsidRPr="00313494">
        <w:rPr>
          <w:rStyle w:val="A5"/>
          <w:rFonts w:cs="Arial"/>
          <w:color w:val="auto"/>
        </w:rPr>
        <w:t xml:space="preserve"> of all cancer deaths).</w:t>
      </w:r>
      <w:r w:rsidRPr="00313494">
        <w:rPr>
          <w:rStyle w:val="FootnoteReference"/>
          <w:rFonts w:cs="Arial"/>
        </w:rPr>
        <w:footnoteReference w:id="13"/>
      </w:r>
      <w:r w:rsidR="00207E24">
        <w:rPr>
          <w:rStyle w:val="A5"/>
          <w:rFonts w:cs="Arial"/>
          <w:color w:val="auto"/>
        </w:rPr>
        <w:t xml:space="preserve"> </w:t>
      </w:r>
      <w:r w:rsidR="00BF71C5">
        <w:rPr>
          <w:rStyle w:val="A5"/>
          <w:rFonts w:cs="Arial"/>
          <w:color w:val="auto"/>
        </w:rPr>
        <w:t>The number of</w:t>
      </w:r>
      <w:r w:rsidR="00952FC7">
        <w:rPr>
          <w:rStyle w:val="A5"/>
          <w:rFonts w:cs="Arial"/>
          <w:color w:val="auto"/>
        </w:rPr>
        <w:t xml:space="preserve"> </w:t>
      </w:r>
      <w:r w:rsidR="00BF71C5">
        <w:rPr>
          <w:rStyle w:val="A5"/>
          <w:rFonts w:cs="Arial"/>
          <w:color w:val="auto"/>
        </w:rPr>
        <w:t>lung cancer diagnoses increased from 2,431 in 2010 to 2,983 in 2017 (from 1,444 to 1,677 in males and from 987</w:t>
      </w:r>
      <w:r w:rsidR="007421F7">
        <w:rPr>
          <w:rStyle w:val="A5"/>
          <w:rFonts w:cs="Arial"/>
          <w:color w:val="auto"/>
        </w:rPr>
        <w:t xml:space="preserve"> to 1,306</w:t>
      </w:r>
      <w:r w:rsidR="00BF71C5">
        <w:rPr>
          <w:rStyle w:val="A5"/>
          <w:rFonts w:cs="Arial"/>
          <w:color w:val="auto"/>
        </w:rPr>
        <w:t xml:space="preserve"> among females)</w:t>
      </w:r>
      <w:r w:rsidR="007421F7">
        <w:rPr>
          <w:rStyle w:val="A5"/>
          <w:rFonts w:cs="Arial"/>
          <w:color w:val="auto"/>
        </w:rPr>
        <w:t>.</w:t>
      </w:r>
    </w:p>
    <w:p w14:paraId="36207E2C" w14:textId="5D87C9B6" w:rsidR="00BF71C5" w:rsidRPr="00BF71C5" w:rsidRDefault="00BF71C5" w:rsidP="002B6A3B">
      <w:pPr>
        <w:shd w:val="clear" w:color="auto" w:fill="FFFFFF"/>
        <w:spacing w:after="120" w:line="270" w:lineRule="atLeast"/>
        <w:ind w:left="15" w:right="15"/>
        <w:rPr>
          <w:rFonts w:ascii="Arial" w:hAnsi="Arial" w:cs="Arial"/>
          <w:lang w:val="en" w:eastAsia="en-NZ"/>
        </w:rPr>
      </w:pPr>
      <w:r w:rsidRPr="00BF71C5">
        <w:rPr>
          <w:rFonts w:ascii="Arial" w:hAnsi="Arial" w:cs="Arial"/>
          <w:lang w:val="en" w:eastAsia="en-NZ"/>
        </w:rPr>
        <w:t>The age-standardised in</w:t>
      </w:r>
      <w:r w:rsidR="00BC03CE" w:rsidRPr="0093394C">
        <w:rPr>
          <w:rFonts w:ascii="Arial" w:hAnsi="Arial" w:cs="Arial"/>
          <w:lang w:val="en" w:eastAsia="en-NZ"/>
        </w:rPr>
        <w:t xml:space="preserve">cidence rate per 100,000 </w:t>
      </w:r>
      <w:r w:rsidR="00192D11">
        <w:rPr>
          <w:rFonts w:ascii="Arial" w:hAnsi="Arial" w:cs="Arial"/>
          <w:lang w:val="en" w:eastAsia="en-NZ"/>
        </w:rPr>
        <w:t xml:space="preserve">population </w:t>
      </w:r>
      <w:r w:rsidR="00BC03CE" w:rsidRPr="0093394C">
        <w:rPr>
          <w:rFonts w:ascii="Arial" w:hAnsi="Arial" w:cs="Arial"/>
          <w:lang w:val="en" w:eastAsia="en-NZ"/>
        </w:rPr>
        <w:t xml:space="preserve">overall </w:t>
      </w:r>
      <w:r w:rsidR="008145E0">
        <w:rPr>
          <w:rFonts w:ascii="Arial" w:hAnsi="Arial" w:cs="Arial"/>
          <w:lang w:val="en" w:eastAsia="en-NZ"/>
        </w:rPr>
        <w:t>de</w:t>
      </w:r>
      <w:r w:rsidR="00BC03CE" w:rsidRPr="0093394C">
        <w:rPr>
          <w:rFonts w:ascii="Arial" w:hAnsi="Arial" w:cs="Arial"/>
          <w:lang w:val="en" w:eastAsia="en-NZ"/>
        </w:rPr>
        <w:t>creased slightly from 4</w:t>
      </w:r>
      <w:r w:rsidR="008145E0">
        <w:rPr>
          <w:rFonts w:ascii="Arial" w:hAnsi="Arial" w:cs="Arial"/>
          <w:lang w:val="en" w:eastAsia="en-NZ"/>
        </w:rPr>
        <w:t>2</w:t>
      </w:r>
      <w:r w:rsidRPr="00BF71C5">
        <w:rPr>
          <w:rFonts w:ascii="Arial" w:hAnsi="Arial" w:cs="Arial"/>
          <w:lang w:val="en" w:eastAsia="en-NZ"/>
        </w:rPr>
        <w:t xml:space="preserve"> in</w:t>
      </w:r>
      <w:r w:rsidR="00BC03CE" w:rsidRPr="0093394C">
        <w:rPr>
          <w:rFonts w:ascii="Arial" w:hAnsi="Arial" w:cs="Arial"/>
          <w:lang w:val="en" w:eastAsia="en-NZ"/>
        </w:rPr>
        <w:t xml:space="preserve"> 201</w:t>
      </w:r>
      <w:r w:rsidR="008145E0">
        <w:rPr>
          <w:rFonts w:ascii="Arial" w:hAnsi="Arial" w:cs="Arial"/>
          <w:lang w:val="en" w:eastAsia="en-NZ"/>
        </w:rPr>
        <w:t>4</w:t>
      </w:r>
      <w:r w:rsidR="00BC03CE" w:rsidRPr="0093394C">
        <w:rPr>
          <w:rFonts w:ascii="Arial" w:hAnsi="Arial" w:cs="Arial"/>
          <w:lang w:val="en" w:eastAsia="en-NZ"/>
        </w:rPr>
        <w:t xml:space="preserve"> to 41 in 2017</w:t>
      </w:r>
      <w:r w:rsidRPr="00BF71C5">
        <w:rPr>
          <w:rFonts w:ascii="Arial" w:hAnsi="Arial" w:cs="Arial"/>
          <w:lang w:val="en" w:eastAsia="en-NZ"/>
        </w:rPr>
        <w:t xml:space="preserve">. Among males the age-standardised </w:t>
      </w:r>
      <w:r w:rsidR="00BC03CE" w:rsidRPr="0093394C">
        <w:rPr>
          <w:rFonts w:ascii="Arial" w:hAnsi="Arial" w:cs="Arial"/>
          <w:lang w:val="en" w:eastAsia="en-NZ"/>
        </w:rPr>
        <w:t>incidence rate decreased from 52 in 20</w:t>
      </w:r>
      <w:r w:rsidR="008145E0">
        <w:rPr>
          <w:rFonts w:ascii="Arial" w:hAnsi="Arial" w:cs="Arial"/>
          <w:lang w:val="en" w:eastAsia="en-NZ"/>
        </w:rPr>
        <w:t>14</w:t>
      </w:r>
      <w:r w:rsidR="00BC03CE" w:rsidRPr="0093394C">
        <w:rPr>
          <w:rFonts w:ascii="Arial" w:hAnsi="Arial" w:cs="Arial"/>
          <w:lang w:val="en" w:eastAsia="en-NZ"/>
        </w:rPr>
        <w:t xml:space="preserve"> to 49 in 2017</w:t>
      </w:r>
      <w:r w:rsidRPr="00BF71C5">
        <w:rPr>
          <w:rFonts w:ascii="Arial" w:hAnsi="Arial" w:cs="Arial"/>
          <w:lang w:val="en" w:eastAsia="en-NZ"/>
        </w:rPr>
        <w:t>, but among females</w:t>
      </w:r>
      <w:r w:rsidR="00000AFE">
        <w:rPr>
          <w:rFonts w:ascii="Arial" w:hAnsi="Arial" w:cs="Arial"/>
          <w:lang w:val="en" w:eastAsia="en-NZ"/>
        </w:rPr>
        <w:t xml:space="preserve"> overall</w:t>
      </w:r>
      <w:r w:rsidRPr="00BF71C5">
        <w:rPr>
          <w:rFonts w:ascii="Arial" w:hAnsi="Arial" w:cs="Arial"/>
          <w:lang w:val="en" w:eastAsia="en-NZ"/>
        </w:rPr>
        <w:t xml:space="preserve"> the age-standardised in</w:t>
      </w:r>
      <w:r w:rsidR="00BC03CE" w:rsidRPr="0093394C">
        <w:rPr>
          <w:rFonts w:ascii="Arial" w:hAnsi="Arial" w:cs="Arial"/>
          <w:lang w:val="en" w:eastAsia="en-NZ"/>
        </w:rPr>
        <w:t xml:space="preserve">cidence rate </w:t>
      </w:r>
      <w:r w:rsidR="008145E0">
        <w:rPr>
          <w:rFonts w:ascii="Arial" w:hAnsi="Arial" w:cs="Arial"/>
          <w:lang w:val="en" w:eastAsia="en-NZ"/>
        </w:rPr>
        <w:t>was less than males although it also de</w:t>
      </w:r>
      <w:r w:rsidR="00BC03CE" w:rsidRPr="0093394C">
        <w:rPr>
          <w:rFonts w:ascii="Arial" w:hAnsi="Arial" w:cs="Arial"/>
          <w:lang w:val="en" w:eastAsia="en-NZ"/>
        </w:rPr>
        <w:t>creased from 3</w:t>
      </w:r>
      <w:r w:rsidR="008145E0">
        <w:rPr>
          <w:rFonts w:ascii="Arial" w:hAnsi="Arial" w:cs="Arial"/>
          <w:lang w:val="en" w:eastAsia="en-NZ"/>
        </w:rPr>
        <w:t>4</w:t>
      </w:r>
      <w:r w:rsidR="00BC03CE" w:rsidRPr="0093394C">
        <w:rPr>
          <w:rFonts w:ascii="Arial" w:hAnsi="Arial" w:cs="Arial"/>
          <w:lang w:val="en" w:eastAsia="en-NZ"/>
        </w:rPr>
        <w:t xml:space="preserve"> in 201</w:t>
      </w:r>
      <w:r w:rsidR="008145E0">
        <w:rPr>
          <w:rFonts w:ascii="Arial" w:hAnsi="Arial" w:cs="Arial"/>
          <w:lang w:val="en" w:eastAsia="en-NZ"/>
        </w:rPr>
        <w:t>4</w:t>
      </w:r>
      <w:r w:rsidR="00BC03CE" w:rsidRPr="0093394C">
        <w:rPr>
          <w:rFonts w:ascii="Arial" w:hAnsi="Arial" w:cs="Arial"/>
          <w:lang w:val="en" w:eastAsia="en-NZ"/>
        </w:rPr>
        <w:t xml:space="preserve"> to 33 in 2017 (Figure 1.3)</w:t>
      </w:r>
      <w:r w:rsidRPr="00BF71C5">
        <w:rPr>
          <w:rFonts w:ascii="Arial" w:hAnsi="Arial" w:cs="Arial"/>
          <w:lang w:val="en" w:eastAsia="en-NZ"/>
        </w:rPr>
        <w:t>.</w:t>
      </w:r>
      <w:r w:rsidR="00952FC7">
        <w:rPr>
          <w:rFonts w:ascii="Arial" w:hAnsi="Arial" w:cs="Arial"/>
          <w:vertAlign w:val="superscript"/>
          <w:lang w:val="en" w:eastAsia="en-NZ"/>
        </w:rPr>
        <w:t xml:space="preserve"> </w:t>
      </w:r>
      <w:r w:rsidR="0093394C">
        <w:rPr>
          <w:rFonts w:ascii="Arial" w:hAnsi="Arial" w:cs="Arial"/>
          <w:lang w:val="en" w:eastAsia="en-NZ"/>
        </w:rPr>
        <w:t>The different pattern of incidence rates</w:t>
      </w:r>
      <w:r w:rsidR="00E77901">
        <w:rPr>
          <w:rFonts w:ascii="Arial" w:hAnsi="Arial" w:cs="Arial"/>
          <w:lang w:val="en" w:eastAsia="en-NZ"/>
        </w:rPr>
        <w:t xml:space="preserve"> </w:t>
      </w:r>
      <w:r w:rsidR="008E2F56">
        <w:rPr>
          <w:rFonts w:ascii="Arial" w:hAnsi="Arial" w:cs="Arial"/>
          <w:lang w:val="en" w:eastAsia="en-NZ"/>
        </w:rPr>
        <w:t xml:space="preserve">observed </w:t>
      </w:r>
      <w:r w:rsidR="00000AFE">
        <w:rPr>
          <w:rFonts w:ascii="Arial" w:hAnsi="Arial" w:cs="Arial"/>
          <w:lang w:val="en" w:eastAsia="en-NZ"/>
        </w:rPr>
        <w:t>between</w:t>
      </w:r>
      <w:r w:rsidR="00E77901">
        <w:rPr>
          <w:rFonts w:ascii="Arial" w:hAnsi="Arial" w:cs="Arial"/>
          <w:lang w:val="en" w:eastAsia="en-NZ"/>
        </w:rPr>
        <w:t xml:space="preserve"> males and females is likely to be</w:t>
      </w:r>
      <w:r w:rsidRPr="00BF71C5">
        <w:rPr>
          <w:rFonts w:ascii="Arial" w:hAnsi="Arial" w:cs="Arial"/>
          <w:lang w:val="en" w:eastAsia="en-NZ"/>
        </w:rPr>
        <w:t xml:space="preserve"> attributed to the different trends in cigarette smoking. Smoking uptake increased in the early part of the 20</w:t>
      </w:r>
      <w:r w:rsidRPr="00FA2880">
        <w:rPr>
          <w:rFonts w:ascii="Arial" w:hAnsi="Arial" w:cs="Arial"/>
          <w:lang w:val="en" w:eastAsia="en-NZ"/>
        </w:rPr>
        <w:t>th</w:t>
      </w:r>
      <w:r w:rsidRPr="00BF71C5">
        <w:rPr>
          <w:rFonts w:ascii="Arial" w:hAnsi="Arial" w:cs="Arial"/>
          <w:lang w:val="en" w:eastAsia="en-NZ"/>
        </w:rPr>
        <w:t xml:space="preserve"> century and declined in the latter half o</w:t>
      </w:r>
      <w:r w:rsidR="0093394C">
        <w:rPr>
          <w:rFonts w:ascii="Arial" w:hAnsi="Arial" w:cs="Arial"/>
          <w:lang w:val="en" w:eastAsia="en-NZ"/>
        </w:rPr>
        <w:t>f that</w:t>
      </w:r>
      <w:r w:rsidR="00BC03CE" w:rsidRPr="0093394C">
        <w:rPr>
          <w:rFonts w:ascii="Arial" w:hAnsi="Arial" w:cs="Arial"/>
          <w:lang w:val="en" w:eastAsia="en-NZ"/>
        </w:rPr>
        <w:t xml:space="preserve"> century.</w:t>
      </w:r>
      <w:r w:rsidR="0093394C">
        <w:rPr>
          <w:rStyle w:val="FootnoteReference"/>
          <w:rFonts w:cs="Arial"/>
          <w:lang w:val="en" w:eastAsia="en-NZ"/>
        </w:rPr>
        <w:footnoteReference w:id="14"/>
      </w:r>
    </w:p>
    <w:p w14:paraId="73565DCC" w14:textId="092D7411" w:rsidR="00DF53F4" w:rsidRDefault="00192D11" w:rsidP="002B6A3B">
      <w:pPr>
        <w:pStyle w:val="DHHSbody"/>
        <w:rPr>
          <w:rFonts w:cs="Arial"/>
        </w:rPr>
      </w:pPr>
      <w:r w:rsidRPr="00192D11">
        <w:rPr>
          <w:rFonts w:cs="Arial"/>
          <w:lang w:val="en"/>
        </w:rPr>
        <w:t>In 201</w:t>
      </w:r>
      <w:r w:rsidR="003641CA">
        <w:rPr>
          <w:rFonts w:cs="Arial"/>
          <w:lang w:val="en"/>
        </w:rPr>
        <w:t>4</w:t>
      </w:r>
      <w:r w:rsidRPr="00192D11">
        <w:rPr>
          <w:rFonts w:cs="Arial"/>
          <w:lang w:val="en"/>
        </w:rPr>
        <w:t xml:space="preserve">, the age-standardised lung cancer incidence rate for </w:t>
      </w:r>
      <w:r w:rsidR="00323990">
        <w:rPr>
          <w:rFonts w:cs="Arial"/>
          <w:lang w:val="en"/>
        </w:rPr>
        <w:t xml:space="preserve">Aboriginal </w:t>
      </w:r>
      <w:r w:rsidR="00D61C17">
        <w:rPr>
          <w:rFonts w:cs="Arial"/>
          <w:lang w:val="en"/>
        </w:rPr>
        <w:t>Victorian</w:t>
      </w:r>
      <w:r w:rsidR="00323990">
        <w:rPr>
          <w:rFonts w:cs="Arial"/>
          <w:lang w:val="en"/>
        </w:rPr>
        <w:t>s</w:t>
      </w:r>
      <w:r w:rsidRPr="00192D11">
        <w:rPr>
          <w:rFonts w:cs="Arial"/>
          <w:lang w:val="en"/>
        </w:rPr>
        <w:t xml:space="preserve"> was </w:t>
      </w:r>
      <w:r w:rsidR="003641CA">
        <w:rPr>
          <w:rFonts w:cs="Arial"/>
          <w:lang w:val="en"/>
        </w:rPr>
        <w:t>113</w:t>
      </w:r>
      <w:r w:rsidRPr="00192D11">
        <w:rPr>
          <w:rFonts w:cs="Arial"/>
          <w:lang w:val="en"/>
        </w:rPr>
        <w:t xml:space="preserve"> new cases per 100,000 population, which </w:t>
      </w:r>
      <w:r w:rsidR="003641CA">
        <w:rPr>
          <w:rFonts w:cs="Arial"/>
          <w:lang w:val="en"/>
        </w:rPr>
        <w:t>de</w:t>
      </w:r>
      <w:r w:rsidRPr="00192D11">
        <w:rPr>
          <w:rFonts w:cs="Arial"/>
          <w:lang w:val="en"/>
        </w:rPr>
        <w:t>creased to 103 new cases per 100,000 population in 2017.</w:t>
      </w:r>
      <w:r>
        <w:rPr>
          <w:rFonts w:cs="Arial"/>
          <w:lang w:val="en"/>
        </w:rPr>
        <w:t xml:space="preserve"> </w:t>
      </w:r>
      <w:r w:rsidRPr="003806BF">
        <w:rPr>
          <w:rFonts w:cs="Arial"/>
        </w:rPr>
        <w:t xml:space="preserve">Low SES </w:t>
      </w:r>
      <w:r>
        <w:rPr>
          <w:rFonts w:cs="Arial"/>
        </w:rPr>
        <w:t>was</w:t>
      </w:r>
      <w:r w:rsidRPr="003806BF">
        <w:rPr>
          <w:rFonts w:cs="Arial"/>
        </w:rPr>
        <w:t xml:space="preserve"> associated with an </w:t>
      </w:r>
      <w:r w:rsidRPr="003806BF">
        <w:rPr>
          <w:rFonts w:cs="Arial"/>
        </w:rPr>
        <w:lastRenderedPageBreak/>
        <w:t>increased</w:t>
      </w:r>
      <w:r>
        <w:rPr>
          <w:rFonts w:cs="Arial"/>
        </w:rPr>
        <w:t xml:space="preserve"> risk for develop</w:t>
      </w:r>
      <w:r w:rsidR="00C87984">
        <w:rPr>
          <w:rFonts w:cs="Arial"/>
        </w:rPr>
        <w:t>ing</w:t>
      </w:r>
      <w:r>
        <w:rPr>
          <w:rFonts w:cs="Arial"/>
        </w:rPr>
        <w:t xml:space="preserve"> lung cancer between 201</w:t>
      </w:r>
      <w:r w:rsidR="003641CA">
        <w:rPr>
          <w:rFonts w:cs="Arial"/>
        </w:rPr>
        <w:t>4</w:t>
      </w:r>
      <w:r>
        <w:rPr>
          <w:rFonts w:cs="Arial"/>
        </w:rPr>
        <w:t xml:space="preserve"> and 2017. The lung cancer incidence rate between Victorians was highest in the most disadvantaged socioeconomic quintile (SES 1) in both 201</w:t>
      </w:r>
      <w:r w:rsidR="003641CA">
        <w:rPr>
          <w:rFonts w:cs="Arial"/>
        </w:rPr>
        <w:t>4</w:t>
      </w:r>
      <w:r>
        <w:rPr>
          <w:rFonts w:cs="Arial"/>
        </w:rPr>
        <w:t xml:space="preserve"> and 2017</w:t>
      </w:r>
      <w:r w:rsidR="00552F41">
        <w:rPr>
          <w:rFonts w:cs="Arial"/>
        </w:rPr>
        <w:t>,</w:t>
      </w:r>
      <w:r w:rsidR="002B6A3B">
        <w:rPr>
          <w:rFonts w:cs="Arial"/>
        </w:rPr>
        <w:t xml:space="preserve"> </w:t>
      </w:r>
      <w:r w:rsidR="003641CA">
        <w:rPr>
          <w:rFonts w:cs="Arial"/>
        </w:rPr>
        <w:t>de</w:t>
      </w:r>
      <w:r w:rsidR="002B6A3B">
        <w:rPr>
          <w:rFonts w:cs="Arial"/>
        </w:rPr>
        <w:t xml:space="preserve">creasing from </w:t>
      </w:r>
      <w:r w:rsidR="003641CA">
        <w:rPr>
          <w:rFonts w:cs="Arial"/>
        </w:rPr>
        <w:t>60</w:t>
      </w:r>
      <w:r w:rsidR="002B6A3B">
        <w:rPr>
          <w:rFonts w:cs="Arial"/>
        </w:rPr>
        <w:t xml:space="preserve"> per 100,000 population to 56 per 100,000 population (Figure 1.3)</w:t>
      </w:r>
      <w:r>
        <w:rPr>
          <w:rFonts w:cs="Arial"/>
        </w:rPr>
        <w:t xml:space="preserve">. </w:t>
      </w:r>
      <w:r w:rsidR="002B6A3B">
        <w:rPr>
          <w:rFonts w:cs="Arial"/>
        </w:rPr>
        <w:t>A similar pattern was observed for remoteness areas</w:t>
      </w:r>
      <w:r w:rsidR="00C87984">
        <w:rPr>
          <w:rFonts w:cs="Arial"/>
        </w:rPr>
        <w:t>,</w:t>
      </w:r>
      <w:r w:rsidR="002B6A3B">
        <w:rPr>
          <w:rFonts w:cs="Arial"/>
        </w:rPr>
        <w:t xml:space="preserve"> with those </w:t>
      </w:r>
      <w:r>
        <w:rPr>
          <w:rFonts w:cs="Arial"/>
        </w:rPr>
        <w:t xml:space="preserve">Victorians living in the </w:t>
      </w:r>
      <w:r w:rsidR="00323990">
        <w:rPr>
          <w:rFonts w:cs="Arial"/>
        </w:rPr>
        <w:t>o</w:t>
      </w:r>
      <w:r>
        <w:rPr>
          <w:rFonts w:cs="Arial"/>
        </w:rPr>
        <w:t>uter regional/remote areas</w:t>
      </w:r>
      <w:r w:rsidR="002B6A3B">
        <w:rPr>
          <w:rFonts w:cs="Arial"/>
        </w:rPr>
        <w:t xml:space="preserve"> having a higher incidence rate (4</w:t>
      </w:r>
      <w:r w:rsidR="003641CA">
        <w:rPr>
          <w:rFonts w:cs="Arial"/>
        </w:rPr>
        <w:t>8</w:t>
      </w:r>
      <w:r>
        <w:rPr>
          <w:rFonts w:cs="Arial"/>
        </w:rPr>
        <w:t xml:space="preserve"> per 10</w:t>
      </w:r>
      <w:r w:rsidR="002B6A3B">
        <w:rPr>
          <w:rFonts w:cs="Arial"/>
        </w:rPr>
        <w:t>0,000 population in 201</w:t>
      </w:r>
      <w:r w:rsidR="003641CA">
        <w:rPr>
          <w:rFonts w:cs="Arial"/>
        </w:rPr>
        <w:t>4</w:t>
      </w:r>
      <w:r w:rsidR="002B6A3B">
        <w:rPr>
          <w:rFonts w:cs="Arial"/>
        </w:rPr>
        <w:t xml:space="preserve"> </w:t>
      </w:r>
      <w:r w:rsidR="003641CA">
        <w:rPr>
          <w:rFonts w:cs="Arial"/>
        </w:rPr>
        <w:t>decreasing</w:t>
      </w:r>
      <w:r>
        <w:rPr>
          <w:rFonts w:cs="Arial"/>
        </w:rPr>
        <w:t xml:space="preserve"> to</w:t>
      </w:r>
      <w:r w:rsidR="002B6A3B">
        <w:rPr>
          <w:rFonts w:cs="Arial"/>
        </w:rPr>
        <w:t xml:space="preserve"> 45</w:t>
      </w:r>
      <w:r>
        <w:rPr>
          <w:rFonts w:cs="Arial"/>
        </w:rPr>
        <w:t xml:space="preserve"> per 100,000 population in 2017) compared with </w:t>
      </w:r>
      <w:r w:rsidR="002B6A3B">
        <w:rPr>
          <w:rFonts w:cs="Arial"/>
        </w:rPr>
        <w:t xml:space="preserve">those living in </w:t>
      </w:r>
      <w:r w:rsidR="00323990">
        <w:rPr>
          <w:rFonts w:cs="Arial"/>
        </w:rPr>
        <w:t>m</w:t>
      </w:r>
      <w:r w:rsidR="002B6A3B">
        <w:rPr>
          <w:rFonts w:cs="Arial"/>
        </w:rPr>
        <w:t>ajor cities (</w:t>
      </w:r>
      <w:r w:rsidR="003641CA">
        <w:rPr>
          <w:rFonts w:cs="Arial"/>
        </w:rPr>
        <w:t>41</w:t>
      </w:r>
      <w:r>
        <w:rPr>
          <w:rFonts w:cs="Arial"/>
        </w:rPr>
        <w:t xml:space="preserve"> per 10</w:t>
      </w:r>
      <w:r w:rsidR="002B6A3B">
        <w:rPr>
          <w:rFonts w:cs="Arial"/>
        </w:rPr>
        <w:t>0,000 population in 201</w:t>
      </w:r>
      <w:r w:rsidR="003641CA">
        <w:rPr>
          <w:rFonts w:cs="Arial"/>
        </w:rPr>
        <w:t>4</w:t>
      </w:r>
      <w:r w:rsidR="002B6A3B">
        <w:rPr>
          <w:rFonts w:cs="Arial"/>
        </w:rPr>
        <w:t xml:space="preserve"> </w:t>
      </w:r>
      <w:r w:rsidR="003641CA">
        <w:rPr>
          <w:rFonts w:cs="Arial"/>
        </w:rPr>
        <w:t>decreasing</w:t>
      </w:r>
      <w:r w:rsidR="002B6A3B">
        <w:rPr>
          <w:rFonts w:cs="Arial"/>
        </w:rPr>
        <w:t xml:space="preserve"> slightly to 38</w:t>
      </w:r>
      <w:r>
        <w:rPr>
          <w:rFonts w:cs="Arial"/>
        </w:rPr>
        <w:t xml:space="preserve"> per 100,000 population in 2017).</w:t>
      </w:r>
      <w:r w:rsidR="00952FC7">
        <w:rPr>
          <w:rFonts w:cs="Arial"/>
        </w:rPr>
        <w:t xml:space="preserve"> </w:t>
      </w:r>
      <w:r w:rsidR="007D0891">
        <w:rPr>
          <w:rFonts w:cs="Arial"/>
        </w:rPr>
        <w:t xml:space="preserve">Figure 1.3.1 shows that incidence rates were lower for metropolitan </w:t>
      </w:r>
      <w:r w:rsidR="00D602E8">
        <w:rPr>
          <w:rFonts w:cs="Arial"/>
        </w:rPr>
        <w:t>ICSs</w:t>
      </w:r>
      <w:r w:rsidR="007D0891">
        <w:rPr>
          <w:rFonts w:cs="Arial"/>
        </w:rPr>
        <w:t xml:space="preserve"> such as</w:t>
      </w:r>
      <w:r w:rsidR="00D61C17">
        <w:rPr>
          <w:rFonts w:cs="Arial"/>
        </w:rPr>
        <w:t xml:space="preserve"> </w:t>
      </w:r>
      <w:r w:rsidR="0025343B">
        <w:rPr>
          <w:rFonts w:cs="Arial"/>
        </w:rPr>
        <w:t>NEMICS and WCMICS</w:t>
      </w:r>
      <w:r w:rsidR="00D602E8">
        <w:rPr>
          <w:rFonts w:cs="Arial"/>
        </w:rPr>
        <w:t xml:space="preserve"> compared </w:t>
      </w:r>
      <w:r w:rsidR="001B50BF">
        <w:rPr>
          <w:rFonts w:cs="Arial"/>
        </w:rPr>
        <w:t xml:space="preserve">with </w:t>
      </w:r>
      <w:r w:rsidR="00D602E8">
        <w:rPr>
          <w:rFonts w:cs="Arial"/>
        </w:rPr>
        <w:t>regional/rural ICSs</w:t>
      </w:r>
      <w:r w:rsidR="00C87984">
        <w:rPr>
          <w:rFonts w:cs="Arial"/>
        </w:rPr>
        <w:t>,</w:t>
      </w:r>
      <w:r w:rsidR="00D602E8">
        <w:rPr>
          <w:rFonts w:cs="Arial"/>
        </w:rPr>
        <w:t xml:space="preserve"> although </w:t>
      </w:r>
      <w:r w:rsidR="00524103">
        <w:rPr>
          <w:rFonts w:cs="Arial"/>
        </w:rPr>
        <w:t xml:space="preserve">both </w:t>
      </w:r>
      <w:r w:rsidR="00D602E8">
        <w:rPr>
          <w:rFonts w:cs="Arial"/>
        </w:rPr>
        <w:t xml:space="preserve">showed a slight in increase between </w:t>
      </w:r>
      <w:r w:rsidR="00524103">
        <w:rPr>
          <w:rFonts w:cs="Arial"/>
        </w:rPr>
        <w:t>201</w:t>
      </w:r>
      <w:r w:rsidR="003641CA">
        <w:rPr>
          <w:rFonts w:cs="Arial"/>
        </w:rPr>
        <w:t>4</w:t>
      </w:r>
      <w:r w:rsidR="00524103">
        <w:rPr>
          <w:rFonts w:cs="Arial"/>
        </w:rPr>
        <w:t xml:space="preserve"> and 2017.</w:t>
      </w:r>
      <w:r w:rsidR="00952FC7">
        <w:rPr>
          <w:rFonts w:cs="Arial"/>
        </w:rPr>
        <w:t xml:space="preserve"> </w:t>
      </w:r>
      <w:r w:rsidR="00524103">
        <w:rPr>
          <w:rFonts w:cs="Arial"/>
        </w:rPr>
        <w:t>This was contrary to most of the regional/rural ICS</w:t>
      </w:r>
      <w:r w:rsidR="00C87984">
        <w:rPr>
          <w:rFonts w:cs="Arial"/>
        </w:rPr>
        <w:t>,</w:t>
      </w:r>
      <w:r w:rsidR="00524103">
        <w:rPr>
          <w:rFonts w:cs="Arial"/>
        </w:rPr>
        <w:t xml:space="preserve"> which showed a decreasing gradient in the incidence rate during the study period.</w:t>
      </w:r>
    </w:p>
    <w:p w14:paraId="53594056" w14:textId="55C64D74" w:rsidR="00DF53F4" w:rsidRPr="00EC1599" w:rsidRDefault="00DF53F4" w:rsidP="002B6A3B">
      <w:pPr>
        <w:pStyle w:val="DHHSbody"/>
        <w:rPr>
          <w:rFonts w:cs="Arial"/>
          <w:color w:val="000000" w:themeColor="text1"/>
          <w:highlight w:val="green"/>
          <w:lang w:eastAsia="en-AU"/>
        </w:rPr>
      </w:pPr>
      <w:r>
        <w:rPr>
          <w:rFonts w:cs="Arial"/>
          <w:color w:val="000000" w:themeColor="text1"/>
          <w:lang w:eastAsia="en-AU"/>
        </w:rPr>
        <w:t>Figures 1.3</w:t>
      </w:r>
      <w:r w:rsidRPr="001F03E2">
        <w:rPr>
          <w:rFonts w:cs="Arial"/>
          <w:color w:val="000000" w:themeColor="text1"/>
          <w:lang w:eastAsia="en-AU"/>
        </w:rPr>
        <w:t>.</w:t>
      </w:r>
      <w:r>
        <w:rPr>
          <w:rFonts w:cs="Arial"/>
          <w:color w:val="000000" w:themeColor="text1"/>
          <w:lang w:eastAsia="en-AU"/>
        </w:rPr>
        <w:t>2 and 1.3</w:t>
      </w:r>
      <w:r w:rsidRPr="001F03E2">
        <w:rPr>
          <w:rFonts w:cs="Arial"/>
          <w:color w:val="000000" w:themeColor="text1"/>
          <w:lang w:eastAsia="en-AU"/>
        </w:rPr>
        <w:t>.</w:t>
      </w:r>
      <w:r>
        <w:rPr>
          <w:rFonts w:cs="Arial"/>
          <w:color w:val="000000" w:themeColor="text1"/>
          <w:lang w:eastAsia="en-AU"/>
        </w:rPr>
        <w:t>3 present a</w:t>
      </w:r>
      <w:r w:rsidRPr="001F03E2">
        <w:rPr>
          <w:rFonts w:cs="Arial"/>
          <w:color w:val="000000" w:themeColor="text1"/>
          <w:lang w:eastAsia="en-AU"/>
        </w:rPr>
        <w:t xml:space="preserve"> geospatial distribution of the incidence of </w:t>
      </w:r>
      <w:r>
        <w:rPr>
          <w:rFonts w:cs="Arial"/>
          <w:color w:val="000000" w:themeColor="text1"/>
          <w:lang w:eastAsia="en-AU"/>
        </w:rPr>
        <w:t xml:space="preserve">lung cancer </w:t>
      </w:r>
      <w:r w:rsidRPr="001F03E2">
        <w:rPr>
          <w:rFonts w:cs="Arial"/>
          <w:color w:val="000000" w:themeColor="text1"/>
          <w:lang w:eastAsia="en-AU"/>
        </w:rPr>
        <w:t xml:space="preserve">by </w:t>
      </w:r>
      <w:r w:rsidR="005D072A">
        <w:rPr>
          <w:rFonts w:cs="Arial"/>
          <w:color w:val="000000" w:themeColor="text1"/>
          <w:lang w:eastAsia="en-AU"/>
        </w:rPr>
        <w:t>LGA</w:t>
      </w:r>
      <w:r w:rsidRPr="001F03E2">
        <w:rPr>
          <w:rFonts w:cs="Arial"/>
          <w:color w:val="000000" w:themeColor="text1"/>
          <w:lang w:eastAsia="en-AU"/>
        </w:rPr>
        <w:t xml:space="preserve"> and show variations in rates across Victoria between 201</w:t>
      </w:r>
      <w:r w:rsidR="003641CA">
        <w:rPr>
          <w:rFonts w:cs="Arial"/>
          <w:color w:val="000000" w:themeColor="text1"/>
          <w:lang w:eastAsia="en-AU"/>
        </w:rPr>
        <w:t>4</w:t>
      </w:r>
      <w:r w:rsidRPr="001F03E2">
        <w:rPr>
          <w:rFonts w:cs="Arial"/>
          <w:color w:val="000000" w:themeColor="text1"/>
          <w:lang w:eastAsia="en-AU"/>
        </w:rPr>
        <w:t xml:space="preserve"> and 2017.</w:t>
      </w:r>
      <w:r w:rsidR="00EC1599">
        <w:rPr>
          <w:rFonts w:cs="Arial"/>
          <w:color w:val="000000" w:themeColor="text1"/>
          <w:lang w:eastAsia="en-AU"/>
        </w:rPr>
        <w:t xml:space="preserve"> Fifty-</w:t>
      </w:r>
      <w:r w:rsidR="003B5256">
        <w:rPr>
          <w:rFonts w:cs="Arial"/>
          <w:color w:val="000000" w:themeColor="text1"/>
          <w:lang w:eastAsia="en-AU"/>
        </w:rPr>
        <w:t>three</w:t>
      </w:r>
      <w:r w:rsidR="00EC1599">
        <w:rPr>
          <w:rFonts w:cs="Arial"/>
          <w:color w:val="000000" w:themeColor="text1"/>
          <w:lang w:eastAsia="en-AU"/>
        </w:rPr>
        <w:t xml:space="preserve"> per</w:t>
      </w:r>
      <w:r w:rsidR="00821B8F">
        <w:rPr>
          <w:rFonts w:cs="Arial"/>
          <w:color w:val="000000" w:themeColor="text1"/>
          <w:lang w:eastAsia="en-AU"/>
        </w:rPr>
        <w:t xml:space="preserve"> </w:t>
      </w:r>
      <w:r>
        <w:rPr>
          <w:rFonts w:cs="Arial"/>
          <w:color w:val="000000" w:themeColor="text1"/>
          <w:lang w:eastAsia="en-AU"/>
        </w:rPr>
        <w:t xml:space="preserve">cent of the 79 Victorian </w:t>
      </w:r>
      <w:r w:rsidRPr="00BC56E0">
        <w:rPr>
          <w:rFonts w:cs="Arial"/>
          <w:color w:val="000000" w:themeColor="text1"/>
          <w:lang w:eastAsia="en-AU"/>
        </w:rPr>
        <w:t>LGAs had higher inc</w:t>
      </w:r>
      <w:r w:rsidR="00EC1599">
        <w:rPr>
          <w:rFonts w:cs="Arial"/>
          <w:color w:val="000000" w:themeColor="text1"/>
          <w:lang w:eastAsia="en-AU"/>
        </w:rPr>
        <w:t>idence rates of lung cancer</w:t>
      </w:r>
      <w:r w:rsidRPr="00BC56E0">
        <w:rPr>
          <w:rFonts w:cs="Arial"/>
          <w:color w:val="000000" w:themeColor="text1"/>
          <w:lang w:eastAsia="en-AU"/>
        </w:rPr>
        <w:t xml:space="preserve"> than the overall rate </w:t>
      </w:r>
      <w:r w:rsidR="00EC1599">
        <w:rPr>
          <w:rFonts w:cs="Arial"/>
          <w:color w:val="000000" w:themeColor="text1"/>
          <w:lang w:eastAsia="en-AU"/>
        </w:rPr>
        <w:t>(4</w:t>
      </w:r>
      <w:r w:rsidR="003B5256">
        <w:rPr>
          <w:rFonts w:cs="Arial"/>
          <w:color w:val="000000" w:themeColor="text1"/>
          <w:lang w:eastAsia="en-AU"/>
        </w:rPr>
        <w:t>2</w:t>
      </w:r>
      <w:r w:rsidRPr="00BC56E0">
        <w:rPr>
          <w:rFonts w:cs="Arial"/>
          <w:color w:val="000000" w:themeColor="text1"/>
          <w:lang w:eastAsia="en-AU"/>
        </w:rPr>
        <w:t xml:space="preserve"> per 100,000 population) for Victoria in 201</w:t>
      </w:r>
      <w:r w:rsidR="003B5256">
        <w:rPr>
          <w:rFonts w:cs="Arial"/>
          <w:color w:val="000000" w:themeColor="text1"/>
          <w:lang w:eastAsia="en-AU"/>
        </w:rPr>
        <w:t>4</w:t>
      </w:r>
      <w:r w:rsidRPr="00BC56E0">
        <w:rPr>
          <w:rFonts w:cs="Arial"/>
          <w:color w:val="000000" w:themeColor="text1"/>
          <w:lang w:eastAsia="en-AU"/>
        </w:rPr>
        <w:t>.</w:t>
      </w:r>
      <w:r w:rsidR="00EC1599">
        <w:rPr>
          <w:rFonts w:cs="Arial"/>
          <w:color w:val="000000" w:themeColor="text1"/>
          <w:lang w:eastAsia="en-AU"/>
        </w:rPr>
        <w:t xml:space="preserve"> </w:t>
      </w:r>
      <w:r w:rsidR="003B5256">
        <w:rPr>
          <w:rFonts w:cs="Arial"/>
          <w:color w:val="000000" w:themeColor="text1"/>
          <w:lang w:eastAsia="en-AU"/>
        </w:rPr>
        <w:t>Murrindindi</w:t>
      </w:r>
      <w:r w:rsidR="00EC1599">
        <w:rPr>
          <w:rFonts w:cs="Arial"/>
          <w:color w:val="000000" w:themeColor="text1"/>
          <w:lang w:eastAsia="en-AU"/>
        </w:rPr>
        <w:t xml:space="preserve"> Shire</w:t>
      </w:r>
      <w:r w:rsidRPr="00BC56E0">
        <w:rPr>
          <w:rFonts w:cs="Arial"/>
          <w:color w:val="000000" w:themeColor="text1"/>
          <w:lang w:eastAsia="en-AU"/>
        </w:rPr>
        <w:t xml:space="preserve"> LGA reported</w:t>
      </w:r>
      <w:r w:rsidR="00EC1599">
        <w:rPr>
          <w:rFonts w:cs="Arial"/>
          <w:color w:val="000000" w:themeColor="text1"/>
          <w:lang w:eastAsia="en-AU"/>
        </w:rPr>
        <w:t xml:space="preserve"> the highest incidence rate (</w:t>
      </w:r>
      <w:r w:rsidR="000836FA">
        <w:rPr>
          <w:rFonts w:cs="Arial"/>
          <w:color w:val="000000" w:themeColor="text1"/>
          <w:lang w:eastAsia="en-AU"/>
        </w:rPr>
        <w:t>108</w:t>
      </w:r>
      <w:r w:rsidRPr="00BC56E0">
        <w:rPr>
          <w:rFonts w:cs="Arial"/>
          <w:color w:val="000000" w:themeColor="text1"/>
          <w:lang w:eastAsia="en-AU"/>
        </w:rPr>
        <w:t xml:space="preserve"> per 100,000 population) </w:t>
      </w:r>
      <w:r>
        <w:rPr>
          <w:rFonts w:cs="Arial"/>
          <w:color w:val="000000" w:themeColor="text1"/>
          <w:lang w:eastAsia="en-AU"/>
        </w:rPr>
        <w:t>and</w:t>
      </w:r>
      <w:r w:rsidR="00EC1599">
        <w:rPr>
          <w:rFonts w:cs="Arial"/>
          <w:color w:val="000000" w:themeColor="text1"/>
          <w:lang w:eastAsia="en-AU"/>
        </w:rPr>
        <w:t xml:space="preserve"> </w:t>
      </w:r>
      <w:r w:rsidR="000836FA">
        <w:rPr>
          <w:rFonts w:cs="Arial"/>
          <w:color w:val="000000" w:themeColor="text1"/>
          <w:lang w:eastAsia="en-AU"/>
        </w:rPr>
        <w:t>Bayside City</w:t>
      </w:r>
      <w:r w:rsidRPr="00BC56E0">
        <w:rPr>
          <w:rFonts w:cs="Arial"/>
          <w:color w:val="000000" w:themeColor="text1"/>
          <w:lang w:eastAsia="en-AU"/>
        </w:rPr>
        <w:t xml:space="preserve"> LG</w:t>
      </w:r>
      <w:r w:rsidR="00EC1599">
        <w:rPr>
          <w:rFonts w:cs="Arial"/>
          <w:color w:val="000000" w:themeColor="text1"/>
          <w:lang w:eastAsia="en-AU"/>
        </w:rPr>
        <w:t>A the lowest incidence rate (1</w:t>
      </w:r>
      <w:r w:rsidR="000836FA">
        <w:rPr>
          <w:rFonts w:cs="Arial"/>
          <w:color w:val="000000" w:themeColor="text1"/>
          <w:lang w:eastAsia="en-AU"/>
        </w:rPr>
        <w:t>9</w:t>
      </w:r>
      <w:r w:rsidRPr="00BC56E0">
        <w:rPr>
          <w:rFonts w:cs="Arial"/>
          <w:color w:val="000000" w:themeColor="text1"/>
          <w:lang w:eastAsia="en-AU"/>
        </w:rPr>
        <w:t xml:space="preserve"> per 100,000 population) in 201</w:t>
      </w:r>
      <w:r w:rsidR="000836FA">
        <w:rPr>
          <w:rFonts w:cs="Arial"/>
          <w:color w:val="000000" w:themeColor="text1"/>
          <w:lang w:eastAsia="en-AU"/>
        </w:rPr>
        <w:t>4</w:t>
      </w:r>
      <w:r w:rsidR="00EC1599">
        <w:rPr>
          <w:rFonts w:cs="Arial"/>
          <w:color w:val="000000" w:themeColor="text1"/>
          <w:lang w:eastAsia="en-AU"/>
        </w:rPr>
        <w:t xml:space="preserve"> (Figure 1.3</w:t>
      </w:r>
      <w:r>
        <w:rPr>
          <w:rFonts w:cs="Arial"/>
          <w:color w:val="000000" w:themeColor="text1"/>
          <w:lang w:eastAsia="en-AU"/>
        </w:rPr>
        <w:t>.2)</w:t>
      </w:r>
      <w:r w:rsidRPr="00BC56E0">
        <w:rPr>
          <w:rFonts w:cs="Arial"/>
          <w:color w:val="000000" w:themeColor="text1"/>
          <w:lang w:eastAsia="en-AU"/>
        </w:rPr>
        <w:t>.</w:t>
      </w:r>
      <w:r w:rsidR="00952FC7">
        <w:rPr>
          <w:rFonts w:cs="Arial"/>
          <w:color w:val="000000" w:themeColor="text1"/>
          <w:lang w:eastAsia="en-AU"/>
        </w:rPr>
        <w:t xml:space="preserve"> </w:t>
      </w:r>
      <w:r w:rsidR="00EC1599">
        <w:rPr>
          <w:rFonts w:cs="Arial"/>
          <w:color w:val="000000" w:themeColor="text1"/>
          <w:lang w:eastAsia="en-AU"/>
        </w:rPr>
        <w:t>By comparison, 52</w:t>
      </w:r>
      <w:r w:rsidRPr="00BC56E0">
        <w:rPr>
          <w:rFonts w:cs="Arial"/>
          <w:color w:val="000000" w:themeColor="text1"/>
          <w:lang w:eastAsia="en-AU"/>
        </w:rPr>
        <w:t xml:space="preserve"> per cent of the 79 LGAs had high</w:t>
      </w:r>
      <w:r>
        <w:rPr>
          <w:rFonts w:cs="Arial"/>
          <w:color w:val="000000" w:themeColor="text1"/>
          <w:lang w:eastAsia="en-AU"/>
        </w:rPr>
        <w:t>er</w:t>
      </w:r>
      <w:r w:rsidRPr="00BC56E0">
        <w:rPr>
          <w:rFonts w:cs="Arial"/>
          <w:color w:val="000000" w:themeColor="text1"/>
          <w:lang w:eastAsia="en-AU"/>
        </w:rPr>
        <w:t xml:space="preserve"> incidenc</w:t>
      </w:r>
      <w:r w:rsidR="00EC1599">
        <w:rPr>
          <w:rFonts w:cs="Arial"/>
          <w:color w:val="000000" w:themeColor="text1"/>
          <w:lang w:eastAsia="en-AU"/>
        </w:rPr>
        <w:t>e rates of lung cancer than the overall rate (41</w:t>
      </w:r>
      <w:r w:rsidRPr="00BC56E0">
        <w:rPr>
          <w:rFonts w:cs="Arial"/>
          <w:color w:val="000000" w:themeColor="text1"/>
          <w:lang w:eastAsia="en-AU"/>
        </w:rPr>
        <w:t xml:space="preserve"> per 100,000 population) for Victoria in 2017.</w:t>
      </w:r>
      <w:r w:rsidR="00EC1599">
        <w:rPr>
          <w:rFonts w:cs="Arial"/>
          <w:color w:val="000000" w:themeColor="text1"/>
          <w:lang w:eastAsia="en-AU"/>
        </w:rPr>
        <w:t xml:space="preserve"> Loddon</w:t>
      </w:r>
      <w:r>
        <w:rPr>
          <w:rFonts w:cs="Arial"/>
          <w:color w:val="000000" w:themeColor="text1"/>
          <w:lang w:eastAsia="en-AU"/>
        </w:rPr>
        <w:t xml:space="preserve"> Shire LGA reporte</w:t>
      </w:r>
      <w:r w:rsidR="00EC1599">
        <w:rPr>
          <w:rFonts w:cs="Arial"/>
          <w:color w:val="000000" w:themeColor="text1"/>
          <w:lang w:eastAsia="en-AU"/>
        </w:rPr>
        <w:t>d the highest incidence rate (</w:t>
      </w:r>
      <w:r>
        <w:rPr>
          <w:rFonts w:cs="Arial"/>
          <w:color w:val="000000" w:themeColor="text1"/>
          <w:lang w:eastAsia="en-AU"/>
        </w:rPr>
        <w:t>7</w:t>
      </w:r>
      <w:r w:rsidR="00EC1599">
        <w:rPr>
          <w:rFonts w:cs="Arial"/>
          <w:color w:val="000000" w:themeColor="text1"/>
          <w:lang w:eastAsia="en-AU"/>
        </w:rPr>
        <w:t>8</w:t>
      </w:r>
      <w:r>
        <w:rPr>
          <w:rFonts w:cs="Arial"/>
          <w:color w:val="000000" w:themeColor="text1"/>
          <w:lang w:eastAsia="en-AU"/>
        </w:rPr>
        <w:t xml:space="preserve"> per 100,</w:t>
      </w:r>
      <w:r w:rsidR="00EC1599">
        <w:rPr>
          <w:rFonts w:cs="Arial"/>
          <w:color w:val="000000" w:themeColor="text1"/>
          <w:lang w:eastAsia="en-AU"/>
        </w:rPr>
        <w:t>000 population) and the Nillumbik Shire LGA the lowest (19</w:t>
      </w:r>
      <w:r>
        <w:rPr>
          <w:rFonts w:cs="Arial"/>
          <w:color w:val="000000" w:themeColor="text1"/>
          <w:lang w:eastAsia="en-AU"/>
        </w:rPr>
        <w:t xml:space="preserve"> per 100,000 populatio</w:t>
      </w:r>
      <w:r w:rsidR="00EC1599">
        <w:rPr>
          <w:rFonts w:cs="Arial"/>
          <w:color w:val="000000" w:themeColor="text1"/>
          <w:lang w:eastAsia="en-AU"/>
        </w:rPr>
        <w:t>n in 2017 (Figure 1.3</w:t>
      </w:r>
      <w:r>
        <w:rPr>
          <w:rFonts w:cs="Arial"/>
          <w:color w:val="000000" w:themeColor="text1"/>
          <w:lang w:eastAsia="en-AU"/>
        </w:rPr>
        <w:t>.3).</w:t>
      </w:r>
      <w:r w:rsidR="00952FC7">
        <w:rPr>
          <w:rFonts w:cs="Arial"/>
          <w:color w:val="000000" w:themeColor="text1"/>
          <w:lang w:eastAsia="en-AU"/>
        </w:rPr>
        <w:t xml:space="preserve"> </w:t>
      </w:r>
      <w:r>
        <w:rPr>
          <w:rFonts w:cs="Arial"/>
          <w:color w:val="000000" w:themeColor="text1"/>
          <w:lang w:eastAsia="en-AU"/>
        </w:rPr>
        <w:t xml:space="preserve">Overall, </w:t>
      </w:r>
      <w:r w:rsidRPr="00AB4A70">
        <w:rPr>
          <w:rFonts w:cs="Arial"/>
          <w:color w:val="000000" w:themeColor="text1"/>
          <w:lang w:eastAsia="en-AU"/>
        </w:rPr>
        <w:t xml:space="preserve">most of the 79 LGAs reported slight fluctuations in the incidence rate </w:t>
      </w:r>
      <w:r w:rsidR="00EC1599">
        <w:rPr>
          <w:rFonts w:cs="Arial"/>
          <w:color w:val="000000" w:themeColor="text1"/>
          <w:lang w:eastAsia="en-AU"/>
        </w:rPr>
        <w:t xml:space="preserve">of lung cancer </w:t>
      </w:r>
      <w:r w:rsidRPr="00AB4A70">
        <w:rPr>
          <w:rFonts w:cs="Arial"/>
          <w:color w:val="000000" w:themeColor="text1"/>
          <w:lang w:eastAsia="en-AU"/>
        </w:rPr>
        <w:t>between 201</w:t>
      </w:r>
      <w:r w:rsidR="000836FA">
        <w:rPr>
          <w:rFonts w:cs="Arial"/>
          <w:color w:val="000000" w:themeColor="text1"/>
          <w:lang w:eastAsia="en-AU"/>
        </w:rPr>
        <w:t>4</w:t>
      </w:r>
      <w:r w:rsidRPr="00AB4A70">
        <w:rPr>
          <w:rFonts w:cs="Arial"/>
          <w:color w:val="000000" w:themeColor="text1"/>
          <w:lang w:eastAsia="en-AU"/>
        </w:rPr>
        <w:t xml:space="preserve"> and 2017 but the most significant was the </w:t>
      </w:r>
      <w:r w:rsidR="000836FA">
        <w:rPr>
          <w:rFonts w:cs="Arial"/>
          <w:color w:val="000000" w:themeColor="text1"/>
          <w:lang w:eastAsia="en-AU"/>
        </w:rPr>
        <w:t>Murrindindi</w:t>
      </w:r>
      <w:r w:rsidR="00EC1599">
        <w:rPr>
          <w:rFonts w:cs="Arial"/>
          <w:color w:val="000000" w:themeColor="text1"/>
          <w:lang w:eastAsia="en-AU"/>
        </w:rPr>
        <w:t xml:space="preserve"> Shire</w:t>
      </w:r>
      <w:r w:rsidR="00C87984">
        <w:rPr>
          <w:rFonts w:cs="Arial"/>
          <w:color w:val="000000" w:themeColor="text1"/>
          <w:lang w:eastAsia="en-AU"/>
        </w:rPr>
        <w:t>,</w:t>
      </w:r>
      <w:r>
        <w:rPr>
          <w:rFonts w:cs="Arial"/>
          <w:color w:val="000000" w:themeColor="text1"/>
          <w:lang w:eastAsia="en-AU"/>
        </w:rPr>
        <w:t xml:space="preserve"> </w:t>
      </w:r>
      <w:r w:rsidR="00EC1599">
        <w:rPr>
          <w:rFonts w:cs="Arial"/>
          <w:color w:val="000000" w:themeColor="text1"/>
          <w:lang w:eastAsia="en-AU"/>
        </w:rPr>
        <w:t xml:space="preserve">which reported a dramatic increase from </w:t>
      </w:r>
      <w:r w:rsidR="000836FA">
        <w:rPr>
          <w:rFonts w:cs="Arial"/>
          <w:color w:val="000000" w:themeColor="text1"/>
          <w:lang w:eastAsia="en-AU"/>
        </w:rPr>
        <w:t>108</w:t>
      </w:r>
      <w:r w:rsidRPr="00AB4A70">
        <w:rPr>
          <w:rFonts w:cs="Arial"/>
          <w:color w:val="000000" w:themeColor="text1"/>
          <w:lang w:eastAsia="en-AU"/>
        </w:rPr>
        <w:t xml:space="preserve"> per 100,000 population in 201</w:t>
      </w:r>
      <w:r w:rsidR="000836FA">
        <w:rPr>
          <w:rFonts w:cs="Arial"/>
          <w:color w:val="000000" w:themeColor="text1"/>
          <w:lang w:eastAsia="en-AU"/>
        </w:rPr>
        <w:t>4</w:t>
      </w:r>
      <w:r w:rsidRPr="00AB4A70">
        <w:rPr>
          <w:rFonts w:cs="Arial"/>
          <w:color w:val="000000" w:themeColor="text1"/>
          <w:lang w:eastAsia="en-AU"/>
        </w:rPr>
        <w:t xml:space="preserve"> to </w:t>
      </w:r>
      <w:r w:rsidR="002A3B05">
        <w:rPr>
          <w:rFonts w:cs="Arial"/>
          <w:color w:val="000000" w:themeColor="text1"/>
          <w:lang w:eastAsia="en-AU"/>
        </w:rPr>
        <w:t>28</w:t>
      </w:r>
      <w:r w:rsidRPr="00AB4A70">
        <w:rPr>
          <w:rFonts w:cs="Arial"/>
          <w:color w:val="000000" w:themeColor="text1"/>
          <w:lang w:eastAsia="en-AU"/>
        </w:rPr>
        <w:t xml:space="preserve"> per 100,000 population in 2017.</w:t>
      </w:r>
      <w:r w:rsidR="00EC1599">
        <w:rPr>
          <w:rFonts w:cs="Arial"/>
          <w:color w:val="000000" w:themeColor="text1"/>
          <w:lang w:eastAsia="en-AU"/>
        </w:rPr>
        <w:t xml:space="preserve"> </w:t>
      </w:r>
      <w:r w:rsidR="002A3B05">
        <w:rPr>
          <w:rFonts w:cs="Arial"/>
          <w:color w:val="000000" w:themeColor="text1"/>
          <w:lang w:eastAsia="en-AU"/>
        </w:rPr>
        <w:t>One</w:t>
      </w:r>
      <w:r w:rsidR="00EC1599">
        <w:rPr>
          <w:rFonts w:cs="Arial"/>
          <w:color w:val="000000" w:themeColor="text1"/>
          <w:lang w:eastAsia="en-AU"/>
        </w:rPr>
        <w:t xml:space="preserve"> LGA</w:t>
      </w:r>
      <w:r w:rsidR="00C87984">
        <w:rPr>
          <w:rFonts w:cs="Arial"/>
          <w:color w:val="000000" w:themeColor="text1"/>
          <w:lang w:eastAsia="en-AU"/>
        </w:rPr>
        <w:t xml:space="preserve"> –</w:t>
      </w:r>
      <w:r w:rsidR="00EC1599">
        <w:rPr>
          <w:rFonts w:cs="Arial"/>
          <w:color w:val="000000" w:themeColor="text1"/>
          <w:lang w:eastAsia="en-AU"/>
        </w:rPr>
        <w:t xml:space="preserve"> </w:t>
      </w:r>
      <w:r w:rsidR="002A3B05">
        <w:rPr>
          <w:rFonts w:cs="Arial"/>
          <w:color w:val="000000" w:themeColor="text1"/>
          <w:lang w:eastAsia="en-AU"/>
        </w:rPr>
        <w:t>Horsham</w:t>
      </w:r>
      <w:r w:rsidR="00EC1599">
        <w:rPr>
          <w:rFonts w:cs="Arial"/>
          <w:color w:val="000000" w:themeColor="text1"/>
          <w:lang w:eastAsia="en-AU"/>
        </w:rPr>
        <w:t xml:space="preserve"> Rural City reported the same incidence rate of lung cancer for both 201</w:t>
      </w:r>
      <w:r w:rsidR="002A3B05">
        <w:rPr>
          <w:rFonts w:cs="Arial"/>
          <w:color w:val="000000" w:themeColor="text1"/>
          <w:lang w:eastAsia="en-AU"/>
        </w:rPr>
        <w:t>4</w:t>
      </w:r>
      <w:r w:rsidR="00EC1599">
        <w:rPr>
          <w:rFonts w:cs="Arial"/>
          <w:color w:val="000000" w:themeColor="text1"/>
          <w:lang w:eastAsia="en-AU"/>
        </w:rPr>
        <w:t xml:space="preserve"> and 2017</w:t>
      </w:r>
      <w:r w:rsidR="00323990">
        <w:rPr>
          <w:rFonts w:cs="Arial"/>
          <w:color w:val="000000" w:themeColor="text1"/>
          <w:lang w:eastAsia="en-AU"/>
        </w:rPr>
        <w:t>,</w:t>
      </w:r>
      <w:r w:rsidR="00EC1599">
        <w:rPr>
          <w:rFonts w:cs="Arial"/>
          <w:color w:val="000000" w:themeColor="text1"/>
          <w:lang w:eastAsia="en-AU"/>
        </w:rPr>
        <w:t xml:space="preserve"> which was 50 per 100,000 population and </w:t>
      </w:r>
      <w:r w:rsidR="002A3B05">
        <w:rPr>
          <w:rFonts w:cs="Arial"/>
          <w:color w:val="000000" w:themeColor="text1"/>
          <w:lang w:eastAsia="en-AU"/>
        </w:rPr>
        <w:t>3</w:t>
      </w:r>
      <w:r w:rsidR="00EC1599">
        <w:rPr>
          <w:rFonts w:cs="Arial"/>
          <w:color w:val="000000" w:themeColor="text1"/>
          <w:lang w:eastAsia="en-AU"/>
        </w:rPr>
        <w:t>2 per 100,000 population.</w:t>
      </w:r>
    </w:p>
    <w:p w14:paraId="1C106C8F" w14:textId="08BEE3F7" w:rsidR="001C49C2" w:rsidRPr="0011089F" w:rsidRDefault="00313494" w:rsidP="0011089F">
      <w:pPr>
        <w:spacing w:after="120" w:line="270" w:lineRule="atLeast"/>
        <w:rPr>
          <w:rFonts w:ascii="Arial" w:hAnsi="Arial" w:cs="Arial"/>
        </w:rPr>
      </w:pPr>
      <w:r w:rsidRPr="00CF6DD0">
        <w:rPr>
          <w:rFonts w:ascii="Arial" w:hAnsi="Arial" w:cs="Arial"/>
        </w:rPr>
        <w:t>No target has been set for this measure</w:t>
      </w:r>
      <w:r w:rsidR="006A5776">
        <w:rPr>
          <w:rFonts w:ascii="Arial" w:hAnsi="Arial" w:cs="Arial"/>
        </w:rPr>
        <w:t>;</w:t>
      </w:r>
      <w:r w:rsidR="007B3148" w:rsidRPr="00CF6DD0">
        <w:rPr>
          <w:rFonts w:ascii="Arial" w:hAnsi="Arial" w:cs="Arial"/>
        </w:rPr>
        <w:t xml:space="preserve"> however, Measure 6.1 </w:t>
      </w:r>
      <w:r w:rsidR="00C87984">
        <w:rPr>
          <w:rFonts w:ascii="Arial" w:hAnsi="Arial" w:cs="Arial"/>
        </w:rPr>
        <w:t>‘</w:t>
      </w:r>
      <w:r w:rsidR="007B3148" w:rsidRPr="00A0588F">
        <w:rPr>
          <w:rFonts w:ascii="Arial" w:hAnsi="Arial" w:cs="Arial"/>
          <w:iCs/>
        </w:rPr>
        <w:t>Proportion of adults who smoke daily</w:t>
      </w:r>
      <w:r w:rsidR="00C87984">
        <w:rPr>
          <w:rFonts w:ascii="Arial" w:hAnsi="Arial" w:cs="Arial"/>
          <w:iCs/>
        </w:rPr>
        <w:t>’</w:t>
      </w:r>
      <w:r w:rsidR="007B3148" w:rsidRPr="00CF6DD0">
        <w:rPr>
          <w:rFonts w:ascii="Arial" w:hAnsi="Arial" w:cs="Arial"/>
        </w:rPr>
        <w:t xml:space="preserve"> shows that i</w:t>
      </w:r>
      <w:r w:rsidR="001C49C2" w:rsidRPr="00CF6DD0">
        <w:rPr>
          <w:rFonts w:ascii="Arial" w:hAnsi="Arial" w:cs="Arial"/>
        </w:rPr>
        <w:t xml:space="preserve">n Victoria a </w:t>
      </w:r>
      <w:r w:rsidR="00F025C6">
        <w:rPr>
          <w:rFonts w:ascii="Arial" w:hAnsi="Arial" w:cs="Arial"/>
        </w:rPr>
        <w:t xml:space="preserve">continued </w:t>
      </w:r>
      <w:r w:rsidR="001C49C2" w:rsidRPr="00CF6DD0">
        <w:rPr>
          <w:rFonts w:ascii="Arial" w:hAnsi="Arial" w:cs="Arial"/>
        </w:rPr>
        <w:t>comprehensive appro</w:t>
      </w:r>
      <w:r w:rsidR="00222435">
        <w:rPr>
          <w:rFonts w:ascii="Arial" w:hAnsi="Arial" w:cs="Arial"/>
        </w:rPr>
        <w:t>ach to tobacco control is warranted</w:t>
      </w:r>
      <w:r w:rsidR="001C49C2" w:rsidRPr="00CF6DD0">
        <w:rPr>
          <w:rFonts w:ascii="Arial" w:hAnsi="Arial" w:cs="Arial"/>
        </w:rPr>
        <w:t xml:space="preserve"> to reduce rates of smoking</w:t>
      </w:r>
      <w:r w:rsidR="00C87984">
        <w:rPr>
          <w:rFonts w:ascii="Arial" w:hAnsi="Arial" w:cs="Arial"/>
        </w:rPr>
        <w:t>-</w:t>
      </w:r>
      <w:r w:rsidR="001C49C2" w:rsidRPr="00CF6DD0">
        <w:rPr>
          <w:rFonts w:ascii="Arial" w:hAnsi="Arial" w:cs="Arial"/>
        </w:rPr>
        <w:t xml:space="preserve">related cancer including lung </w:t>
      </w:r>
      <w:r w:rsidR="00BE6A23" w:rsidRPr="00CF6DD0">
        <w:rPr>
          <w:rFonts w:ascii="Arial" w:hAnsi="Arial" w:cs="Arial"/>
        </w:rPr>
        <w:t>cancer</w:t>
      </w:r>
      <w:r w:rsidR="001C49C2" w:rsidRPr="00CF6DD0">
        <w:rPr>
          <w:rFonts w:ascii="Arial" w:hAnsi="Arial" w:cs="Arial"/>
        </w:rPr>
        <w:t>.</w:t>
      </w:r>
      <w:r w:rsidR="001C49C2">
        <w:br w:type="page"/>
      </w:r>
    </w:p>
    <w:p w14:paraId="48FEBBAA" w14:textId="761844B3" w:rsidR="00E8458B" w:rsidRDefault="00E8458B" w:rsidP="006624DA">
      <w:pPr>
        <w:pStyle w:val="Heading3"/>
        <w:rPr>
          <w:lang w:eastAsia="en-AU"/>
        </w:rPr>
      </w:pPr>
      <w:bookmarkStart w:id="109" w:name="_Measure_1.4_–"/>
      <w:bookmarkStart w:id="110" w:name="_Toc19008000"/>
      <w:bookmarkEnd w:id="109"/>
      <w:r>
        <w:rPr>
          <w:lang w:eastAsia="en-AU"/>
        </w:rPr>
        <w:lastRenderedPageBreak/>
        <w:t xml:space="preserve">Measure 1.4 – </w:t>
      </w:r>
      <w:r w:rsidR="006624DA">
        <w:rPr>
          <w:lang w:eastAsia="en-AU"/>
        </w:rPr>
        <w:t>Incidence of colorectal cancer</w:t>
      </w:r>
      <w:bookmarkEnd w:id="110"/>
    </w:p>
    <w:p w14:paraId="10636D0D" w14:textId="10192374" w:rsidR="008D4EED" w:rsidRDefault="008D4EED" w:rsidP="00DB1EBB">
      <w:pPr>
        <w:pStyle w:val="DHHSfigurecaption"/>
      </w:pPr>
      <w:bookmarkStart w:id="111" w:name="_Toc19008001"/>
      <w:bookmarkStart w:id="112" w:name="_Toc19008260"/>
      <w:bookmarkStart w:id="113" w:name="_Toc19008407"/>
      <w:bookmarkStart w:id="114" w:name="_Toc19008554"/>
      <w:bookmarkStart w:id="115" w:name="_Toc27414257"/>
      <w:r w:rsidRPr="00A8622F">
        <w:t>Figure 1.</w:t>
      </w:r>
      <w:r>
        <w:t>4</w:t>
      </w:r>
      <w:r w:rsidR="00A14570">
        <w:t>:</w:t>
      </w:r>
      <w:r w:rsidRPr="00A8622F">
        <w:t xml:space="preserve"> </w:t>
      </w:r>
      <w:r>
        <w:t>I</w:t>
      </w:r>
      <w:r w:rsidRPr="00A8622F">
        <w:t xml:space="preserve">ncidence </w:t>
      </w:r>
      <w:r>
        <w:t>of colorectal</w:t>
      </w:r>
      <w:r w:rsidRPr="00A8622F">
        <w:t xml:space="preserve"> cancer </w:t>
      </w:r>
      <w:r>
        <w:t xml:space="preserve">in Victoria </w:t>
      </w:r>
      <w:r w:rsidRPr="00A8622F">
        <w:t xml:space="preserve">per 100,000 standardised to the </w:t>
      </w:r>
      <w:r>
        <w:t xml:space="preserve">2001 </w:t>
      </w:r>
      <w:r w:rsidRPr="00A8622F">
        <w:t>Australian population, by year of diagnosis, 201</w:t>
      </w:r>
      <w:r w:rsidR="00F17AA6">
        <w:t>4</w:t>
      </w:r>
      <w:r w:rsidRPr="00A8622F">
        <w:t xml:space="preserve"> and 201</w:t>
      </w:r>
      <w:r>
        <w:t>7</w:t>
      </w:r>
      <w:bookmarkEnd w:id="111"/>
      <w:bookmarkEnd w:id="112"/>
      <w:bookmarkEnd w:id="113"/>
      <w:bookmarkEnd w:id="114"/>
      <w:bookmarkEnd w:id="115"/>
    </w:p>
    <w:p w14:paraId="2F71D802" w14:textId="2C8E8E78" w:rsidR="00C379D7" w:rsidRPr="00C379D7" w:rsidRDefault="00C379D7" w:rsidP="00C379D7">
      <w:pPr>
        <w:pStyle w:val="DHHSbody"/>
      </w:pPr>
      <w:r>
        <w:rPr>
          <w:noProof/>
        </w:rPr>
        <w:drawing>
          <wp:inline distT="0" distB="0" distL="0" distR="0" wp14:anchorId="3B270A46" wp14:editId="5BBD0673">
            <wp:extent cx="6737985" cy="6868886"/>
            <wp:effectExtent l="0" t="0" r="5715" b="8255"/>
            <wp:docPr id="323" name="Picture 323" descr="This figure shows a data summary of 'Measure 1.4 – Incidence of colorectal cancer'. The data set is available under 'Measure 1.4 – Incidence of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40844" cy="6871800"/>
                    </a:xfrm>
                    <a:prstGeom prst="rect">
                      <a:avLst/>
                    </a:prstGeom>
                    <a:noFill/>
                    <a:ln>
                      <a:noFill/>
                    </a:ln>
                  </pic:spPr>
                </pic:pic>
              </a:graphicData>
            </a:graphic>
          </wp:inline>
        </w:drawing>
      </w:r>
    </w:p>
    <w:p w14:paraId="4DDA5638" w14:textId="77777777" w:rsidR="0020440A" w:rsidRDefault="0016129F" w:rsidP="00FA1AAC">
      <w:pPr>
        <w:pStyle w:val="DHHStablefigurenote"/>
      </w:pPr>
      <w:r>
        <w:t>Note:</w:t>
      </w:r>
      <w:r w:rsidR="00250B73">
        <w:t xml:space="preserve"> </w:t>
      </w:r>
      <w:r w:rsidR="009A2DF4">
        <w:t>R</w:t>
      </w:r>
      <w:r w:rsidR="009A2DF4" w:rsidRPr="003F5C49">
        <w:t xml:space="preserve">esults by </w:t>
      </w:r>
      <w:r w:rsidR="0011089F">
        <w:t>cultural diversity</w:t>
      </w:r>
      <w:r w:rsidR="009A2DF4" w:rsidRPr="003F5C49">
        <w:t xml:space="preserve"> </w:t>
      </w:r>
      <w:r w:rsidR="009A2DF4">
        <w:t xml:space="preserve">are not presented </w:t>
      </w:r>
      <w:r w:rsidR="005D072A">
        <w:t>because</w:t>
      </w:r>
      <w:r w:rsidR="005D072A" w:rsidRPr="003F5C49">
        <w:t xml:space="preserve"> </w:t>
      </w:r>
      <w:r w:rsidR="009A2DF4" w:rsidRPr="003F5C49">
        <w:t xml:space="preserve">the ERP does not estimate the population by </w:t>
      </w:r>
      <w:r w:rsidR="0011089F">
        <w:t>cultural diversity</w:t>
      </w:r>
      <w:r w:rsidR="009A2DF4" w:rsidRPr="003F5C49">
        <w:t xml:space="preserve">, hence </w:t>
      </w:r>
      <w:r w:rsidR="009A2DF4">
        <w:t>there is no</w:t>
      </w:r>
      <w:r w:rsidR="009A2DF4" w:rsidRPr="003F5C49">
        <w:t xml:space="preserve"> denominator for this variable.</w:t>
      </w:r>
    </w:p>
    <w:p w14:paraId="6DEFBEE8" w14:textId="4C2A86BF" w:rsidR="00A76E50" w:rsidRPr="0011089F" w:rsidRDefault="0020440A" w:rsidP="00FA1AAC">
      <w:pPr>
        <w:pStyle w:val="DHHStablefigurenote"/>
      </w:pPr>
      <w:r w:rsidRPr="00D53842">
        <w:rPr>
          <w:color w:val="000000"/>
        </w:rPr>
        <w:t>Appendix 2 provides the dataset.</w:t>
      </w:r>
      <w:r w:rsidR="00A76E50">
        <w:br w:type="page"/>
      </w:r>
    </w:p>
    <w:p w14:paraId="21A1506D" w14:textId="1721F29F" w:rsidR="00A76E50" w:rsidRDefault="00A76E50" w:rsidP="00DB1EBB">
      <w:pPr>
        <w:pStyle w:val="DHHSfigurecaption"/>
      </w:pPr>
      <w:bookmarkStart w:id="116" w:name="_Toc19008002"/>
      <w:bookmarkStart w:id="117" w:name="_Toc19008261"/>
      <w:bookmarkStart w:id="118" w:name="_Toc19008408"/>
      <w:bookmarkStart w:id="119" w:name="_Toc19008555"/>
      <w:bookmarkStart w:id="120" w:name="_Toc27414258"/>
      <w:r>
        <w:rPr>
          <w:lang w:eastAsia="en-AU"/>
        </w:rPr>
        <w:lastRenderedPageBreak/>
        <w:t>Figure 1.4.1</w:t>
      </w:r>
      <w:r w:rsidR="00A14570">
        <w:rPr>
          <w:lang w:eastAsia="en-AU"/>
        </w:rPr>
        <w:t>:</w:t>
      </w:r>
      <w:r w:rsidRPr="006378D2">
        <w:rPr>
          <w:lang w:eastAsia="en-AU"/>
        </w:rPr>
        <w:t xml:space="preserve"> Incidence of </w:t>
      </w:r>
      <w:r>
        <w:rPr>
          <w:lang w:eastAsia="en-AU"/>
        </w:rPr>
        <w:t xml:space="preserve">colorectal </w:t>
      </w:r>
      <w:r w:rsidRPr="006378D2">
        <w:rPr>
          <w:lang w:eastAsia="en-AU"/>
        </w:rPr>
        <w:t>cancer</w:t>
      </w:r>
      <w:r>
        <w:rPr>
          <w:lang w:eastAsia="en-AU"/>
        </w:rPr>
        <w:t xml:space="preserve">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0031077F">
        <w:t xml:space="preserve"> and</w:t>
      </w:r>
      <w:r>
        <w:t xml:space="preserve"> year, </w:t>
      </w:r>
      <w:r w:rsidRPr="006378D2">
        <w:t>20</w:t>
      </w:r>
      <w:r>
        <w:t>1</w:t>
      </w:r>
      <w:r w:rsidR="00411474">
        <w:t>4</w:t>
      </w:r>
      <w:r>
        <w:t xml:space="preserve"> and 2017</w:t>
      </w:r>
      <w:bookmarkEnd w:id="116"/>
      <w:bookmarkEnd w:id="117"/>
      <w:bookmarkEnd w:id="118"/>
      <w:bookmarkEnd w:id="119"/>
      <w:bookmarkEnd w:id="120"/>
    </w:p>
    <w:p w14:paraId="0C6580D3" w14:textId="13461845" w:rsidR="00411474" w:rsidRPr="00411474" w:rsidRDefault="005C68DF" w:rsidP="00411474">
      <w:pPr>
        <w:pStyle w:val="DHHSbody"/>
      </w:pPr>
      <w:r>
        <w:rPr>
          <w:noProof/>
        </w:rPr>
        <w:drawing>
          <wp:inline distT="0" distB="0" distL="0" distR="0" wp14:anchorId="366CF26A" wp14:editId="3FBFA605">
            <wp:extent cx="6730365" cy="3182620"/>
            <wp:effectExtent l="0" t="0" r="0" b="0"/>
            <wp:docPr id="40" name="Picture 40" descr="This figure (bar graph) presents the incidence of colorectal cancer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30365" cy="3182620"/>
                    </a:xfrm>
                    <a:prstGeom prst="rect">
                      <a:avLst/>
                    </a:prstGeom>
                    <a:noFill/>
                  </pic:spPr>
                </pic:pic>
              </a:graphicData>
            </a:graphic>
          </wp:inline>
        </w:drawing>
      </w:r>
    </w:p>
    <w:p w14:paraId="5632DB51" w14:textId="20D655CB" w:rsidR="00B1404A" w:rsidRDefault="00B1404A" w:rsidP="00DB1EBB">
      <w:pPr>
        <w:pStyle w:val="DHHSfigurecaption"/>
      </w:pPr>
      <w:bookmarkStart w:id="121" w:name="_Toc19008003"/>
      <w:bookmarkStart w:id="122" w:name="_Toc19008262"/>
      <w:bookmarkStart w:id="123" w:name="_Toc19008409"/>
      <w:bookmarkStart w:id="124" w:name="_Toc19008556"/>
      <w:bookmarkStart w:id="125" w:name="_Toc27414259"/>
      <w:r>
        <w:t>Figure 1.4.2</w:t>
      </w:r>
      <w:r w:rsidR="00A14570">
        <w:t>:</w:t>
      </w:r>
      <w:r w:rsidRPr="00AB6486">
        <w:t xml:space="preserve"> Incidence of </w:t>
      </w:r>
      <w:r>
        <w:t xml:space="preserve">colorectal </w:t>
      </w:r>
      <w:r w:rsidRPr="00AB6486">
        <w:t xml:space="preserve">cancer </w:t>
      </w:r>
      <w:r>
        <w:t xml:space="preserve">in Victoria </w:t>
      </w:r>
      <w:r w:rsidRPr="00AB6486">
        <w:t xml:space="preserve">per 100,000 standardised to the 2001 Australian population, by Victorian </w:t>
      </w:r>
      <w:r w:rsidR="005D072A">
        <w:t>LGA</w:t>
      </w:r>
      <w:r>
        <w:t>, 201</w:t>
      </w:r>
      <w:bookmarkEnd w:id="121"/>
      <w:bookmarkEnd w:id="122"/>
      <w:bookmarkEnd w:id="123"/>
      <w:bookmarkEnd w:id="124"/>
      <w:r w:rsidR="003C78DC">
        <w:t>4</w:t>
      </w:r>
      <w:bookmarkEnd w:id="125"/>
    </w:p>
    <w:p w14:paraId="0788A2EC" w14:textId="25B0E90D" w:rsidR="00BD19A0" w:rsidRPr="00487FF9" w:rsidRDefault="004B6315" w:rsidP="00487FF9">
      <w:pPr>
        <w:pStyle w:val="DHHSbody"/>
        <w:ind w:hanging="142"/>
      </w:pPr>
      <w:r>
        <w:rPr>
          <w:noProof/>
        </w:rPr>
        <w:drawing>
          <wp:inline distT="0" distB="0" distL="0" distR="0" wp14:anchorId="5605F7C0" wp14:editId="60FF381A">
            <wp:extent cx="6831724" cy="4732221"/>
            <wp:effectExtent l="0" t="0" r="7620" b="0"/>
            <wp:docPr id="260" name="Picture 260" descr="This figure shows a map of Victoria showing the highest reported rate of colorectal cancer in 2014 is in West Wimmera Shire Council and the lowest reported rate is in Queenscliffe Borough Council. The data set is available under 'Measure 1.4 – Incidence of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46364" cy="4742362"/>
                    </a:xfrm>
                    <a:prstGeom prst="rect">
                      <a:avLst/>
                    </a:prstGeom>
                  </pic:spPr>
                </pic:pic>
              </a:graphicData>
            </a:graphic>
          </wp:inline>
        </w:drawing>
      </w:r>
      <w:r w:rsidR="00BD19A0">
        <w:rPr>
          <w:rFonts w:cs="Arial"/>
          <w:b/>
        </w:rPr>
        <w:br w:type="page"/>
      </w:r>
    </w:p>
    <w:p w14:paraId="69EDE2C6" w14:textId="1ACCC7E2" w:rsidR="00B1404A" w:rsidRDefault="00B1404A" w:rsidP="00DB1EBB">
      <w:pPr>
        <w:pStyle w:val="DHHSfigurecaption"/>
      </w:pPr>
      <w:bookmarkStart w:id="126" w:name="_Toc19008004"/>
      <w:bookmarkStart w:id="127" w:name="_Toc19008263"/>
      <w:bookmarkStart w:id="128" w:name="_Toc19008410"/>
      <w:bookmarkStart w:id="129" w:name="_Toc19008557"/>
      <w:bookmarkStart w:id="130" w:name="_Toc27414260"/>
      <w:r>
        <w:lastRenderedPageBreak/>
        <w:t>Figure 1.4.3</w:t>
      </w:r>
      <w:r w:rsidR="00A14570">
        <w:t>:</w:t>
      </w:r>
      <w:r w:rsidRPr="00AB6486">
        <w:t xml:space="preserve"> Incidence of </w:t>
      </w:r>
      <w:r>
        <w:t xml:space="preserve">colorectal </w:t>
      </w:r>
      <w:r w:rsidRPr="00AB6486">
        <w:t xml:space="preserve">cancer </w:t>
      </w:r>
      <w:r>
        <w:t xml:space="preserve">in Victoria </w:t>
      </w:r>
      <w:r w:rsidRPr="00AB6486">
        <w:t xml:space="preserve">per 100,000 standardised to the 2001 Australian population, by Victorian </w:t>
      </w:r>
      <w:r w:rsidR="005D072A">
        <w:t>LGA</w:t>
      </w:r>
      <w:r>
        <w:t>, 2017</w:t>
      </w:r>
      <w:bookmarkEnd w:id="126"/>
      <w:bookmarkEnd w:id="127"/>
      <w:bookmarkEnd w:id="128"/>
      <w:bookmarkEnd w:id="129"/>
      <w:bookmarkEnd w:id="130"/>
    </w:p>
    <w:p w14:paraId="59476AD2" w14:textId="525B16EB" w:rsidR="005F6509" w:rsidRPr="00BF3579" w:rsidRDefault="00BF3579" w:rsidP="00BF3579">
      <w:pPr>
        <w:pStyle w:val="DHHSbody"/>
      </w:pPr>
      <w:r>
        <w:rPr>
          <w:noProof/>
        </w:rPr>
        <w:drawing>
          <wp:inline distT="0" distB="0" distL="0" distR="0" wp14:anchorId="6477EBC7" wp14:editId="3DCCF0AF">
            <wp:extent cx="6714601" cy="4414330"/>
            <wp:effectExtent l="0" t="0" r="0" b="5715"/>
            <wp:docPr id="254" name="Picture 254" descr="This figure shows a map of Victoria showing the highest reported rate of colorectal cancer in 2017 is in Hindmarsh Shire Council and the lowest reported rate is in Pyrenees Shire Council. The data set is available under 'Measure 1.4 – Incidence of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740374" cy="4431274"/>
                    </a:xfrm>
                    <a:prstGeom prst="rect">
                      <a:avLst/>
                    </a:prstGeom>
                  </pic:spPr>
                </pic:pic>
              </a:graphicData>
            </a:graphic>
          </wp:inline>
        </w:drawing>
      </w:r>
    </w:p>
    <w:p w14:paraId="10EF7B0C" w14:textId="4188745F" w:rsidR="00665D4B" w:rsidRPr="0078684F" w:rsidRDefault="00665D4B" w:rsidP="0078684F">
      <w:pPr>
        <w:pStyle w:val="DHHStabletext"/>
        <w:rPr>
          <w:rFonts w:cs="Arial"/>
          <w:b/>
        </w:rPr>
      </w:pPr>
      <w:r w:rsidRPr="00FA2880">
        <w:rPr>
          <w:rStyle w:val="Heading4Char"/>
        </w:rPr>
        <w:t>Measure assessment</w:t>
      </w:r>
    </w:p>
    <w:p w14:paraId="6D69D537" w14:textId="56060F5E" w:rsidR="003E5FD3" w:rsidRPr="0078684F" w:rsidRDefault="003E5FD3" w:rsidP="0078684F">
      <w:pPr>
        <w:autoSpaceDE w:val="0"/>
        <w:autoSpaceDN w:val="0"/>
        <w:adjustRightInd w:val="0"/>
        <w:spacing w:after="120" w:line="270" w:lineRule="atLeast"/>
        <w:rPr>
          <w:rFonts w:ascii="Arial" w:hAnsi="Arial" w:cs="Arial"/>
          <w:color w:val="00B050"/>
        </w:rPr>
      </w:pPr>
      <w:r w:rsidRPr="009F01B1">
        <w:rPr>
          <w:rFonts w:ascii="Arial" w:hAnsi="Arial" w:cs="Arial"/>
        </w:rPr>
        <w:t xml:space="preserve">Traffic light rating: </w:t>
      </w:r>
      <w:r w:rsidR="00DE6DA4" w:rsidRPr="00EC6D45">
        <w:rPr>
          <w:rFonts w:ascii="Arial" w:hAnsi="Arial" w:cs="Arial"/>
          <w:b/>
          <w:color w:val="007B4B"/>
        </w:rPr>
        <w:t>Green</w:t>
      </w:r>
      <w:r w:rsidR="00061321">
        <w:rPr>
          <w:rFonts w:ascii="Arial" w:hAnsi="Arial" w:cs="Arial"/>
          <w:b/>
          <w:color w:val="007B4B"/>
        </w:rPr>
        <w:t xml:space="preserve"> </w:t>
      </w:r>
      <w:r w:rsidR="00061321" w:rsidRPr="00061321">
        <w:rPr>
          <w:rFonts w:ascii="Arial" w:hAnsi="Arial" w:cs="Arial"/>
          <w:color w:val="007B4B"/>
        </w:rPr>
        <w:t>(satisfactory result)</w:t>
      </w:r>
    </w:p>
    <w:p w14:paraId="09C0F4CB" w14:textId="3B3AB387" w:rsidR="003E5FD3" w:rsidRPr="002A11C4" w:rsidRDefault="003E5FD3" w:rsidP="0078684F">
      <w:pPr>
        <w:autoSpaceDE w:val="0"/>
        <w:autoSpaceDN w:val="0"/>
        <w:adjustRightInd w:val="0"/>
        <w:spacing w:after="120" w:line="270" w:lineRule="atLeast"/>
        <w:rPr>
          <w:rFonts w:ascii="Arial" w:hAnsi="Arial" w:cs="Arial"/>
        </w:rPr>
      </w:pPr>
      <w:r w:rsidRPr="002A11C4">
        <w:rPr>
          <w:rFonts w:ascii="Arial" w:hAnsi="Arial" w:cs="Arial"/>
        </w:rPr>
        <w:t xml:space="preserve">Overall trend: </w:t>
      </w:r>
      <w:r w:rsidR="00DE6DA4">
        <w:rPr>
          <w:rFonts w:ascii="Arial" w:hAnsi="Arial" w:cs="Arial"/>
        </w:rPr>
        <w:t>Moving in the right direction</w:t>
      </w:r>
    </w:p>
    <w:p w14:paraId="0280487D" w14:textId="71FF4538" w:rsidR="00247BF7" w:rsidRDefault="003E5FD3" w:rsidP="0078684F">
      <w:pPr>
        <w:pStyle w:val="DHHSbody"/>
        <w:rPr>
          <w:rFonts w:cs="Arial"/>
        </w:rPr>
      </w:pPr>
      <w:r w:rsidRPr="002A11C4">
        <w:rPr>
          <w:rFonts w:cs="Arial"/>
          <w:lang w:eastAsia="en-AU"/>
        </w:rPr>
        <w:t xml:space="preserve">Commentary: </w:t>
      </w:r>
      <w:r w:rsidR="002A11C4" w:rsidRPr="002A11C4">
        <w:rPr>
          <w:rFonts w:cs="Arial"/>
        </w:rPr>
        <w:t xml:space="preserve">Colorectal cancer (CRC) (also referred to as bowel cancer) is a common and </w:t>
      </w:r>
      <w:r w:rsidR="00F6173F">
        <w:rPr>
          <w:rFonts w:cs="Arial"/>
        </w:rPr>
        <w:t>fatal</w:t>
      </w:r>
      <w:r w:rsidR="002A11C4" w:rsidRPr="002A11C4">
        <w:rPr>
          <w:rFonts w:cs="Arial"/>
        </w:rPr>
        <w:t xml:space="preserve"> disease</w:t>
      </w:r>
      <w:r w:rsidR="00F6173F">
        <w:rPr>
          <w:rFonts w:cs="Arial"/>
        </w:rPr>
        <w:t>.</w:t>
      </w:r>
      <w:r w:rsidR="00952FC7">
        <w:rPr>
          <w:rFonts w:cs="Arial"/>
        </w:rPr>
        <w:t xml:space="preserve"> </w:t>
      </w:r>
      <w:r w:rsidR="00B673AC">
        <w:rPr>
          <w:rFonts w:cs="Arial"/>
        </w:rPr>
        <w:t>Globally</w:t>
      </w:r>
      <w:r w:rsidR="00867EC4">
        <w:rPr>
          <w:rFonts w:cs="Arial"/>
        </w:rPr>
        <w:t xml:space="preserve">, </w:t>
      </w:r>
      <w:r w:rsidR="00B673AC">
        <w:rPr>
          <w:rFonts w:cs="Arial"/>
        </w:rPr>
        <w:t>CRC incidence show</w:t>
      </w:r>
      <w:r w:rsidR="008023AB">
        <w:rPr>
          <w:rFonts w:cs="Arial"/>
        </w:rPr>
        <w:t>s</w:t>
      </w:r>
      <w:r w:rsidR="00B673AC">
        <w:rPr>
          <w:rFonts w:cs="Arial"/>
        </w:rPr>
        <w:t xml:space="preserve"> marked variability and is the third most commonly diagnosed cancer in males and the second in females, with </w:t>
      </w:r>
      <w:r w:rsidR="00112A28">
        <w:rPr>
          <w:rFonts w:cs="Arial"/>
        </w:rPr>
        <w:t xml:space="preserve">more than </w:t>
      </w:r>
      <w:r w:rsidR="00B673AC">
        <w:rPr>
          <w:rFonts w:cs="Arial"/>
        </w:rPr>
        <w:t>1.8 million new cases</w:t>
      </w:r>
      <w:r w:rsidR="00E37204">
        <w:rPr>
          <w:rFonts w:cs="Arial"/>
        </w:rPr>
        <w:t xml:space="preserve"> estimated to have occurred</w:t>
      </w:r>
      <w:r w:rsidR="00B673AC">
        <w:rPr>
          <w:rFonts w:cs="Arial"/>
        </w:rPr>
        <w:t xml:space="preserve"> in 2018 according to the World Health Organization GLOBOCAN database</w:t>
      </w:r>
      <w:r w:rsidR="008B4977">
        <w:rPr>
          <w:rFonts w:cs="Arial"/>
        </w:rPr>
        <w:t>.</w:t>
      </w:r>
      <w:r w:rsidR="00883852">
        <w:rPr>
          <w:rStyle w:val="FootnoteReference"/>
          <w:rFonts w:cs="Arial"/>
        </w:rPr>
        <w:footnoteReference w:id="15"/>
      </w:r>
      <w:r w:rsidR="00B70BDE">
        <w:rPr>
          <w:rFonts w:cs="Arial"/>
        </w:rPr>
        <w:t xml:space="preserve"> Rates are much higher in males than females</w:t>
      </w:r>
      <w:r w:rsidR="008B4977">
        <w:rPr>
          <w:rFonts w:cs="Arial"/>
        </w:rPr>
        <w:t>.</w:t>
      </w:r>
    </w:p>
    <w:p w14:paraId="432DF2CC" w14:textId="13A37A63" w:rsidR="002A11C4" w:rsidRDefault="00247BF7" w:rsidP="00BB70F5">
      <w:pPr>
        <w:pStyle w:val="DHHSbody"/>
        <w:rPr>
          <w:rFonts w:cs="Arial"/>
        </w:rPr>
      </w:pPr>
      <w:r w:rsidRPr="007E775C">
        <w:rPr>
          <w:rFonts w:cs="Arial"/>
        </w:rPr>
        <w:t>In Australia</w:t>
      </w:r>
      <w:r w:rsidR="006E2C2B">
        <w:rPr>
          <w:rFonts w:cs="Arial"/>
        </w:rPr>
        <w:t>,</w:t>
      </w:r>
      <w:r w:rsidRPr="007E775C">
        <w:rPr>
          <w:rFonts w:cs="Arial"/>
        </w:rPr>
        <w:t xml:space="preserve"> CRC </w:t>
      </w:r>
      <w:r w:rsidR="00E94E7B" w:rsidRPr="007E775C">
        <w:rPr>
          <w:rFonts w:cs="Arial"/>
        </w:rPr>
        <w:t xml:space="preserve">is the </w:t>
      </w:r>
      <w:r w:rsidR="00B70BDE" w:rsidRPr="007E775C">
        <w:rPr>
          <w:rFonts w:cs="Arial"/>
          <w:lang w:val="en-GB"/>
        </w:rPr>
        <w:t>third most common type of newly diagnosed cancer.</w:t>
      </w:r>
      <w:r w:rsidR="00014551" w:rsidRPr="007E775C">
        <w:rPr>
          <w:rStyle w:val="FootnoteReference"/>
          <w:rFonts w:cs="Arial"/>
          <w:lang w:val="en-GB"/>
        </w:rPr>
        <w:footnoteReference w:id="16"/>
      </w:r>
      <w:r w:rsidR="00994276" w:rsidRPr="007E775C">
        <w:rPr>
          <w:rFonts w:cs="Arial"/>
          <w:lang w:val="en-GB"/>
        </w:rPr>
        <w:t xml:space="preserve"> In 2017 CRC</w:t>
      </w:r>
      <w:r w:rsidR="007305B6" w:rsidRPr="007E775C">
        <w:rPr>
          <w:rFonts w:cs="Arial"/>
          <w:lang w:val="en-GB"/>
        </w:rPr>
        <w:t xml:space="preserve"> was also the third most common new cancer i</w:t>
      </w:r>
      <w:r w:rsidR="008E1011">
        <w:rPr>
          <w:rFonts w:cs="Arial"/>
          <w:lang w:val="en-GB"/>
        </w:rPr>
        <w:t>n Victoria</w:t>
      </w:r>
      <w:r w:rsidR="00112A28">
        <w:rPr>
          <w:rFonts w:cs="Arial"/>
          <w:lang w:val="en-GB"/>
        </w:rPr>
        <w:t>,</w:t>
      </w:r>
      <w:r w:rsidR="008E1011">
        <w:rPr>
          <w:rFonts w:cs="Arial"/>
          <w:lang w:val="en-GB"/>
        </w:rPr>
        <w:t xml:space="preserve"> with 3,910 cases (11 per cent</w:t>
      </w:r>
      <w:r w:rsidR="007305B6" w:rsidRPr="007E775C">
        <w:rPr>
          <w:rFonts w:cs="Arial"/>
          <w:lang w:val="en-GB"/>
        </w:rPr>
        <w:t xml:space="preserve"> of all cancers) diagnosed.</w:t>
      </w:r>
      <w:r w:rsidR="007305B6" w:rsidRPr="007E775C">
        <w:rPr>
          <w:rStyle w:val="FootnoteReference"/>
          <w:rFonts w:cs="Arial"/>
          <w:lang w:val="en-GB"/>
        </w:rPr>
        <w:footnoteReference w:id="17"/>
      </w:r>
      <w:r w:rsidR="00A30663">
        <w:rPr>
          <w:rFonts w:cs="Arial"/>
          <w:lang w:val="en-GB"/>
        </w:rPr>
        <w:t xml:space="preserve"> Over the study period (2014</w:t>
      </w:r>
      <w:r w:rsidR="00A30663">
        <w:rPr>
          <w:lang w:eastAsia="en-AU"/>
        </w:rPr>
        <w:t xml:space="preserve">–2017) </w:t>
      </w:r>
      <w:r w:rsidR="00A30663">
        <w:rPr>
          <w:rFonts w:cs="Arial"/>
          <w:lang w:eastAsia="en-AU"/>
        </w:rPr>
        <w:t>t</w:t>
      </w:r>
      <w:r w:rsidR="002333F6" w:rsidRPr="007E775C">
        <w:rPr>
          <w:rFonts w:cs="Arial"/>
          <w:lang w:eastAsia="en-AU"/>
        </w:rPr>
        <w:t xml:space="preserve">he age-standardised incidence rate fluctuated between </w:t>
      </w:r>
      <w:r w:rsidR="00A30663">
        <w:rPr>
          <w:rFonts w:cs="Arial"/>
          <w:lang w:eastAsia="en-AU"/>
        </w:rPr>
        <w:t xml:space="preserve">56 </w:t>
      </w:r>
      <w:r w:rsidR="002333F6" w:rsidRPr="007E775C">
        <w:rPr>
          <w:rFonts w:cs="Arial"/>
          <w:lang w:eastAsia="en-AU"/>
        </w:rPr>
        <w:t xml:space="preserve">and </w:t>
      </w:r>
      <w:r w:rsidR="00415745">
        <w:rPr>
          <w:rFonts w:cs="Arial"/>
          <w:lang w:eastAsia="en-AU"/>
        </w:rPr>
        <w:t>54</w:t>
      </w:r>
      <w:r w:rsidR="00A30663">
        <w:rPr>
          <w:rFonts w:cs="Arial"/>
          <w:lang w:eastAsia="en-AU"/>
        </w:rPr>
        <w:t xml:space="preserve"> </w:t>
      </w:r>
      <w:r w:rsidR="002333F6" w:rsidRPr="007E775C">
        <w:rPr>
          <w:rFonts w:cs="Arial"/>
          <w:lang w:eastAsia="en-AU"/>
        </w:rPr>
        <w:t xml:space="preserve">cases per 100,000 </w:t>
      </w:r>
      <w:r w:rsidR="00DC7655">
        <w:rPr>
          <w:rFonts w:cs="Arial"/>
          <w:lang w:eastAsia="en-AU"/>
        </w:rPr>
        <w:t>people</w:t>
      </w:r>
      <w:r w:rsidR="00A30663">
        <w:rPr>
          <w:rFonts w:cs="Arial"/>
          <w:lang w:eastAsia="en-AU"/>
        </w:rPr>
        <w:t>.</w:t>
      </w:r>
      <w:r w:rsidR="002333F6" w:rsidRPr="007E775C">
        <w:rPr>
          <w:rFonts w:cs="Arial"/>
          <w:lang w:eastAsia="en-AU"/>
        </w:rPr>
        <w:t xml:space="preserve"> (</w:t>
      </w:r>
      <w:r w:rsidR="00192D11">
        <w:rPr>
          <w:rFonts w:cs="Arial"/>
          <w:lang w:eastAsia="en-AU"/>
        </w:rPr>
        <w:t>Figure 1.4</w:t>
      </w:r>
      <w:r w:rsidR="007E775C" w:rsidRPr="007E775C">
        <w:rPr>
          <w:rFonts w:cs="Arial"/>
          <w:lang w:eastAsia="en-AU"/>
        </w:rPr>
        <w:t>).</w:t>
      </w:r>
      <w:r w:rsidR="007E775C">
        <w:rPr>
          <w:rFonts w:cs="Arial"/>
          <w:lang w:eastAsia="en-AU"/>
        </w:rPr>
        <w:t xml:space="preserve"> A higher incidence rate was observed in males (</w:t>
      </w:r>
      <w:r w:rsidR="00BF52B1">
        <w:rPr>
          <w:rFonts w:cs="Arial"/>
          <w:lang w:eastAsia="en-AU"/>
        </w:rPr>
        <w:t>64</w:t>
      </w:r>
      <w:r w:rsidR="007E775C">
        <w:rPr>
          <w:rFonts w:cs="Arial"/>
          <w:lang w:eastAsia="en-AU"/>
        </w:rPr>
        <w:t xml:space="preserve"> per 100,000 population in 201</w:t>
      </w:r>
      <w:r w:rsidR="00BF52B1">
        <w:rPr>
          <w:rFonts w:cs="Arial"/>
          <w:lang w:eastAsia="en-AU"/>
        </w:rPr>
        <w:t>4</w:t>
      </w:r>
      <w:r w:rsidR="007E775C">
        <w:rPr>
          <w:rFonts w:cs="Arial"/>
          <w:lang w:eastAsia="en-AU"/>
        </w:rPr>
        <w:t xml:space="preserve"> </w:t>
      </w:r>
      <w:r w:rsidR="00415745">
        <w:rPr>
          <w:rFonts w:cs="Arial"/>
          <w:lang w:eastAsia="en-AU"/>
        </w:rPr>
        <w:t>falling</w:t>
      </w:r>
      <w:r w:rsidR="007E775C">
        <w:rPr>
          <w:rFonts w:cs="Arial"/>
          <w:lang w:eastAsia="en-AU"/>
        </w:rPr>
        <w:t xml:space="preserve"> to </w:t>
      </w:r>
      <w:r w:rsidR="00415745">
        <w:rPr>
          <w:rFonts w:cs="Arial"/>
          <w:lang w:eastAsia="en-AU"/>
        </w:rPr>
        <w:t>61</w:t>
      </w:r>
      <w:r w:rsidR="007E775C">
        <w:rPr>
          <w:rFonts w:cs="Arial"/>
          <w:lang w:eastAsia="en-AU"/>
        </w:rPr>
        <w:t xml:space="preserve"> per 100,000 population in 2017</w:t>
      </w:r>
      <w:r w:rsidR="00660EC7">
        <w:rPr>
          <w:rFonts w:cs="Arial"/>
          <w:lang w:eastAsia="en-AU"/>
        </w:rPr>
        <w:t>)</w:t>
      </w:r>
      <w:r w:rsidR="007E775C">
        <w:rPr>
          <w:rFonts w:cs="Arial"/>
          <w:lang w:eastAsia="en-AU"/>
        </w:rPr>
        <w:t xml:space="preserve"> compared </w:t>
      </w:r>
      <w:r w:rsidR="001B50BF">
        <w:rPr>
          <w:rFonts w:cs="Arial"/>
          <w:lang w:eastAsia="en-AU"/>
        </w:rPr>
        <w:t xml:space="preserve">with </w:t>
      </w:r>
      <w:r w:rsidR="007E775C">
        <w:rPr>
          <w:rFonts w:cs="Arial"/>
          <w:lang w:eastAsia="en-AU"/>
        </w:rPr>
        <w:t>females (</w:t>
      </w:r>
      <w:r w:rsidR="00BF52B1">
        <w:rPr>
          <w:rFonts w:cs="Arial"/>
          <w:lang w:eastAsia="en-AU"/>
        </w:rPr>
        <w:t>49</w:t>
      </w:r>
      <w:r w:rsidR="007E775C">
        <w:rPr>
          <w:rFonts w:cs="Arial"/>
          <w:lang w:eastAsia="en-AU"/>
        </w:rPr>
        <w:t xml:space="preserve"> per 100,000 population in 201</w:t>
      </w:r>
      <w:r w:rsidR="00BF52B1">
        <w:rPr>
          <w:rFonts w:cs="Arial"/>
          <w:lang w:eastAsia="en-AU"/>
        </w:rPr>
        <w:t>4</w:t>
      </w:r>
      <w:r w:rsidR="00660EC7">
        <w:rPr>
          <w:rFonts w:cs="Arial"/>
          <w:lang w:eastAsia="en-AU"/>
        </w:rPr>
        <w:t xml:space="preserve"> rising to </w:t>
      </w:r>
      <w:r w:rsidR="00415745">
        <w:rPr>
          <w:rFonts w:cs="Arial"/>
          <w:lang w:eastAsia="en-AU"/>
        </w:rPr>
        <w:t>47</w:t>
      </w:r>
      <w:r w:rsidR="00660EC7">
        <w:rPr>
          <w:rFonts w:cs="Arial"/>
          <w:lang w:eastAsia="en-AU"/>
        </w:rPr>
        <w:t xml:space="preserve"> per 100,000 population in 2017).</w:t>
      </w:r>
    </w:p>
    <w:p w14:paraId="0F05E7DA" w14:textId="166AF519" w:rsidR="00333062" w:rsidRDefault="003806BF" w:rsidP="00BB70F5">
      <w:pPr>
        <w:pStyle w:val="DHHSbody"/>
        <w:rPr>
          <w:rFonts w:cs="Arial"/>
        </w:rPr>
      </w:pPr>
      <w:r w:rsidRPr="003806BF">
        <w:rPr>
          <w:rFonts w:cs="Arial"/>
        </w:rPr>
        <w:t>Low SES</w:t>
      </w:r>
      <w:r w:rsidR="00112A28">
        <w:rPr>
          <w:rFonts w:cs="Arial"/>
        </w:rPr>
        <w:t xml:space="preserve"> </w:t>
      </w:r>
      <w:r w:rsidR="00660EC7">
        <w:rPr>
          <w:rFonts w:cs="Arial"/>
        </w:rPr>
        <w:t>was</w:t>
      </w:r>
      <w:r w:rsidRPr="003806BF">
        <w:rPr>
          <w:rFonts w:cs="Arial"/>
        </w:rPr>
        <w:t xml:space="preserve"> associated with an increased risk for develop</w:t>
      </w:r>
      <w:r w:rsidR="00112A28">
        <w:rPr>
          <w:rFonts w:cs="Arial"/>
        </w:rPr>
        <w:t>ing</w:t>
      </w:r>
      <w:r w:rsidRPr="003806BF">
        <w:rPr>
          <w:rFonts w:cs="Arial"/>
        </w:rPr>
        <w:t xml:space="preserve"> CRC</w:t>
      </w:r>
      <w:r w:rsidR="00333062">
        <w:rPr>
          <w:rFonts w:cs="Arial"/>
        </w:rPr>
        <w:t xml:space="preserve"> between 201</w:t>
      </w:r>
      <w:r w:rsidR="00BF52B1">
        <w:rPr>
          <w:rFonts w:cs="Arial"/>
        </w:rPr>
        <w:t>4</w:t>
      </w:r>
      <w:r w:rsidR="00333062">
        <w:rPr>
          <w:rFonts w:cs="Arial"/>
        </w:rPr>
        <w:t xml:space="preserve"> and 2017. The </w:t>
      </w:r>
      <w:r w:rsidR="00112A28">
        <w:rPr>
          <w:rFonts w:cs="Arial"/>
        </w:rPr>
        <w:t>CRC</w:t>
      </w:r>
      <w:r w:rsidR="00333062">
        <w:rPr>
          <w:rFonts w:cs="Arial"/>
        </w:rPr>
        <w:t xml:space="preserve"> incidence rate between Victorians was highest in the </w:t>
      </w:r>
      <w:r w:rsidR="00415745">
        <w:rPr>
          <w:rFonts w:cs="Arial"/>
        </w:rPr>
        <w:t>most disadvantaged</w:t>
      </w:r>
      <w:r w:rsidR="00192D11">
        <w:rPr>
          <w:rFonts w:cs="Arial"/>
        </w:rPr>
        <w:t xml:space="preserve"> socioeconomic quintile (SES </w:t>
      </w:r>
      <w:r w:rsidR="00415745">
        <w:rPr>
          <w:rFonts w:cs="Arial"/>
        </w:rPr>
        <w:t>1</w:t>
      </w:r>
      <w:r w:rsidR="00333062">
        <w:rPr>
          <w:rFonts w:cs="Arial"/>
        </w:rPr>
        <w:t>) in both 201</w:t>
      </w:r>
      <w:r w:rsidR="00BF52B1">
        <w:rPr>
          <w:rFonts w:cs="Arial"/>
        </w:rPr>
        <w:t>4</w:t>
      </w:r>
      <w:r w:rsidR="00333062">
        <w:rPr>
          <w:rFonts w:cs="Arial"/>
        </w:rPr>
        <w:t xml:space="preserve"> and 2017</w:t>
      </w:r>
      <w:r w:rsidR="00192D11">
        <w:rPr>
          <w:rFonts w:cs="Arial"/>
        </w:rPr>
        <w:t xml:space="preserve"> (Figure 1.4</w:t>
      </w:r>
      <w:r w:rsidR="00217B16">
        <w:rPr>
          <w:rFonts w:cs="Arial"/>
        </w:rPr>
        <w:t>)</w:t>
      </w:r>
      <w:r w:rsidR="00415745">
        <w:rPr>
          <w:rFonts w:cs="Arial"/>
        </w:rPr>
        <w:t xml:space="preserve">. However, for Victorians living in the </w:t>
      </w:r>
      <w:r w:rsidR="006716E7">
        <w:rPr>
          <w:rFonts w:cs="Arial"/>
        </w:rPr>
        <w:t>o</w:t>
      </w:r>
      <w:r w:rsidR="00415745">
        <w:rPr>
          <w:rFonts w:cs="Arial"/>
        </w:rPr>
        <w:t>uter regional/remote areas</w:t>
      </w:r>
      <w:r w:rsidR="00D67A07">
        <w:rPr>
          <w:rFonts w:cs="Arial"/>
        </w:rPr>
        <w:t xml:space="preserve"> the incidence rate was higher (</w:t>
      </w:r>
      <w:r w:rsidR="00BF52B1">
        <w:rPr>
          <w:rFonts w:cs="Arial"/>
        </w:rPr>
        <w:t>70</w:t>
      </w:r>
      <w:r w:rsidR="00D67A07">
        <w:rPr>
          <w:rFonts w:cs="Arial"/>
        </w:rPr>
        <w:t xml:space="preserve"> per 100,000 population in 201</w:t>
      </w:r>
      <w:r w:rsidR="00BF52B1">
        <w:rPr>
          <w:rFonts w:cs="Arial"/>
        </w:rPr>
        <w:t>4</w:t>
      </w:r>
      <w:r w:rsidR="00D67A07">
        <w:rPr>
          <w:rFonts w:cs="Arial"/>
        </w:rPr>
        <w:t xml:space="preserve"> falling to 67 per 100,000 population in 2017) compared with those living in </w:t>
      </w:r>
      <w:r w:rsidR="006716E7">
        <w:rPr>
          <w:rFonts w:cs="Arial"/>
        </w:rPr>
        <w:t>m</w:t>
      </w:r>
      <w:r w:rsidR="00D67A07">
        <w:rPr>
          <w:rFonts w:cs="Arial"/>
        </w:rPr>
        <w:t>ajor cities (</w:t>
      </w:r>
      <w:r w:rsidR="00A54053">
        <w:rPr>
          <w:rFonts w:cs="Arial"/>
        </w:rPr>
        <w:t>53</w:t>
      </w:r>
      <w:r w:rsidR="00D67A07">
        <w:rPr>
          <w:rFonts w:cs="Arial"/>
        </w:rPr>
        <w:t xml:space="preserve"> per 100,000 population in 201</w:t>
      </w:r>
      <w:r w:rsidR="00A54053">
        <w:rPr>
          <w:rFonts w:cs="Arial"/>
        </w:rPr>
        <w:t>4</w:t>
      </w:r>
      <w:r w:rsidR="00D67A07">
        <w:rPr>
          <w:rFonts w:cs="Arial"/>
        </w:rPr>
        <w:t xml:space="preserve"> falling to 51 per 100,000 population in 2017).</w:t>
      </w:r>
      <w:r w:rsidR="00952FC7">
        <w:rPr>
          <w:rFonts w:cs="Arial"/>
        </w:rPr>
        <w:t xml:space="preserve"> </w:t>
      </w:r>
      <w:r w:rsidR="002539F6">
        <w:rPr>
          <w:rFonts w:cs="Arial"/>
        </w:rPr>
        <w:t xml:space="preserve">Lower </w:t>
      </w:r>
      <w:r w:rsidR="00A77D64">
        <w:rPr>
          <w:rFonts w:cs="Arial"/>
        </w:rPr>
        <w:t xml:space="preserve">incidence rates were also observed </w:t>
      </w:r>
      <w:r w:rsidR="00A77D64">
        <w:rPr>
          <w:rFonts w:cs="Arial"/>
        </w:rPr>
        <w:lastRenderedPageBreak/>
        <w:t xml:space="preserve">for metropolitan ICSs (NEMICS, SMICS and WCMICS) compared </w:t>
      </w:r>
      <w:r w:rsidR="001B50BF">
        <w:rPr>
          <w:rFonts w:cs="Arial"/>
        </w:rPr>
        <w:t xml:space="preserve">with </w:t>
      </w:r>
      <w:r w:rsidR="00A77D64">
        <w:rPr>
          <w:rFonts w:cs="Arial"/>
        </w:rPr>
        <w:t>the regional/rural ICSs</w:t>
      </w:r>
      <w:r w:rsidR="00112A28">
        <w:rPr>
          <w:rFonts w:cs="Arial"/>
        </w:rPr>
        <w:t>,</w:t>
      </w:r>
      <w:r w:rsidR="00A77D64">
        <w:rPr>
          <w:rFonts w:cs="Arial"/>
        </w:rPr>
        <w:t xml:space="preserve"> although </w:t>
      </w:r>
      <w:r w:rsidR="00FB5E6B">
        <w:rPr>
          <w:rFonts w:cs="Arial"/>
        </w:rPr>
        <w:t>except for</w:t>
      </w:r>
      <w:r w:rsidR="00A77D64">
        <w:rPr>
          <w:rFonts w:cs="Arial"/>
        </w:rPr>
        <w:t xml:space="preserve"> GICS, each ICS observed a decrease in the incidence rate for </w:t>
      </w:r>
      <w:r w:rsidR="00112A28">
        <w:rPr>
          <w:rFonts w:cs="Arial"/>
        </w:rPr>
        <w:t>CRC</w:t>
      </w:r>
      <w:r w:rsidR="00A77D64">
        <w:rPr>
          <w:rFonts w:cs="Arial"/>
        </w:rPr>
        <w:t xml:space="preserve"> between 201</w:t>
      </w:r>
      <w:r w:rsidR="00A54053">
        <w:rPr>
          <w:rFonts w:cs="Arial"/>
        </w:rPr>
        <w:t>4</w:t>
      </w:r>
      <w:r w:rsidR="00A77D64">
        <w:rPr>
          <w:rFonts w:cs="Arial"/>
        </w:rPr>
        <w:t xml:space="preserve"> and 2017 (Figure 1.4.1).</w:t>
      </w:r>
    </w:p>
    <w:p w14:paraId="0C2198BC" w14:textId="617A6DAD" w:rsidR="00B8064E" w:rsidRPr="00821B8F" w:rsidRDefault="00B8064E" w:rsidP="00BB70F5">
      <w:pPr>
        <w:pStyle w:val="DHHSbody"/>
        <w:rPr>
          <w:rFonts w:cs="Arial"/>
          <w:color w:val="000000" w:themeColor="text1"/>
          <w:highlight w:val="green"/>
          <w:lang w:eastAsia="en-AU"/>
        </w:rPr>
      </w:pPr>
      <w:r>
        <w:rPr>
          <w:rFonts w:cs="Arial"/>
          <w:color w:val="000000" w:themeColor="text1"/>
          <w:lang w:eastAsia="en-AU"/>
        </w:rPr>
        <w:t>A geospatial visualisation of the incide</w:t>
      </w:r>
      <w:r w:rsidR="00637748">
        <w:rPr>
          <w:rFonts w:cs="Arial"/>
          <w:color w:val="000000" w:themeColor="text1"/>
          <w:lang w:eastAsia="en-AU"/>
        </w:rPr>
        <w:t>nce rate of CRC</w:t>
      </w:r>
      <w:r>
        <w:rPr>
          <w:rFonts w:cs="Arial"/>
          <w:color w:val="000000" w:themeColor="text1"/>
          <w:lang w:eastAsia="en-AU"/>
        </w:rPr>
        <w:t xml:space="preserve"> across Victoria by LGA</w:t>
      </w:r>
      <w:r w:rsidRPr="001F03E2">
        <w:rPr>
          <w:rFonts w:cs="Arial"/>
          <w:color w:val="000000" w:themeColor="text1"/>
          <w:lang w:eastAsia="en-AU"/>
        </w:rPr>
        <w:t xml:space="preserve"> between 201</w:t>
      </w:r>
      <w:r w:rsidR="00A54053">
        <w:rPr>
          <w:rFonts w:cs="Arial"/>
          <w:color w:val="000000" w:themeColor="text1"/>
          <w:lang w:eastAsia="en-AU"/>
        </w:rPr>
        <w:t>4</w:t>
      </w:r>
      <w:r w:rsidRPr="001F03E2">
        <w:rPr>
          <w:rFonts w:cs="Arial"/>
          <w:color w:val="000000" w:themeColor="text1"/>
          <w:lang w:eastAsia="en-AU"/>
        </w:rPr>
        <w:t xml:space="preserve"> and 2017</w:t>
      </w:r>
      <w:r>
        <w:rPr>
          <w:rFonts w:cs="Arial"/>
          <w:color w:val="000000" w:themeColor="text1"/>
          <w:lang w:eastAsia="en-AU"/>
        </w:rPr>
        <w:t xml:space="preserve"> is presented in Figures 1.4.2 and 1.4.3</w:t>
      </w:r>
      <w:r w:rsidRPr="001F03E2">
        <w:rPr>
          <w:rFonts w:cs="Arial"/>
          <w:color w:val="000000" w:themeColor="text1"/>
          <w:lang w:eastAsia="en-AU"/>
        </w:rPr>
        <w:t>.</w:t>
      </w:r>
      <w:r w:rsidR="00821B8F">
        <w:rPr>
          <w:rFonts w:cs="Arial"/>
          <w:color w:val="000000" w:themeColor="text1"/>
          <w:lang w:eastAsia="en-AU"/>
        </w:rPr>
        <w:t xml:space="preserve"> Fifty-</w:t>
      </w:r>
      <w:r w:rsidR="00A54053">
        <w:rPr>
          <w:rFonts w:cs="Arial"/>
          <w:color w:val="000000" w:themeColor="text1"/>
          <w:lang w:eastAsia="en-AU"/>
        </w:rPr>
        <w:t>four</w:t>
      </w:r>
      <w:r>
        <w:rPr>
          <w:rFonts w:cs="Arial"/>
          <w:color w:val="000000" w:themeColor="text1"/>
          <w:lang w:eastAsia="en-AU"/>
        </w:rPr>
        <w:t xml:space="preserve"> per</w:t>
      </w:r>
      <w:r w:rsidR="00821B8F">
        <w:rPr>
          <w:rFonts w:cs="Arial"/>
          <w:color w:val="000000" w:themeColor="text1"/>
          <w:lang w:eastAsia="en-AU"/>
        </w:rPr>
        <w:t xml:space="preserve"> </w:t>
      </w:r>
      <w:r>
        <w:rPr>
          <w:rFonts w:cs="Arial"/>
          <w:color w:val="000000" w:themeColor="text1"/>
          <w:lang w:eastAsia="en-AU"/>
        </w:rPr>
        <w:t xml:space="preserve">cent of the 79 Victorian </w:t>
      </w:r>
      <w:r w:rsidRPr="00BC56E0">
        <w:rPr>
          <w:rFonts w:cs="Arial"/>
          <w:color w:val="000000" w:themeColor="text1"/>
          <w:lang w:eastAsia="en-AU"/>
        </w:rPr>
        <w:t>LGAs had higher inc</w:t>
      </w:r>
      <w:r>
        <w:rPr>
          <w:rFonts w:cs="Arial"/>
          <w:color w:val="000000" w:themeColor="text1"/>
          <w:lang w:eastAsia="en-AU"/>
        </w:rPr>
        <w:t>idence rates of</w:t>
      </w:r>
      <w:r w:rsidR="00821B8F">
        <w:rPr>
          <w:rFonts w:cs="Arial"/>
          <w:color w:val="000000" w:themeColor="text1"/>
          <w:lang w:eastAsia="en-AU"/>
        </w:rPr>
        <w:t xml:space="preserve"> CRC</w:t>
      </w:r>
      <w:r w:rsidRPr="00BC56E0">
        <w:rPr>
          <w:rFonts w:cs="Arial"/>
          <w:color w:val="000000" w:themeColor="text1"/>
          <w:lang w:eastAsia="en-AU"/>
        </w:rPr>
        <w:t xml:space="preserve"> than the overall rate </w:t>
      </w:r>
      <w:r w:rsidR="00821B8F">
        <w:rPr>
          <w:rFonts w:cs="Arial"/>
          <w:color w:val="000000" w:themeColor="text1"/>
          <w:lang w:eastAsia="en-AU"/>
        </w:rPr>
        <w:t>(</w:t>
      </w:r>
      <w:r w:rsidR="00A54053">
        <w:rPr>
          <w:rFonts w:cs="Arial"/>
          <w:color w:val="000000" w:themeColor="text1"/>
          <w:lang w:eastAsia="en-AU"/>
        </w:rPr>
        <w:t>56</w:t>
      </w:r>
      <w:r w:rsidRPr="00BC56E0">
        <w:rPr>
          <w:rFonts w:cs="Arial"/>
          <w:color w:val="000000" w:themeColor="text1"/>
          <w:lang w:eastAsia="en-AU"/>
        </w:rPr>
        <w:t xml:space="preserve"> per 100,000 population) for Victoria in 201</w:t>
      </w:r>
      <w:r w:rsidR="00A54053">
        <w:rPr>
          <w:rFonts w:cs="Arial"/>
          <w:color w:val="000000" w:themeColor="text1"/>
          <w:lang w:eastAsia="en-AU"/>
        </w:rPr>
        <w:t>4</w:t>
      </w:r>
      <w:r w:rsidRPr="00BC56E0">
        <w:rPr>
          <w:rFonts w:cs="Arial"/>
          <w:color w:val="000000" w:themeColor="text1"/>
          <w:lang w:eastAsia="en-AU"/>
        </w:rPr>
        <w:t>.</w:t>
      </w:r>
      <w:r w:rsidR="00821B8F">
        <w:rPr>
          <w:rFonts w:cs="Arial"/>
          <w:color w:val="000000" w:themeColor="text1"/>
          <w:lang w:eastAsia="en-AU"/>
        </w:rPr>
        <w:t xml:space="preserve"> </w:t>
      </w:r>
      <w:r w:rsidR="00A54053">
        <w:rPr>
          <w:rFonts w:cs="Arial"/>
          <w:color w:val="000000" w:themeColor="text1"/>
          <w:lang w:eastAsia="en-AU"/>
        </w:rPr>
        <w:t>West Wimmera</w:t>
      </w:r>
      <w:r w:rsidR="00821B8F">
        <w:rPr>
          <w:rFonts w:cs="Arial"/>
          <w:color w:val="000000" w:themeColor="text1"/>
          <w:lang w:eastAsia="en-AU"/>
        </w:rPr>
        <w:t xml:space="preserve"> </w:t>
      </w:r>
      <w:r>
        <w:rPr>
          <w:rFonts w:cs="Arial"/>
          <w:color w:val="000000" w:themeColor="text1"/>
          <w:lang w:eastAsia="en-AU"/>
        </w:rPr>
        <w:t>Shire</w:t>
      </w:r>
      <w:r w:rsidRPr="00BC56E0">
        <w:rPr>
          <w:rFonts w:cs="Arial"/>
          <w:color w:val="000000" w:themeColor="text1"/>
          <w:lang w:eastAsia="en-AU"/>
        </w:rPr>
        <w:t xml:space="preserve"> LGA reported</w:t>
      </w:r>
      <w:r w:rsidR="00821B8F">
        <w:rPr>
          <w:rFonts w:cs="Arial"/>
          <w:color w:val="000000" w:themeColor="text1"/>
          <w:lang w:eastAsia="en-AU"/>
        </w:rPr>
        <w:t xml:space="preserve"> the highest incidence rate (11</w:t>
      </w:r>
      <w:r w:rsidR="00A54053">
        <w:rPr>
          <w:rFonts w:cs="Arial"/>
          <w:color w:val="000000" w:themeColor="text1"/>
          <w:lang w:eastAsia="en-AU"/>
        </w:rPr>
        <w:t>6</w:t>
      </w:r>
      <w:r w:rsidRPr="00BC56E0">
        <w:rPr>
          <w:rFonts w:cs="Arial"/>
          <w:color w:val="000000" w:themeColor="text1"/>
          <w:lang w:eastAsia="en-AU"/>
        </w:rPr>
        <w:t xml:space="preserve"> per 100,000 population) </w:t>
      </w:r>
      <w:r>
        <w:rPr>
          <w:rFonts w:cs="Arial"/>
          <w:color w:val="000000" w:themeColor="text1"/>
          <w:lang w:eastAsia="en-AU"/>
        </w:rPr>
        <w:t>and</w:t>
      </w:r>
      <w:r w:rsidR="00821B8F">
        <w:rPr>
          <w:rFonts w:cs="Arial"/>
          <w:color w:val="000000" w:themeColor="text1"/>
          <w:lang w:eastAsia="en-AU"/>
        </w:rPr>
        <w:t xml:space="preserve"> </w:t>
      </w:r>
      <w:r w:rsidR="00A54053">
        <w:rPr>
          <w:rFonts w:cs="Arial"/>
          <w:color w:val="000000" w:themeColor="text1"/>
          <w:lang w:eastAsia="en-AU"/>
        </w:rPr>
        <w:t>Queenscliffe Borough</w:t>
      </w:r>
      <w:r w:rsidRPr="00BC56E0">
        <w:rPr>
          <w:rFonts w:cs="Arial"/>
          <w:color w:val="000000" w:themeColor="text1"/>
          <w:lang w:eastAsia="en-AU"/>
        </w:rPr>
        <w:t xml:space="preserve"> LG</w:t>
      </w:r>
      <w:r w:rsidR="00821B8F">
        <w:rPr>
          <w:rFonts w:cs="Arial"/>
          <w:color w:val="000000" w:themeColor="text1"/>
          <w:lang w:eastAsia="en-AU"/>
        </w:rPr>
        <w:t>A the lowest incidence rate (</w:t>
      </w:r>
      <w:r w:rsidR="00A54053">
        <w:rPr>
          <w:rFonts w:cs="Arial"/>
          <w:color w:val="000000" w:themeColor="text1"/>
          <w:lang w:eastAsia="en-AU"/>
        </w:rPr>
        <w:t>20</w:t>
      </w:r>
      <w:r w:rsidRPr="00BC56E0">
        <w:rPr>
          <w:rFonts w:cs="Arial"/>
          <w:color w:val="000000" w:themeColor="text1"/>
          <w:lang w:eastAsia="en-AU"/>
        </w:rPr>
        <w:t xml:space="preserve"> per 100,000 population) in 201</w:t>
      </w:r>
      <w:r w:rsidR="00A54053">
        <w:rPr>
          <w:rFonts w:cs="Arial"/>
          <w:color w:val="000000" w:themeColor="text1"/>
          <w:lang w:eastAsia="en-AU"/>
        </w:rPr>
        <w:t>4</w:t>
      </w:r>
      <w:r w:rsidR="00821B8F">
        <w:rPr>
          <w:rFonts w:cs="Arial"/>
          <w:color w:val="000000" w:themeColor="text1"/>
          <w:lang w:eastAsia="en-AU"/>
        </w:rPr>
        <w:t xml:space="preserve"> (Figure 1.4</w:t>
      </w:r>
      <w:r>
        <w:rPr>
          <w:rFonts w:cs="Arial"/>
          <w:color w:val="000000" w:themeColor="text1"/>
          <w:lang w:eastAsia="en-AU"/>
        </w:rPr>
        <w:t>.2)</w:t>
      </w:r>
      <w:r w:rsidRPr="00BC56E0">
        <w:rPr>
          <w:rFonts w:cs="Arial"/>
          <w:color w:val="000000" w:themeColor="text1"/>
          <w:lang w:eastAsia="en-AU"/>
        </w:rPr>
        <w:t>.</w:t>
      </w:r>
      <w:r w:rsidR="00952FC7">
        <w:rPr>
          <w:rFonts w:cs="Arial"/>
          <w:color w:val="000000" w:themeColor="text1"/>
          <w:lang w:eastAsia="en-AU"/>
        </w:rPr>
        <w:t xml:space="preserve"> </w:t>
      </w:r>
      <w:r w:rsidR="00821B8F">
        <w:rPr>
          <w:rFonts w:cs="Arial"/>
          <w:color w:val="000000" w:themeColor="text1"/>
          <w:lang w:eastAsia="en-AU"/>
        </w:rPr>
        <w:t>By comparison, 47</w:t>
      </w:r>
      <w:r w:rsidRPr="00BC56E0">
        <w:rPr>
          <w:rFonts w:cs="Arial"/>
          <w:color w:val="000000" w:themeColor="text1"/>
          <w:lang w:eastAsia="en-AU"/>
        </w:rPr>
        <w:t xml:space="preserve"> per cent of the 79 LGAs had high</w:t>
      </w:r>
      <w:r>
        <w:rPr>
          <w:rFonts w:cs="Arial"/>
          <w:color w:val="000000" w:themeColor="text1"/>
          <w:lang w:eastAsia="en-AU"/>
        </w:rPr>
        <w:t>er</w:t>
      </w:r>
      <w:r w:rsidRPr="00BC56E0">
        <w:rPr>
          <w:rFonts w:cs="Arial"/>
          <w:color w:val="000000" w:themeColor="text1"/>
          <w:lang w:eastAsia="en-AU"/>
        </w:rPr>
        <w:t xml:space="preserve"> incidenc</w:t>
      </w:r>
      <w:r w:rsidR="00821B8F">
        <w:rPr>
          <w:rFonts w:cs="Arial"/>
          <w:color w:val="000000" w:themeColor="text1"/>
          <w:lang w:eastAsia="en-AU"/>
        </w:rPr>
        <w:t>e rates of CRC than the overall rate (54</w:t>
      </w:r>
      <w:r w:rsidRPr="00BC56E0">
        <w:rPr>
          <w:rFonts w:cs="Arial"/>
          <w:color w:val="000000" w:themeColor="text1"/>
          <w:lang w:eastAsia="en-AU"/>
        </w:rPr>
        <w:t xml:space="preserve"> per 100,000 population) for Victoria in 2017.</w:t>
      </w:r>
      <w:r w:rsidR="00794040">
        <w:rPr>
          <w:rFonts w:cs="Arial"/>
          <w:color w:val="000000" w:themeColor="text1"/>
          <w:lang w:eastAsia="en-AU"/>
        </w:rPr>
        <w:t xml:space="preserve"> Hi</w:t>
      </w:r>
      <w:r w:rsidR="00821B8F">
        <w:rPr>
          <w:rFonts w:cs="Arial"/>
          <w:color w:val="000000" w:themeColor="text1"/>
          <w:lang w:eastAsia="en-AU"/>
        </w:rPr>
        <w:t>ndmarsh</w:t>
      </w:r>
      <w:r>
        <w:rPr>
          <w:rFonts w:cs="Arial"/>
          <w:color w:val="000000" w:themeColor="text1"/>
          <w:lang w:eastAsia="en-AU"/>
        </w:rPr>
        <w:t xml:space="preserve"> Shire LGA reported the highest incidence rate (</w:t>
      </w:r>
      <w:r w:rsidR="00821B8F">
        <w:rPr>
          <w:rFonts w:cs="Arial"/>
          <w:color w:val="000000" w:themeColor="text1"/>
          <w:lang w:eastAsia="en-AU"/>
        </w:rPr>
        <w:t>101</w:t>
      </w:r>
      <w:r>
        <w:rPr>
          <w:rFonts w:cs="Arial"/>
          <w:color w:val="000000" w:themeColor="text1"/>
          <w:lang w:eastAsia="en-AU"/>
        </w:rPr>
        <w:t xml:space="preserve"> per 100,0</w:t>
      </w:r>
      <w:r w:rsidR="00821B8F">
        <w:rPr>
          <w:rFonts w:cs="Arial"/>
          <w:color w:val="000000" w:themeColor="text1"/>
          <w:lang w:eastAsia="en-AU"/>
        </w:rPr>
        <w:t>00 population) and the Pyrenees Shire LGA the lowest (22</w:t>
      </w:r>
      <w:r>
        <w:rPr>
          <w:rFonts w:cs="Arial"/>
          <w:color w:val="000000" w:themeColor="text1"/>
          <w:lang w:eastAsia="en-AU"/>
        </w:rPr>
        <w:t xml:space="preserve"> per 100,000 populatio</w:t>
      </w:r>
      <w:r w:rsidR="00821B8F">
        <w:rPr>
          <w:rFonts w:cs="Arial"/>
          <w:color w:val="000000" w:themeColor="text1"/>
          <w:lang w:eastAsia="en-AU"/>
        </w:rPr>
        <w:t xml:space="preserve">n in 2017 </w:t>
      </w:r>
      <w:r w:rsidR="00D86773">
        <w:rPr>
          <w:rFonts w:cs="Arial"/>
          <w:color w:val="000000" w:themeColor="text1"/>
          <w:lang w:eastAsia="en-AU"/>
        </w:rPr>
        <w:t xml:space="preserve">– see </w:t>
      </w:r>
      <w:r w:rsidR="00821B8F">
        <w:rPr>
          <w:rFonts w:cs="Arial"/>
          <w:color w:val="000000" w:themeColor="text1"/>
          <w:lang w:eastAsia="en-AU"/>
        </w:rPr>
        <w:t>Figure 1.4</w:t>
      </w:r>
      <w:r>
        <w:rPr>
          <w:rFonts w:cs="Arial"/>
          <w:color w:val="000000" w:themeColor="text1"/>
          <w:lang w:eastAsia="en-AU"/>
        </w:rPr>
        <w:t>.3).</w:t>
      </w:r>
      <w:r w:rsidR="00952FC7">
        <w:rPr>
          <w:rFonts w:cs="Arial"/>
          <w:color w:val="000000" w:themeColor="text1"/>
          <w:lang w:eastAsia="en-AU"/>
        </w:rPr>
        <w:t xml:space="preserve"> </w:t>
      </w:r>
      <w:r>
        <w:rPr>
          <w:rFonts w:cs="Arial"/>
          <w:color w:val="000000" w:themeColor="text1"/>
          <w:lang w:eastAsia="en-AU"/>
        </w:rPr>
        <w:t xml:space="preserve">Overall, </w:t>
      </w:r>
      <w:r w:rsidRPr="00AB4A70">
        <w:rPr>
          <w:rFonts w:cs="Arial"/>
          <w:color w:val="000000" w:themeColor="text1"/>
          <w:lang w:eastAsia="en-AU"/>
        </w:rPr>
        <w:t xml:space="preserve">most of the 79 LGAs reported slight fluctuations in the incidence rate </w:t>
      </w:r>
      <w:r w:rsidR="00821B8F">
        <w:rPr>
          <w:rFonts w:cs="Arial"/>
          <w:color w:val="000000" w:themeColor="text1"/>
          <w:lang w:eastAsia="en-AU"/>
        </w:rPr>
        <w:t>of CRC</w:t>
      </w:r>
      <w:r>
        <w:rPr>
          <w:rFonts w:cs="Arial"/>
          <w:color w:val="000000" w:themeColor="text1"/>
          <w:lang w:eastAsia="en-AU"/>
        </w:rPr>
        <w:t xml:space="preserve"> </w:t>
      </w:r>
      <w:r w:rsidRPr="00AB4A70">
        <w:rPr>
          <w:rFonts w:cs="Arial"/>
          <w:color w:val="000000" w:themeColor="text1"/>
          <w:lang w:eastAsia="en-AU"/>
        </w:rPr>
        <w:t>between 201</w:t>
      </w:r>
      <w:r w:rsidR="00A54053">
        <w:rPr>
          <w:rFonts w:cs="Arial"/>
          <w:color w:val="000000" w:themeColor="text1"/>
          <w:lang w:eastAsia="en-AU"/>
        </w:rPr>
        <w:t>4</w:t>
      </w:r>
      <w:r w:rsidRPr="00AB4A70">
        <w:rPr>
          <w:rFonts w:cs="Arial"/>
          <w:color w:val="000000" w:themeColor="text1"/>
          <w:lang w:eastAsia="en-AU"/>
        </w:rPr>
        <w:t xml:space="preserve"> and 2017</w:t>
      </w:r>
      <w:r w:rsidR="00821B8F">
        <w:rPr>
          <w:rFonts w:cs="Arial"/>
          <w:color w:val="000000" w:themeColor="text1"/>
          <w:lang w:eastAsia="en-AU"/>
        </w:rPr>
        <w:t>.</w:t>
      </w:r>
    </w:p>
    <w:p w14:paraId="60089184" w14:textId="734B8058" w:rsidR="009A2DF4" w:rsidRPr="0011089F" w:rsidRDefault="00313494" w:rsidP="007E775C">
      <w:pPr>
        <w:pStyle w:val="DHHSbody"/>
        <w:rPr>
          <w:rFonts w:cs="Arial"/>
          <w:lang w:val="en"/>
        </w:rPr>
      </w:pPr>
      <w:r w:rsidRPr="004402D5">
        <w:rPr>
          <w:rFonts w:cs="Arial"/>
          <w:lang w:eastAsia="en-AU"/>
        </w:rPr>
        <w:t>No target has been set for this measure</w:t>
      </w:r>
      <w:r w:rsidR="003806BF" w:rsidRPr="004402D5">
        <w:rPr>
          <w:rFonts w:cs="Arial"/>
          <w:lang w:eastAsia="en-AU"/>
        </w:rPr>
        <w:t>,</w:t>
      </w:r>
      <w:r w:rsidR="00E37204" w:rsidRPr="004402D5">
        <w:rPr>
          <w:rFonts w:cs="Arial"/>
          <w:lang w:eastAsia="en-AU"/>
        </w:rPr>
        <w:t xml:space="preserve"> but the declining incidence </w:t>
      </w:r>
      <w:r w:rsidR="003806BF" w:rsidRPr="004402D5">
        <w:rPr>
          <w:rFonts w:cs="Arial"/>
          <w:lang w:eastAsia="en-AU"/>
        </w:rPr>
        <w:t xml:space="preserve">rate of CRC </w:t>
      </w:r>
      <w:r w:rsidR="00E37204" w:rsidRPr="004402D5">
        <w:rPr>
          <w:rFonts w:cs="Arial"/>
          <w:lang w:eastAsia="en-AU"/>
        </w:rPr>
        <w:t xml:space="preserve">in Victoria </w:t>
      </w:r>
      <w:r w:rsidR="00D67A07">
        <w:rPr>
          <w:rFonts w:cs="Arial"/>
          <w:lang w:eastAsia="en-AU"/>
        </w:rPr>
        <w:t>observed between 201</w:t>
      </w:r>
      <w:r w:rsidR="00A54053">
        <w:rPr>
          <w:rFonts w:cs="Arial"/>
          <w:lang w:eastAsia="en-AU"/>
        </w:rPr>
        <w:t>4</w:t>
      </w:r>
      <w:r w:rsidR="00D67A07">
        <w:rPr>
          <w:rFonts w:cs="Arial"/>
          <w:lang w:eastAsia="en-AU"/>
        </w:rPr>
        <w:t xml:space="preserve"> and 2017</w:t>
      </w:r>
      <w:r w:rsidR="00DE295A" w:rsidRPr="004402D5">
        <w:rPr>
          <w:rFonts w:cs="Arial"/>
          <w:lang w:eastAsia="en-AU"/>
        </w:rPr>
        <w:t xml:space="preserve"> </w:t>
      </w:r>
      <w:r w:rsidR="00E37204" w:rsidRPr="004402D5">
        <w:rPr>
          <w:rFonts w:cs="Arial"/>
          <w:lang w:eastAsia="en-AU"/>
        </w:rPr>
        <w:t xml:space="preserve">may partially reflect </w:t>
      </w:r>
      <w:r w:rsidR="00B83905" w:rsidRPr="004402D5">
        <w:rPr>
          <w:rFonts w:cs="Arial"/>
          <w:lang w:val="en"/>
        </w:rPr>
        <w:t>the efficacy of the Australian National Bowel Cancer Screening Program</w:t>
      </w:r>
      <w:r w:rsidR="006716E7">
        <w:rPr>
          <w:rFonts w:cs="Arial"/>
          <w:lang w:val="en"/>
        </w:rPr>
        <w:t>,</w:t>
      </w:r>
      <w:r w:rsidR="00D67A07">
        <w:rPr>
          <w:rFonts w:cs="Arial"/>
          <w:lang w:val="en"/>
        </w:rPr>
        <w:t xml:space="preserve"> which was introduced in 2006 and is</w:t>
      </w:r>
      <w:r w:rsidR="00B83905" w:rsidRPr="004402D5">
        <w:rPr>
          <w:rFonts w:cs="Arial"/>
          <w:lang w:val="en"/>
        </w:rPr>
        <w:t xml:space="preserve"> targeted at those aged 50</w:t>
      </w:r>
      <w:r w:rsidR="00A46CCA">
        <w:rPr>
          <w:rFonts w:cs="Arial"/>
          <w:lang w:val="en"/>
        </w:rPr>
        <w:t>–</w:t>
      </w:r>
      <w:r w:rsidR="00B83905" w:rsidRPr="004402D5">
        <w:rPr>
          <w:rFonts w:cs="Arial"/>
          <w:lang w:val="en"/>
        </w:rPr>
        <w:t>74.</w:t>
      </w:r>
      <w:r w:rsidR="003806BF" w:rsidRPr="004402D5">
        <w:rPr>
          <w:rFonts w:cs="Arial"/>
          <w:lang w:val="en"/>
        </w:rPr>
        <w:t xml:space="preserve"> Other factors</w:t>
      </w:r>
      <w:r w:rsidR="00D91EFB">
        <w:rPr>
          <w:rFonts w:cs="Arial"/>
          <w:lang w:val="en"/>
        </w:rPr>
        <w:t>, such as screening outside of the national program including colonoscopy,</w:t>
      </w:r>
      <w:r w:rsidR="003806BF" w:rsidRPr="004402D5">
        <w:rPr>
          <w:rFonts w:cs="Arial"/>
          <w:lang w:val="en"/>
        </w:rPr>
        <w:t xml:space="preserve"> </w:t>
      </w:r>
      <w:r w:rsidR="006716E7">
        <w:rPr>
          <w:rFonts w:cs="Arial"/>
          <w:lang w:val="en"/>
        </w:rPr>
        <w:t>that</w:t>
      </w:r>
      <w:r w:rsidR="003806BF" w:rsidRPr="004402D5">
        <w:rPr>
          <w:rFonts w:cs="Arial"/>
          <w:lang w:val="en"/>
        </w:rPr>
        <w:t xml:space="preserve"> may have also brought about a decline in </w:t>
      </w:r>
      <w:r w:rsidR="00D67A07">
        <w:rPr>
          <w:rFonts w:cs="Arial"/>
          <w:lang w:val="en"/>
        </w:rPr>
        <w:t xml:space="preserve">overall </w:t>
      </w:r>
      <w:r w:rsidR="003806BF" w:rsidRPr="004402D5">
        <w:rPr>
          <w:rFonts w:cs="Arial"/>
          <w:lang w:val="en"/>
        </w:rPr>
        <w:t>incidence include improvements in perioperative care</w:t>
      </w:r>
      <w:r w:rsidR="007305B6">
        <w:rPr>
          <w:rFonts w:cs="Arial"/>
          <w:lang w:val="en"/>
        </w:rPr>
        <w:t xml:space="preserve"> to detect and remove precancerous lesions</w:t>
      </w:r>
      <w:r w:rsidR="003806BF" w:rsidRPr="004402D5">
        <w:rPr>
          <w:rFonts w:cs="Arial"/>
          <w:lang w:val="en"/>
        </w:rPr>
        <w:t>, as well as chemotherapy and radiotherapy.</w:t>
      </w:r>
      <w:r w:rsidR="00952FC7">
        <w:rPr>
          <w:rFonts w:cs="Arial"/>
          <w:lang w:val="en"/>
        </w:rPr>
        <w:t xml:space="preserve"> </w:t>
      </w:r>
      <w:r w:rsidR="00AB5A7D">
        <w:rPr>
          <w:rFonts w:cs="Arial"/>
          <w:lang w:val="en"/>
        </w:rPr>
        <w:t>However</w:t>
      </w:r>
      <w:r w:rsidR="00BB70F5">
        <w:rPr>
          <w:rFonts w:cs="Arial"/>
          <w:lang w:val="en"/>
        </w:rPr>
        <w:t>,</w:t>
      </w:r>
      <w:r w:rsidR="00192D11">
        <w:rPr>
          <w:rFonts w:cs="Arial"/>
          <w:lang w:val="en"/>
        </w:rPr>
        <w:t xml:space="preserve"> </w:t>
      </w:r>
      <w:r w:rsidR="00F11D25">
        <w:rPr>
          <w:rFonts w:cs="Arial"/>
          <w:lang w:val="en"/>
        </w:rPr>
        <w:t>as Figure 1.4 shows</w:t>
      </w:r>
      <w:r w:rsidR="00D86773">
        <w:rPr>
          <w:rFonts w:cs="Arial"/>
          <w:lang w:val="en"/>
        </w:rPr>
        <w:t>,</w:t>
      </w:r>
      <w:r w:rsidR="00F11D25">
        <w:rPr>
          <w:rFonts w:cs="Arial"/>
          <w:lang w:val="en"/>
        </w:rPr>
        <w:t xml:space="preserve"> </w:t>
      </w:r>
      <w:r w:rsidR="00AB5A7D">
        <w:rPr>
          <w:rFonts w:cs="Arial"/>
          <w:lang w:val="en"/>
        </w:rPr>
        <w:t xml:space="preserve">disparities exist </w:t>
      </w:r>
      <w:r w:rsidR="007D2997">
        <w:rPr>
          <w:rFonts w:cs="Arial"/>
          <w:lang w:val="en"/>
        </w:rPr>
        <w:t>in some subgroups</w:t>
      </w:r>
      <w:r w:rsidR="00D86773">
        <w:rPr>
          <w:rFonts w:cs="Arial"/>
          <w:lang w:val="en"/>
        </w:rPr>
        <w:t>,</w:t>
      </w:r>
      <w:r w:rsidR="007D2997">
        <w:rPr>
          <w:rFonts w:cs="Arial"/>
          <w:lang w:val="en"/>
        </w:rPr>
        <w:t xml:space="preserve"> particularly Aboriginal Victorians and those living in the most disadvan</w:t>
      </w:r>
      <w:r w:rsidR="00192D11">
        <w:rPr>
          <w:rFonts w:cs="Arial"/>
          <w:lang w:val="en"/>
        </w:rPr>
        <w:t xml:space="preserve">taged socioeconomic </w:t>
      </w:r>
      <w:r w:rsidR="00F34179">
        <w:rPr>
          <w:rFonts w:cs="Arial"/>
          <w:lang w:val="en"/>
        </w:rPr>
        <w:t>areas</w:t>
      </w:r>
      <w:r w:rsidR="00192D11">
        <w:rPr>
          <w:rFonts w:cs="Arial"/>
          <w:lang w:val="en"/>
        </w:rPr>
        <w:t xml:space="preserve"> (SES </w:t>
      </w:r>
      <w:r w:rsidR="007D2997">
        <w:rPr>
          <w:rFonts w:cs="Arial"/>
          <w:lang w:val="en"/>
        </w:rPr>
        <w:t xml:space="preserve">1) having </w:t>
      </w:r>
      <w:r w:rsidR="00D91EFB">
        <w:rPr>
          <w:rFonts w:cs="Arial"/>
          <w:lang w:val="en"/>
        </w:rPr>
        <w:t>higher</w:t>
      </w:r>
      <w:r w:rsidR="007D2997">
        <w:rPr>
          <w:rFonts w:cs="Arial"/>
          <w:lang w:val="en"/>
        </w:rPr>
        <w:t xml:space="preserve"> incidence rates</w:t>
      </w:r>
      <w:r w:rsidR="006716E7">
        <w:rPr>
          <w:rFonts w:cs="Arial"/>
          <w:lang w:val="en"/>
        </w:rPr>
        <w:t>.</w:t>
      </w:r>
      <w:r w:rsidR="00952FC7">
        <w:rPr>
          <w:rFonts w:cs="Arial"/>
          <w:lang w:val="en"/>
        </w:rPr>
        <w:t xml:space="preserve"> </w:t>
      </w:r>
      <w:r w:rsidR="009A2DF4" w:rsidRPr="004402D5">
        <w:rPr>
          <w:rFonts w:eastAsia="MS Gothic"/>
          <w:b/>
          <w:bCs/>
          <w:sz w:val="24"/>
          <w:szCs w:val="26"/>
          <w:lang w:eastAsia="en-AU"/>
        </w:rPr>
        <w:br w:type="page"/>
      </w:r>
    </w:p>
    <w:p w14:paraId="6F7248AA" w14:textId="34B7CA49" w:rsidR="00E8458B" w:rsidRDefault="00E8458B" w:rsidP="006624DA">
      <w:pPr>
        <w:pStyle w:val="Heading3"/>
        <w:rPr>
          <w:lang w:eastAsia="en-AU"/>
        </w:rPr>
      </w:pPr>
      <w:bookmarkStart w:id="131" w:name="_Measure_1.5_–"/>
      <w:bookmarkStart w:id="132" w:name="_Toc19008005"/>
      <w:bookmarkEnd w:id="131"/>
      <w:r>
        <w:rPr>
          <w:lang w:eastAsia="en-AU"/>
        </w:rPr>
        <w:lastRenderedPageBreak/>
        <w:t xml:space="preserve">Measure 1.5 – </w:t>
      </w:r>
      <w:r w:rsidR="006624DA">
        <w:rPr>
          <w:lang w:eastAsia="en-AU"/>
        </w:rPr>
        <w:t>Incidence of</w:t>
      </w:r>
      <w:r w:rsidR="00AF459A">
        <w:rPr>
          <w:lang w:eastAsia="en-AU"/>
        </w:rPr>
        <w:t xml:space="preserve"> melanoma</w:t>
      </w:r>
      <w:bookmarkEnd w:id="132"/>
    </w:p>
    <w:p w14:paraId="434D6C90" w14:textId="66F82908" w:rsidR="008D4EED" w:rsidRDefault="008D4EED" w:rsidP="00FF072C">
      <w:pPr>
        <w:pStyle w:val="DHHSfigurecaption"/>
      </w:pPr>
      <w:bookmarkStart w:id="133" w:name="_Toc19008006"/>
      <w:bookmarkStart w:id="134" w:name="_Toc19008264"/>
      <w:bookmarkStart w:id="135" w:name="_Toc19008411"/>
      <w:bookmarkStart w:id="136" w:name="_Toc19008558"/>
      <w:bookmarkStart w:id="137" w:name="_Toc27414261"/>
      <w:r w:rsidRPr="00A8622F">
        <w:t>Figure 1.</w:t>
      </w:r>
      <w:r>
        <w:t>5</w:t>
      </w:r>
      <w:r w:rsidR="00E634E9">
        <w:t>:</w:t>
      </w:r>
      <w:r w:rsidRPr="00A8622F">
        <w:t xml:space="preserve"> </w:t>
      </w:r>
      <w:r>
        <w:t>I</w:t>
      </w:r>
      <w:r w:rsidRPr="00A8622F">
        <w:t xml:space="preserve">ncidence </w:t>
      </w:r>
      <w:r>
        <w:t>of melanoma</w:t>
      </w:r>
      <w:r w:rsidRPr="00A8622F">
        <w:t xml:space="preserve"> </w:t>
      </w:r>
      <w:r>
        <w:t xml:space="preserve">in Victoria </w:t>
      </w:r>
      <w:r w:rsidRPr="00A8622F">
        <w:t xml:space="preserve">per 100,000 standardised to the </w:t>
      </w:r>
      <w:r>
        <w:t xml:space="preserve">2001 </w:t>
      </w:r>
      <w:r w:rsidRPr="00A8622F">
        <w:t>Australian population, by year of diagnosis, 201</w:t>
      </w:r>
      <w:r w:rsidR="002B5134">
        <w:t>4</w:t>
      </w:r>
      <w:r w:rsidRPr="00A8622F">
        <w:t xml:space="preserve"> and 201</w:t>
      </w:r>
      <w:r>
        <w:t>7</w:t>
      </w:r>
      <w:bookmarkEnd w:id="133"/>
      <w:bookmarkEnd w:id="134"/>
      <w:bookmarkEnd w:id="135"/>
      <w:bookmarkEnd w:id="136"/>
      <w:bookmarkEnd w:id="137"/>
    </w:p>
    <w:p w14:paraId="594B03BA" w14:textId="7E0462AF" w:rsidR="00AD7279" w:rsidRPr="00AD7279" w:rsidRDefault="00AD7279" w:rsidP="00AD7279">
      <w:pPr>
        <w:pStyle w:val="DHHSbody"/>
      </w:pPr>
      <w:r>
        <w:rPr>
          <w:noProof/>
        </w:rPr>
        <w:drawing>
          <wp:inline distT="0" distB="0" distL="0" distR="0" wp14:anchorId="63F16D30" wp14:editId="19933D31">
            <wp:extent cx="6750685" cy="6838950"/>
            <wp:effectExtent l="0" t="0" r="0" b="0"/>
            <wp:docPr id="304" name="Picture 304" descr="This figure shows a data summary of 'Measure 1.5 – Incidence of melanoma'. The data set is available under 'Measure 1.5 – Incidence of melanom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750685" cy="6838950"/>
                    </a:xfrm>
                    <a:prstGeom prst="rect">
                      <a:avLst/>
                    </a:prstGeom>
                    <a:noFill/>
                    <a:ln>
                      <a:noFill/>
                    </a:ln>
                  </pic:spPr>
                </pic:pic>
              </a:graphicData>
            </a:graphic>
          </wp:inline>
        </w:drawing>
      </w:r>
    </w:p>
    <w:p w14:paraId="2DA3A95D" w14:textId="2335BBB5" w:rsidR="00C04E3C" w:rsidRPr="00C04E3C" w:rsidRDefault="00C04E3C" w:rsidP="00C04E3C">
      <w:pPr>
        <w:pStyle w:val="DHHSbody"/>
      </w:pPr>
    </w:p>
    <w:p w14:paraId="60999838" w14:textId="4130DE08" w:rsidR="00532378" w:rsidRPr="00532378" w:rsidRDefault="00532378" w:rsidP="00532378">
      <w:pPr>
        <w:pStyle w:val="DHHSbody"/>
      </w:pPr>
    </w:p>
    <w:p w14:paraId="24F16E62" w14:textId="77777777" w:rsidR="00421177" w:rsidRDefault="009A2DF4" w:rsidP="00C04E3C">
      <w:pPr>
        <w:pStyle w:val="DHHStablefigurenote"/>
      </w:pPr>
      <w:r w:rsidRPr="003F5C49">
        <w:t>Note:</w:t>
      </w:r>
      <w:r w:rsidR="00250B73">
        <w:t xml:space="preserve"> </w:t>
      </w:r>
      <w:r>
        <w:t>R</w:t>
      </w:r>
      <w:r w:rsidRPr="003F5C49">
        <w:t xml:space="preserve">esults by </w:t>
      </w:r>
      <w:r w:rsidR="0011089F">
        <w:t>cultural diversity</w:t>
      </w:r>
      <w:r w:rsidRPr="003F5C49">
        <w:t xml:space="preserve"> </w:t>
      </w:r>
      <w:r>
        <w:t xml:space="preserve">are not presented </w:t>
      </w:r>
      <w:r w:rsidR="005D072A">
        <w:t>because</w:t>
      </w:r>
      <w:r w:rsidR="005D072A" w:rsidRPr="003F5C49">
        <w:t xml:space="preserve"> </w:t>
      </w:r>
      <w:r w:rsidRPr="003F5C49">
        <w:t xml:space="preserve">the ERP does not estimate the population by </w:t>
      </w:r>
      <w:r w:rsidR="0011089F">
        <w:t>cultural diversity</w:t>
      </w:r>
      <w:r w:rsidRPr="003F5C49">
        <w:t xml:space="preserve">, hence </w:t>
      </w:r>
      <w:r>
        <w:t>there is no</w:t>
      </w:r>
      <w:r w:rsidRPr="003F5C49">
        <w:t xml:space="preserve"> denominator for this variable.</w:t>
      </w:r>
    </w:p>
    <w:p w14:paraId="3F258B7C" w14:textId="77777777" w:rsidR="0020440A" w:rsidRDefault="00421177" w:rsidP="00C04E3C">
      <w:pPr>
        <w:pStyle w:val="DHHStablefigurenote"/>
      </w:pPr>
      <w:r>
        <w:t>Age-adjusted rate for Aboriginal and Torres Strait Islander in 2017 is 5 to account for the very low number of cases.</w:t>
      </w:r>
    </w:p>
    <w:p w14:paraId="446C5BC7" w14:textId="1E64DB4E" w:rsidR="00A76E50" w:rsidRPr="0011089F" w:rsidRDefault="0020440A" w:rsidP="00C04E3C">
      <w:pPr>
        <w:pStyle w:val="DHHStablefigurenote"/>
      </w:pPr>
      <w:r w:rsidRPr="00D53842">
        <w:rPr>
          <w:color w:val="000000"/>
        </w:rPr>
        <w:t>Appendix 2 provides the dataset.</w:t>
      </w:r>
      <w:r w:rsidR="00A76E50">
        <w:br w:type="page"/>
      </w:r>
    </w:p>
    <w:p w14:paraId="3AAE56D8" w14:textId="0C53483C" w:rsidR="00A76E50" w:rsidRDefault="00A76E50" w:rsidP="00FF072C">
      <w:pPr>
        <w:pStyle w:val="DHHSfigurecaption"/>
      </w:pPr>
      <w:bookmarkStart w:id="138" w:name="_Toc19008007"/>
      <w:bookmarkStart w:id="139" w:name="_Toc19008265"/>
      <w:bookmarkStart w:id="140" w:name="_Toc19008412"/>
      <w:bookmarkStart w:id="141" w:name="_Toc19008559"/>
      <w:bookmarkStart w:id="142" w:name="_Toc27414262"/>
      <w:r>
        <w:rPr>
          <w:lang w:eastAsia="en-AU"/>
        </w:rPr>
        <w:lastRenderedPageBreak/>
        <w:t>Figure 1.5.1</w:t>
      </w:r>
      <w:r w:rsidR="00E634E9">
        <w:rPr>
          <w:lang w:eastAsia="en-AU"/>
        </w:rPr>
        <w:t>:</w:t>
      </w:r>
      <w:r w:rsidRPr="006378D2">
        <w:rPr>
          <w:lang w:eastAsia="en-AU"/>
        </w:rPr>
        <w:t xml:space="preserve"> Incidence of </w:t>
      </w:r>
      <w:r>
        <w:rPr>
          <w:lang w:eastAsia="en-AU"/>
        </w:rPr>
        <w:t xml:space="preserve">melanoma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0031077F">
        <w:t xml:space="preserve"> and</w:t>
      </w:r>
      <w:r>
        <w:t xml:space="preserve"> year, </w:t>
      </w:r>
      <w:r w:rsidRPr="006378D2">
        <w:t>20</w:t>
      </w:r>
      <w:r>
        <w:t>1</w:t>
      </w:r>
      <w:r w:rsidR="00E55933">
        <w:t>4</w:t>
      </w:r>
      <w:r>
        <w:t xml:space="preserve"> and 2017</w:t>
      </w:r>
      <w:bookmarkEnd w:id="138"/>
      <w:bookmarkEnd w:id="139"/>
      <w:bookmarkEnd w:id="140"/>
      <w:bookmarkEnd w:id="141"/>
      <w:bookmarkEnd w:id="142"/>
    </w:p>
    <w:p w14:paraId="7206CD22" w14:textId="4F9506C5" w:rsidR="00E55933" w:rsidRPr="00E55933" w:rsidRDefault="005C68DF" w:rsidP="00C46A8A">
      <w:pPr>
        <w:pStyle w:val="DHHSbody"/>
      </w:pPr>
      <w:r>
        <w:rPr>
          <w:noProof/>
        </w:rPr>
        <w:drawing>
          <wp:inline distT="0" distB="0" distL="0" distR="0" wp14:anchorId="7229DECD" wp14:editId="40331B3F">
            <wp:extent cx="6748780" cy="3103245"/>
            <wp:effectExtent l="0" t="0" r="0" b="1905"/>
            <wp:docPr id="41" name="Picture 41" descr="This figure (bar graph) presents the incidence of melanoma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48780" cy="3103245"/>
                    </a:xfrm>
                    <a:prstGeom prst="rect">
                      <a:avLst/>
                    </a:prstGeom>
                    <a:noFill/>
                  </pic:spPr>
                </pic:pic>
              </a:graphicData>
            </a:graphic>
          </wp:inline>
        </w:drawing>
      </w:r>
    </w:p>
    <w:p w14:paraId="06F30AE3" w14:textId="361C15B8" w:rsidR="00B1404A" w:rsidRDefault="00B1404A" w:rsidP="00FF072C">
      <w:pPr>
        <w:pStyle w:val="DHHSfigurecaption"/>
      </w:pPr>
      <w:bookmarkStart w:id="143" w:name="_Toc19008008"/>
      <w:bookmarkStart w:id="144" w:name="_Toc19008266"/>
      <w:bookmarkStart w:id="145" w:name="_Toc19008413"/>
      <w:bookmarkStart w:id="146" w:name="_Toc19008560"/>
      <w:bookmarkStart w:id="147" w:name="_Toc27414263"/>
      <w:r>
        <w:t>Figure 1.5.2</w:t>
      </w:r>
      <w:r w:rsidR="00E634E9">
        <w:t>:</w:t>
      </w:r>
      <w:r w:rsidRPr="00AB6486">
        <w:t xml:space="preserve"> Incidence of </w:t>
      </w:r>
      <w:r>
        <w:t xml:space="preserve">melanoma in Victoria </w:t>
      </w:r>
      <w:r w:rsidRPr="00AB6486">
        <w:t xml:space="preserve">per 100,000 standardised to the 2001 Australian population, by Victorian </w:t>
      </w:r>
      <w:r w:rsidR="005D072A">
        <w:t>LGA</w:t>
      </w:r>
      <w:r>
        <w:t>, 201</w:t>
      </w:r>
      <w:bookmarkEnd w:id="143"/>
      <w:bookmarkEnd w:id="144"/>
      <w:bookmarkEnd w:id="145"/>
      <w:bookmarkEnd w:id="146"/>
      <w:r w:rsidR="00480FF9">
        <w:t>4</w:t>
      </w:r>
      <w:bookmarkEnd w:id="147"/>
    </w:p>
    <w:p w14:paraId="1453D291" w14:textId="0A7D9342" w:rsidR="007D6C20" w:rsidRPr="00480FF9" w:rsidRDefault="00480FF9" w:rsidP="00480FF9">
      <w:pPr>
        <w:pStyle w:val="DHHSbody"/>
      </w:pPr>
      <w:r>
        <w:rPr>
          <w:noProof/>
        </w:rPr>
        <w:drawing>
          <wp:inline distT="0" distB="0" distL="0" distR="0" wp14:anchorId="65F73201" wp14:editId="686C91DE">
            <wp:extent cx="6729984" cy="4807132"/>
            <wp:effectExtent l="0" t="0" r="0" b="0"/>
            <wp:docPr id="332" name="Picture 332" descr="This figure shows a map of Victoria showing the highest reported rate of melanoma in 2014 is in the Northern Grampians Shire Council and the lowest reported rate is in Towong Shire Council. The data set is available under 'Measure 1.5 – Incidence of melanom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Measure 1.5 2014.PNG"/>
                    <pic:cNvPicPr/>
                  </pic:nvPicPr>
                  <pic:blipFill>
                    <a:blip r:embed="rId46"/>
                    <a:stretch>
                      <a:fillRect/>
                    </a:stretch>
                  </pic:blipFill>
                  <pic:spPr>
                    <a:xfrm>
                      <a:off x="0" y="0"/>
                      <a:ext cx="6746986" cy="4819276"/>
                    </a:xfrm>
                    <a:prstGeom prst="rect">
                      <a:avLst/>
                    </a:prstGeom>
                  </pic:spPr>
                </pic:pic>
              </a:graphicData>
            </a:graphic>
          </wp:inline>
        </w:drawing>
      </w:r>
      <w:r w:rsidR="007D6C20">
        <w:rPr>
          <w:rFonts w:cs="Arial"/>
          <w:b/>
        </w:rPr>
        <w:br w:type="page"/>
      </w:r>
    </w:p>
    <w:p w14:paraId="40B81A6E" w14:textId="4CB44E57" w:rsidR="006E354C" w:rsidRDefault="00B1404A" w:rsidP="00FF072C">
      <w:pPr>
        <w:pStyle w:val="DHHSfigurecaption"/>
      </w:pPr>
      <w:bookmarkStart w:id="148" w:name="_Toc19008009"/>
      <w:bookmarkStart w:id="149" w:name="_Toc19008267"/>
      <w:bookmarkStart w:id="150" w:name="_Toc19008414"/>
      <w:bookmarkStart w:id="151" w:name="_Toc19008561"/>
      <w:bookmarkStart w:id="152" w:name="_Toc27414264"/>
      <w:r>
        <w:lastRenderedPageBreak/>
        <w:t>Figure 1.5.3</w:t>
      </w:r>
      <w:r w:rsidR="00E634E9">
        <w:t>:</w:t>
      </w:r>
      <w:r w:rsidRPr="00AB6486">
        <w:t xml:space="preserve"> Incidence of </w:t>
      </w:r>
      <w:r>
        <w:t xml:space="preserve">melanoma in Victoria </w:t>
      </w:r>
      <w:r w:rsidRPr="00AB6486">
        <w:t xml:space="preserve">per 100,000 standardised to the 2001 Australian population, by Victorian </w:t>
      </w:r>
      <w:r w:rsidR="005D072A">
        <w:t>LGA</w:t>
      </w:r>
      <w:r>
        <w:t>, 2017</w:t>
      </w:r>
      <w:bookmarkEnd w:id="148"/>
      <w:bookmarkEnd w:id="149"/>
      <w:bookmarkEnd w:id="150"/>
      <w:bookmarkEnd w:id="151"/>
      <w:bookmarkEnd w:id="152"/>
    </w:p>
    <w:p w14:paraId="3C2E2AD6" w14:textId="21C550A3" w:rsidR="00A3293D" w:rsidRPr="00A3293D" w:rsidRDefault="00A3293D" w:rsidP="00A3293D">
      <w:pPr>
        <w:pStyle w:val="DHHSbody"/>
      </w:pPr>
      <w:r>
        <w:rPr>
          <w:noProof/>
        </w:rPr>
        <w:drawing>
          <wp:inline distT="0" distB="0" distL="0" distR="0" wp14:anchorId="29B34479" wp14:editId="0D5B0444">
            <wp:extent cx="6750685" cy="4531995"/>
            <wp:effectExtent l="0" t="0" r="0" b="1905"/>
            <wp:docPr id="91" name="Picture 91" descr="This figure shows a map of Victoria showing the highest reported rate of melanoma in 2017 is in the Strathbogie Shire Council and the lowest reported rate is in Brimbank City and Maribyrnong City Councils. The data set is available under 'Measure 1.5 – Incidence of melanom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750685" cy="4531995"/>
                    </a:xfrm>
                    <a:prstGeom prst="rect">
                      <a:avLst/>
                    </a:prstGeom>
                  </pic:spPr>
                </pic:pic>
              </a:graphicData>
            </a:graphic>
          </wp:inline>
        </w:drawing>
      </w:r>
    </w:p>
    <w:p w14:paraId="549927D4" w14:textId="52F40785" w:rsidR="00665D4B" w:rsidRPr="0078684F" w:rsidRDefault="00665D4B" w:rsidP="0078684F">
      <w:pPr>
        <w:pStyle w:val="DHHStabletext"/>
        <w:rPr>
          <w:rFonts w:cs="Arial"/>
          <w:b/>
        </w:rPr>
      </w:pPr>
      <w:r w:rsidRPr="00A60531">
        <w:rPr>
          <w:rStyle w:val="Heading4Char"/>
        </w:rPr>
        <w:t>Measure assessment</w:t>
      </w:r>
    </w:p>
    <w:p w14:paraId="60FC1DA1" w14:textId="76D166C9" w:rsidR="003E5FD3" w:rsidRPr="0078684F" w:rsidRDefault="003E5FD3" w:rsidP="0078684F">
      <w:pPr>
        <w:autoSpaceDE w:val="0"/>
        <w:autoSpaceDN w:val="0"/>
        <w:adjustRightInd w:val="0"/>
        <w:spacing w:after="120" w:line="270" w:lineRule="atLeast"/>
        <w:rPr>
          <w:rFonts w:ascii="Arial" w:hAnsi="Arial" w:cs="Arial"/>
          <w:color w:val="FF0000"/>
        </w:rPr>
      </w:pPr>
      <w:r w:rsidRPr="009F01B1">
        <w:rPr>
          <w:rFonts w:ascii="Arial" w:hAnsi="Arial" w:cs="Arial"/>
        </w:rPr>
        <w:t xml:space="preserve">Traffic light rating: </w:t>
      </w:r>
      <w:r w:rsidR="007A38CC" w:rsidRPr="00696165">
        <w:rPr>
          <w:rFonts w:ascii="Arial" w:hAnsi="Arial" w:cs="Arial"/>
          <w:b/>
          <w:color w:val="C00000"/>
        </w:rPr>
        <w:t>Red</w:t>
      </w:r>
      <w:r w:rsidR="00696165">
        <w:rPr>
          <w:rFonts w:ascii="Arial" w:hAnsi="Arial" w:cs="Arial"/>
          <w:color w:val="C00000"/>
        </w:rPr>
        <w:t xml:space="preserve"> (</w:t>
      </w:r>
      <w:r w:rsidR="00EC3B7A">
        <w:rPr>
          <w:rFonts w:ascii="Arial" w:hAnsi="Arial" w:cs="Arial"/>
          <w:color w:val="C00000"/>
        </w:rPr>
        <w:t>result is of concern)</w:t>
      </w:r>
    </w:p>
    <w:p w14:paraId="63330ED1" w14:textId="5A611552" w:rsidR="003E5FD3" w:rsidRPr="003E5FD3" w:rsidRDefault="003E5FD3" w:rsidP="0078684F">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7A38CC">
        <w:rPr>
          <w:rFonts w:ascii="Arial" w:hAnsi="Arial" w:cs="Arial"/>
        </w:rPr>
        <w:t>Not moving in the right direction</w:t>
      </w:r>
    </w:p>
    <w:p w14:paraId="1E62AA3E" w14:textId="5A813812" w:rsidR="00CB7B59" w:rsidRPr="00F227BE" w:rsidRDefault="003E5FD3" w:rsidP="00F227BE">
      <w:pPr>
        <w:pStyle w:val="DHHSbody"/>
        <w:rPr>
          <w:lang w:val="en"/>
        </w:rPr>
      </w:pPr>
      <w:r w:rsidRPr="009E17A1">
        <w:rPr>
          <w:rFonts w:cs="Arial"/>
          <w:lang w:eastAsia="en-AU"/>
        </w:rPr>
        <w:t>Commentary</w:t>
      </w:r>
      <w:r w:rsidR="00B33C91" w:rsidRPr="009E17A1">
        <w:rPr>
          <w:rFonts w:cs="Arial"/>
          <w:lang w:eastAsia="en-AU"/>
        </w:rPr>
        <w:t xml:space="preserve">: </w:t>
      </w:r>
      <w:r w:rsidR="00B33C91" w:rsidRPr="009E17A1">
        <w:rPr>
          <w:rFonts w:cs="Arial"/>
          <w:lang w:val="en-GB"/>
        </w:rPr>
        <w:t xml:space="preserve">Melanoma is a type of skin cancer </w:t>
      </w:r>
      <w:r w:rsidR="0031077F">
        <w:rPr>
          <w:rFonts w:cs="Arial"/>
          <w:lang w:val="en-GB"/>
        </w:rPr>
        <w:t>that</w:t>
      </w:r>
      <w:r w:rsidR="0031077F" w:rsidRPr="009E17A1">
        <w:rPr>
          <w:rFonts w:cs="Arial"/>
          <w:lang w:val="en-GB"/>
        </w:rPr>
        <w:t xml:space="preserve"> </w:t>
      </w:r>
      <w:r w:rsidR="00B33C91" w:rsidRPr="009E17A1">
        <w:rPr>
          <w:rFonts w:cs="Arial"/>
          <w:lang w:val="en-GB"/>
        </w:rPr>
        <w:t>usually occurs on the parts of the body that have been overexposed to the sun.</w:t>
      </w:r>
      <w:r w:rsidR="00B33C91" w:rsidRPr="009E17A1">
        <w:rPr>
          <w:rStyle w:val="FootnoteReference"/>
          <w:rFonts w:cs="Arial"/>
          <w:lang w:val="en-GB"/>
        </w:rPr>
        <w:footnoteReference w:id="18"/>
      </w:r>
      <w:r w:rsidR="009E17A1" w:rsidRPr="009E17A1">
        <w:rPr>
          <w:rFonts w:cs="Arial"/>
          <w:lang w:val="en-GB"/>
        </w:rPr>
        <w:t xml:space="preserve"> </w:t>
      </w:r>
      <w:r w:rsidR="001B4D1D">
        <w:rPr>
          <w:rFonts w:cs="Arial"/>
          <w:lang w:val="en-GB"/>
        </w:rPr>
        <w:t>In 2015</w:t>
      </w:r>
      <w:r w:rsidR="00AF07F9">
        <w:rPr>
          <w:rFonts w:cs="Arial"/>
          <w:lang w:val="en-GB"/>
        </w:rPr>
        <w:t>,</w:t>
      </w:r>
      <w:r w:rsidR="001B4D1D">
        <w:rPr>
          <w:rFonts w:cs="Arial"/>
          <w:lang w:val="en-GB"/>
        </w:rPr>
        <w:t xml:space="preserve"> </w:t>
      </w:r>
      <w:r w:rsidR="001B4D1D">
        <w:rPr>
          <w:lang w:val="en"/>
        </w:rPr>
        <w:t>the global incidence of melanoma in 2015 was 351,880 cases (95% CI 281</w:t>
      </w:r>
      <w:r w:rsidR="00666ED7">
        <w:rPr>
          <w:lang w:val="en"/>
        </w:rPr>
        <w:t>,</w:t>
      </w:r>
      <w:r w:rsidR="001B4D1D">
        <w:rPr>
          <w:lang w:val="en"/>
        </w:rPr>
        <w:t>633–445,036)</w:t>
      </w:r>
      <w:r w:rsidR="00AF07F9">
        <w:rPr>
          <w:lang w:val="en"/>
        </w:rPr>
        <w:t>,</w:t>
      </w:r>
      <w:r w:rsidR="001B4D1D">
        <w:rPr>
          <w:lang w:val="en"/>
        </w:rPr>
        <w:t xml:space="preserve"> with an age</w:t>
      </w:r>
      <w:r w:rsidR="001B4D1D">
        <w:rPr>
          <w:rFonts w:ascii="Cambria Math" w:hAnsi="Cambria Math" w:cs="Cambria Math"/>
          <w:lang w:val="en"/>
        </w:rPr>
        <w:t>‐</w:t>
      </w:r>
      <w:r w:rsidR="001B4D1D">
        <w:rPr>
          <w:lang w:val="en"/>
        </w:rPr>
        <w:t>standardi</w:t>
      </w:r>
      <w:r w:rsidR="008869C1">
        <w:rPr>
          <w:lang w:val="en"/>
        </w:rPr>
        <w:t>s</w:t>
      </w:r>
      <w:r w:rsidR="001B4D1D">
        <w:rPr>
          <w:lang w:val="en"/>
        </w:rPr>
        <w:t>ed rate of five cases per 100</w:t>
      </w:r>
      <w:r w:rsidR="00DC7655">
        <w:rPr>
          <w:lang w:val="en"/>
        </w:rPr>
        <w:t>,</w:t>
      </w:r>
      <w:r w:rsidR="001B4D1D">
        <w:rPr>
          <w:lang w:val="en"/>
        </w:rPr>
        <w:t xml:space="preserve">000 </w:t>
      </w:r>
      <w:r w:rsidR="00DC7655">
        <w:rPr>
          <w:lang w:val="en"/>
        </w:rPr>
        <w:t>people</w:t>
      </w:r>
      <w:r w:rsidR="001B4D1D">
        <w:rPr>
          <w:lang w:val="en"/>
        </w:rPr>
        <w:t xml:space="preserve"> (95% CI 4</w:t>
      </w:r>
      <w:r w:rsidR="001B4D1D">
        <w:rPr>
          <w:rFonts w:cs="Arial"/>
          <w:lang w:val="en"/>
        </w:rPr>
        <w:t>–</w:t>
      </w:r>
      <w:r w:rsidR="001B4D1D">
        <w:rPr>
          <w:lang w:val="en"/>
        </w:rPr>
        <w:t>7).</w:t>
      </w:r>
      <w:r w:rsidR="00603C09" w:rsidRPr="00603C09">
        <w:rPr>
          <w:rStyle w:val="FootnoteReference"/>
          <w:lang w:val="en"/>
        </w:rPr>
        <w:t xml:space="preserve"> </w:t>
      </w:r>
      <w:r w:rsidR="00603C09">
        <w:rPr>
          <w:rStyle w:val="FootnoteReference"/>
          <w:lang w:val="en"/>
        </w:rPr>
        <w:footnoteReference w:id="19"/>
      </w:r>
      <w:r w:rsidR="00F504E1">
        <w:rPr>
          <w:lang w:val="en"/>
        </w:rPr>
        <w:t xml:space="preserve"> </w:t>
      </w:r>
      <w:r w:rsidR="001B4D1D">
        <w:rPr>
          <w:lang w:val="en"/>
        </w:rPr>
        <w:t xml:space="preserve">Australia is recognised </w:t>
      </w:r>
      <w:r w:rsidR="00F504E1">
        <w:rPr>
          <w:lang w:val="en"/>
        </w:rPr>
        <w:t>as one of t</w:t>
      </w:r>
      <w:r w:rsidR="001B4D1D">
        <w:rPr>
          <w:lang w:val="en"/>
        </w:rPr>
        <w:t xml:space="preserve">he five world regions with </w:t>
      </w:r>
      <w:r w:rsidR="00F504E1">
        <w:rPr>
          <w:lang w:val="en"/>
        </w:rPr>
        <w:t>the greatest melanoma incidence.</w:t>
      </w:r>
      <w:r w:rsidR="00F504E1">
        <w:rPr>
          <w:rStyle w:val="FootnoteReference"/>
          <w:lang w:val="en"/>
        </w:rPr>
        <w:footnoteReference w:id="20"/>
      </w:r>
      <w:r w:rsidR="00F227BE">
        <w:rPr>
          <w:lang w:val="en"/>
        </w:rPr>
        <w:t xml:space="preserve"> </w:t>
      </w:r>
      <w:r w:rsidR="009E17A1" w:rsidRPr="009E17A1">
        <w:rPr>
          <w:rFonts w:cs="Arial"/>
          <w:lang w:val="en-GB"/>
        </w:rPr>
        <w:t>In 2015</w:t>
      </w:r>
      <w:r w:rsidR="001B4D1D">
        <w:rPr>
          <w:rFonts w:cs="Arial"/>
          <w:lang w:val="en-GB"/>
        </w:rPr>
        <w:t>,</w:t>
      </w:r>
      <w:r w:rsidR="009E17A1" w:rsidRPr="009E17A1">
        <w:rPr>
          <w:rFonts w:cs="Arial"/>
          <w:lang w:val="en-GB"/>
        </w:rPr>
        <w:t xml:space="preserve"> </w:t>
      </w:r>
      <w:r w:rsidR="009E17A1" w:rsidRPr="009E17A1">
        <w:rPr>
          <w:rFonts w:cs="Arial"/>
          <w:color w:val="000000"/>
          <w:lang w:val="en"/>
        </w:rPr>
        <w:t>melanoma skin cancer was the fourth most commonly diagnosed cancer in Australia. It is estimated that it will remain the fourth most commonly diagnosed cancer in 2019.</w:t>
      </w:r>
      <w:r w:rsidR="00CB7B59">
        <w:rPr>
          <w:rStyle w:val="FootnoteReference"/>
          <w:rFonts w:cs="Arial"/>
          <w:color w:val="000000"/>
          <w:lang w:val="en"/>
        </w:rPr>
        <w:footnoteReference w:id="21"/>
      </w:r>
      <w:r w:rsidR="009E17A1" w:rsidRPr="009E17A1">
        <w:rPr>
          <w:rFonts w:cs="Arial"/>
          <w:color w:val="000000"/>
          <w:lang w:val="en"/>
        </w:rPr>
        <w:t> </w:t>
      </w:r>
    </w:p>
    <w:p w14:paraId="09B13E74" w14:textId="48DFB4B2" w:rsidR="007511E8" w:rsidRDefault="00CB7B59" w:rsidP="00BC44C9">
      <w:pPr>
        <w:pStyle w:val="DHHSbody"/>
        <w:rPr>
          <w:rFonts w:cs="Arial"/>
          <w:lang w:val="en" w:eastAsia="en-NZ"/>
        </w:rPr>
      </w:pPr>
      <w:r>
        <w:rPr>
          <w:rFonts w:cs="Arial"/>
          <w:color w:val="000000"/>
          <w:lang w:val="en"/>
        </w:rPr>
        <w:t>In 2016, 2,837 Victorians were diagnosed with melanoma</w:t>
      </w:r>
      <w:r w:rsidR="00AF07F9">
        <w:rPr>
          <w:rFonts w:cs="Arial"/>
          <w:color w:val="000000"/>
          <w:lang w:val="en"/>
        </w:rPr>
        <w:t>,</w:t>
      </w:r>
      <w:r>
        <w:rPr>
          <w:rFonts w:cs="Arial"/>
          <w:color w:val="000000"/>
          <w:lang w:val="en"/>
        </w:rPr>
        <w:t xml:space="preserve"> making it the fifth most common cancer accounting for </w:t>
      </w:r>
      <w:r w:rsidR="00D70F59">
        <w:rPr>
          <w:rFonts w:cs="Arial"/>
          <w:color w:val="000000"/>
          <w:lang w:val="en"/>
        </w:rPr>
        <w:t>nine</w:t>
      </w:r>
      <w:r>
        <w:rPr>
          <w:rFonts w:cs="Arial"/>
          <w:color w:val="000000"/>
          <w:lang w:val="en"/>
        </w:rPr>
        <w:t xml:space="preserve"> per of all cancer diagnosed.</w:t>
      </w:r>
      <w:r w:rsidRPr="00CB7B59">
        <w:rPr>
          <w:rStyle w:val="FootnoteReference"/>
          <w:rFonts w:cs="Arial"/>
          <w:color w:val="000000"/>
          <w:lang w:val="en"/>
        </w:rPr>
        <w:t xml:space="preserve"> </w:t>
      </w:r>
      <w:r>
        <w:rPr>
          <w:rStyle w:val="FootnoteReference"/>
          <w:rFonts w:cs="Arial"/>
          <w:color w:val="000000"/>
          <w:lang w:val="en"/>
        </w:rPr>
        <w:footnoteReference w:id="22"/>
      </w:r>
      <w:r>
        <w:t xml:space="preserve"> As Figure 1.5 shows</w:t>
      </w:r>
      <w:r w:rsidR="00D70F59">
        <w:t>,</w:t>
      </w:r>
      <w:r>
        <w:t xml:space="preserve"> </w:t>
      </w:r>
      <w:r w:rsidR="007B0132" w:rsidRPr="00281443">
        <w:rPr>
          <w:rFonts w:cs="Arial"/>
          <w:lang w:val="en" w:eastAsia="en-NZ"/>
        </w:rPr>
        <w:t>t</w:t>
      </w:r>
      <w:r w:rsidR="00383904" w:rsidRPr="00383904">
        <w:rPr>
          <w:rFonts w:cs="Arial"/>
          <w:lang w:val="en" w:eastAsia="en-NZ"/>
        </w:rPr>
        <w:t xml:space="preserve">he age-standardised incidence rate per 100,000 </w:t>
      </w:r>
      <w:r w:rsidR="00DC7655">
        <w:rPr>
          <w:rFonts w:cs="Arial"/>
          <w:lang w:val="en" w:eastAsia="en-NZ"/>
        </w:rPr>
        <w:t>people</w:t>
      </w:r>
      <w:r w:rsidR="00281443" w:rsidRPr="00CB7B59">
        <w:rPr>
          <w:rFonts w:cs="Arial"/>
          <w:lang w:val="en" w:eastAsia="en-NZ"/>
        </w:rPr>
        <w:t xml:space="preserve"> increased steadily from 3</w:t>
      </w:r>
      <w:r w:rsidR="00BC44C9">
        <w:rPr>
          <w:rFonts w:cs="Arial"/>
          <w:lang w:val="en" w:eastAsia="en-NZ"/>
        </w:rPr>
        <w:t>8</w:t>
      </w:r>
      <w:r w:rsidR="00281443" w:rsidRPr="00CB7B59">
        <w:rPr>
          <w:rFonts w:cs="Arial"/>
          <w:lang w:val="en" w:eastAsia="en-NZ"/>
        </w:rPr>
        <w:t xml:space="preserve"> in 201</w:t>
      </w:r>
      <w:r w:rsidR="00BC44C9">
        <w:rPr>
          <w:rFonts w:cs="Arial"/>
          <w:lang w:val="en" w:eastAsia="en-NZ"/>
        </w:rPr>
        <w:t>4</w:t>
      </w:r>
      <w:r w:rsidR="00281443" w:rsidRPr="00CB7B59">
        <w:rPr>
          <w:rFonts w:cs="Arial"/>
          <w:lang w:val="en" w:eastAsia="en-NZ"/>
        </w:rPr>
        <w:t xml:space="preserve"> to 42 in 2017</w:t>
      </w:r>
      <w:r w:rsidR="00383904" w:rsidRPr="00383904">
        <w:rPr>
          <w:rFonts w:cs="Arial"/>
          <w:lang w:val="en" w:eastAsia="en-NZ"/>
        </w:rPr>
        <w:t>. Among males, the age-standardised</w:t>
      </w:r>
      <w:r w:rsidR="00281443" w:rsidRPr="00CB7B59">
        <w:rPr>
          <w:rFonts w:cs="Arial"/>
          <w:lang w:val="en" w:eastAsia="en-NZ"/>
        </w:rPr>
        <w:t xml:space="preserve"> incidence rate increased from 4</w:t>
      </w:r>
      <w:r w:rsidR="00BC44C9">
        <w:rPr>
          <w:rFonts w:cs="Arial"/>
          <w:lang w:val="en" w:eastAsia="en-NZ"/>
        </w:rPr>
        <w:t>5</w:t>
      </w:r>
      <w:r w:rsidR="00281443" w:rsidRPr="00CB7B59">
        <w:rPr>
          <w:rFonts w:cs="Arial"/>
          <w:lang w:val="en" w:eastAsia="en-NZ"/>
        </w:rPr>
        <w:t xml:space="preserve"> in 201</w:t>
      </w:r>
      <w:r w:rsidR="00BC44C9">
        <w:rPr>
          <w:rFonts w:cs="Arial"/>
          <w:lang w:val="en" w:eastAsia="en-NZ"/>
        </w:rPr>
        <w:t>4</w:t>
      </w:r>
      <w:r w:rsidR="00281443" w:rsidRPr="00CB7B59">
        <w:rPr>
          <w:rFonts w:cs="Arial"/>
          <w:lang w:val="en" w:eastAsia="en-NZ"/>
        </w:rPr>
        <w:t xml:space="preserve"> to 50 in 2017</w:t>
      </w:r>
      <w:r w:rsidR="007511E8">
        <w:rPr>
          <w:rFonts w:cs="Arial"/>
          <w:lang w:val="en" w:eastAsia="en-NZ"/>
        </w:rPr>
        <w:t>. The age-standardised</w:t>
      </w:r>
      <w:r w:rsidR="00781A4B">
        <w:rPr>
          <w:rFonts w:cs="Arial"/>
          <w:lang w:val="en" w:eastAsia="en-NZ"/>
        </w:rPr>
        <w:t xml:space="preserve"> </w:t>
      </w:r>
      <w:r w:rsidR="00383904" w:rsidRPr="00383904">
        <w:rPr>
          <w:rFonts w:cs="Arial"/>
          <w:lang w:val="en" w:eastAsia="en-NZ"/>
        </w:rPr>
        <w:t xml:space="preserve">incidence rate </w:t>
      </w:r>
      <w:r w:rsidR="007511E8">
        <w:rPr>
          <w:rFonts w:cs="Arial"/>
          <w:lang w:val="en" w:eastAsia="en-NZ"/>
        </w:rPr>
        <w:t xml:space="preserve">among females </w:t>
      </w:r>
      <w:r w:rsidR="00281443" w:rsidRPr="00CB7B59">
        <w:rPr>
          <w:rFonts w:cs="Arial"/>
          <w:lang w:val="en" w:eastAsia="en-NZ"/>
        </w:rPr>
        <w:t xml:space="preserve">also </w:t>
      </w:r>
      <w:r w:rsidR="00383904" w:rsidRPr="00383904">
        <w:rPr>
          <w:rFonts w:cs="Arial"/>
          <w:lang w:val="en" w:eastAsia="en-NZ"/>
        </w:rPr>
        <w:t>increased fro</w:t>
      </w:r>
      <w:r w:rsidR="00281443" w:rsidRPr="00CB7B59">
        <w:rPr>
          <w:rFonts w:cs="Arial"/>
          <w:lang w:val="en" w:eastAsia="en-NZ"/>
        </w:rPr>
        <w:t>m 32 in 201</w:t>
      </w:r>
      <w:r w:rsidR="00BC44C9">
        <w:rPr>
          <w:rFonts w:cs="Arial"/>
          <w:lang w:val="en" w:eastAsia="en-NZ"/>
        </w:rPr>
        <w:t>4</w:t>
      </w:r>
      <w:r w:rsidR="00281443" w:rsidRPr="00CB7B59">
        <w:rPr>
          <w:rFonts w:cs="Arial"/>
          <w:lang w:val="en" w:eastAsia="en-NZ"/>
        </w:rPr>
        <w:t xml:space="preserve"> to 36 in 2017.</w:t>
      </w:r>
      <w:r w:rsidR="001410DA" w:rsidRPr="00CB7B59">
        <w:rPr>
          <w:rFonts w:cs="Arial"/>
          <w:lang w:val="en" w:eastAsia="en-NZ"/>
        </w:rPr>
        <w:t xml:space="preserve"> From </w:t>
      </w:r>
      <w:r w:rsidR="001410DA" w:rsidRPr="00CB7B59">
        <w:rPr>
          <w:rFonts w:cs="Arial"/>
          <w:lang w:val="en" w:eastAsia="en-NZ"/>
        </w:rPr>
        <w:lastRenderedPageBreak/>
        <w:t>2010 to 2017</w:t>
      </w:r>
      <w:r w:rsidR="00F77204">
        <w:rPr>
          <w:rFonts w:cs="Arial"/>
          <w:lang w:val="en" w:eastAsia="en-NZ"/>
        </w:rPr>
        <w:t>,</w:t>
      </w:r>
      <w:r w:rsidR="001410DA" w:rsidRPr="00CB7B59">
        <w:rPr>
          <w:rFonts w:cs="Arial"/>
          <w:lang w:val="en" w:eastAsia="en-NZ"/>
        </w:rPr>
        <w:t xml:space="preserve"> only the melanoma age-standardised rate for Aboriginal Victorians could be calculated for 2010 (43 per 100,000 population) because the number</w:t>
      </w:r>
      <w:r w:rsidR="007511E8">
        <w:rPr>
          <w:rFonts w:cs="Arial"/>
          <w:lang w:val="en" w:eastAsia="en-NZ"/>
        </w:rPr>
        <w:t xml:space="preserve"> of cases were too low for 2017 (Figure 1.5)</w:t>
      </w:r>
      <w:r w:rsidR="00EE34A4">
        <w:rPr>
          <w:rFonts w:cs="Arial"/>
          <w:lang w:val="en" w:eastAsia="en-NZ"/>
        </w:rPr>
        <w:t>.</w:t>
      </w:r>
    </w:p>
    <w:p w14:paraId="6FB5B04B" w14:textId="381161CC" w:rsidR="007511E8" w:rsidRPr="00383904" w:rsidRDefault="007511E8" w:rsidP="00F227BE">
      <w:pPr>
        <w:shd w:val="clear" w:color="auto" w:fill="FFFFFF"/>
        <w:spacing w:after="120" w:line="270" w:lineRule="atLeast"/>
        <w:ind w:left="15" w:right="15"/>
        <w:rPr>
          <w:rFonts w:ascii="Arial" w:hAnsi="Arial" w:cs="Arial"/>
          <w:lang w:val="en" w:eastAsia="en-NZ"/>
        </w:rPr>
      </w:pPr>
      <w:r>
        <w:rPr>
          <w:rFonts w:ascii="Arial" w:hAnsi="Arial" w:cs="Arial"/>
          <w:lang w:val="en" w:eastAsia="en-NZ"/>
        </w:rPr>
        <w:t xml:space="preserve">There was a clear association between the age-standardised incidence rate and </w:t>
      </w:r>
      <w:r w:rsidR="00DE7FFE">
        <w:rPr>
          <w:rFonts w:ascii="Arial" w:hAnsi="Arial" w:cs="Arial"/>
          <w:lang w:val="en" w:eastAsia="en-NZ"/>
        </w:rPr>
        <w:t>SES</w:t>
      </w:r>
      <w:r w:rsidR="000B64EF">
        <w:rPr>
          <w:rFonts w:ascii="Arial" w:hAnsi="Arial" w:cs="Arial"/>
          <w:lang w:val="en" w:eastAsia="en-NZ"/>
        </w:rPr>
        <w:t>,</w:t>
      </w:r>
      <w:r>
        <w:rPr>
          <w:rFonts w:ascii="Arial" w:hAnsi="Arial" w:cs="Arial"/>
          <w:lang w:val="en" w:eastAsia="en-NZ"/>
        </w:rPr>
        <w:t xml:space="preserve"> with lower rates for both 201</w:t>
      </w:r>
      <w:r w:rsidR="00BC44C9">
        <w:rPr>
          <w:rFonts w:ascii="Arial" w:hAnsi="Arial" w:cs="Arial"/>
          <w:lang w:val="en" w:eastAsia="en-NZ"/>
        </w:rPr>
        <w:t>4</w:t>
      </w:r>
      <w:r>
        <w:rPr>
          <w:rFonts w:ascii="Arial" w:hAnsi="Arial" w:cs="Arial"/>
          <w:lang w:val="en" w:eastAsia="en-NZ"/>
        </w:rPr>
        <w:t xml:space="preserve"> and 2017 observed for SES 1 (most disadvantaged) compared </w:t>
      </w:r>
      <w:r w:rsidR="001B50BF">
        <w:rPr>
          <w:rFonts w:ascii="Arial" w:hAnsi="Arial" w:cs="Arial"/>
          <w:lang w:val="en" w:eastAsia="en-NZ"/>
        </w:rPr>
        <w:t xml:space="preserve">with </w:t>
      </w:r>
      <w:r>
        <w:rPr>
          <w:rFonts w:ascii="Arial" w:hAnsi="Arial" w:cs="Arial"/>
          <w:lang w:val="en" w:eastAsia="en-NZ"/>
        </w:rPr>
        <w:t xml:space="preserve">those for SES 5 (least </w:t>
      </w:r>
      <w:r w:rsidR="0029146A">
        <w:rPr>
          <w:rFonts w:ascii="Arial" w:hAnsi="Arial" w:cs="Arial"/>
          <w:lang w:val="en" w:eastAsia="en-NZ"/>
        </w:rPr>
        <w:t>dis</w:t>
      </w:r>
      <w:r>
        <w:rPr>
          <w:rFonts w:ascii="Arial" w:hAnsi="Arial" w:cs="Arial"/>
          <w:lang w:val="en" w:eastAsia="en-NZ"/>
        </w:rPr>
        <w:t>advantaged).</w:t>
      </w:r>
      <w:r w:rsidR="00952FC7">
        <w:rPr>
          <w:rFonts w:ascii="Arial" w:hAnsi="Arial" w:cs="Arial"/>
          <w:lang w:val="en" w:eastAsia="en-NZ"/>
        </w:rPr>
        <w:t xml:space="preserve"> </w:t>
      </w:r>
      <w:r>
        <w:rPr>
          <w:rFonts w:ascii="Arial" w:hAnsi="Arial" w:cs="Arial"/>
          <w:lang w:val="en" w:eastAsia="en-NZ"/>
        </w:rPr>
        <w:t>In terms of incidence rates by remoteness</w:t>
      </w:r>
      <w:r w:rsidR="000B64EF">
        <w:rPr>
          <w:rFonts w:ascii="Arial" w:hAnsi="Arial" w:cs="Arial"/>
          <w:lang w:val="en" w:eastAsia="en-NZ"/>
        </w:rPr>
        <w:t>,</w:t>
      </w:r>
      <w:r>
        <w:rPr>
          <w:rFonts w:ascii="Arial" w:hAnsi="Arial" w:cs="Arial"/>
          <w:lang w:val="en" w:eastAsia="en-NZ"/>
        </w:rPr>
        <w:t xml:space="preserve"> lower rates were observed in major cities compared</w:t>
      </w:r>
      <w:r w:rsidR="000B64EF">
        <w:rPr>
          <w:rFonts w:ascii="Arial" w:hAnsi="Arial" w:cs="Arial"/>
          <w:lang w:val="en" w:eastAsia="en-NZ"/>
        </w:rPr>
        <w:t xml:space="preserve"> with</w:t>
      </w:r>
      <w:r>
        <w:rPr>
          <w:rFonts w:ascii="Arial" w:hAnsi="Arial" w:cs="Arial"/>
          <w:lang w:val="en" w:eastAsia="en-NZ"/>
        </w:rPr>
        <w:t xml:space="preserve"> outer/remote regional areas of Victoria both</w:t>
      </w:r>
      <w:r w:rsidR="00197BA9">
        <w:rPr>
          <w:rFonts w:ascii="Arial" w:hAnsi="Arial" w:cs="Arial"/>
          <w:lang w:val="en" w:eastAsia="en-NZ"/>
        </w:rPr>
        <w:t xml:space="preserve"> in</w:t>
      </w:r>
      <w:r>
        <w:rPr>
          <w:rFonts w:ascii="Arial" w:hAnsi="Arial" w:cs="Arial"/>
          <w:lang w:val="en" w:eastAsia="en-NZ"/>
        </w:rPr>
        <w:t xml:space="preserve"> 201</w:t>
      </w:r>
      <w:r w:rsidR="00BC44C9">
        <w:rPr>
          <w:rFonts w:ascii="Arial" w:hAnsi="Arial" w:cs="Arial"/>
          <w:lang w:val="en" w:eastAsia="en-NZ"/>
        </w:rPr>
        <w:t>4</w:t>
      </w:r>
      <w:r>
        <w:rPr>
          <w:rFonts w:ascii="Arial" w:hAnsi="Arial" w:cs="Arial"/>
          <w:lang w:val="en" w:eastAsia="en-NZ"/>
        </w:rPr>
        <w:t xml:space="preserve"> and 2017 (Figure 1.5)</w:t>
      </w:r>
      <w:r w:rsidR="00EE34A4">
        <w:rPr>
          <w:rFonts w:ascii="Arial" w:hAnsi="Arial" w:cs="Arial"/>
          <w:lang w:val="en" w:eastAsia="en-NZ"/>
        </w:rPr>
        <w:t>.</w:t>
      </w:r>
      <w:r>
        <w:rPr>
          <w:rFonts w:ascii="Arial" w:hAnsi="Arial" w:cs="Arial"/>
          <w:lang w:val="en" w:eastAsia="en-NZ"/>
        </w:rPr>
        <w:t xml:space="preserve"> </w:t>
      </w:r>
    </w:p>
    <w:p w14:paraId="2F05FEC1" w14:textId="6BE977F6" w:rsidR="00383904" w:rsidRDefault="007B0132" w:rsidP="00E22966">
      <w:pPr>
        <w:shd w:val="clear" w:color="auto" w:fill="FFFFFF"/>
        <w:spacing w:after="120" w:line="270" w:lineRule="atLeast"/>
        <w:ind w:left="15" w:right="15"/>
        <w:rPr>
          <w:rFonts w:ascii="Arial" w:hAnsi="Arial" w:cs="Arial"/>
          <w:lang w:val="en" w:eastAsia="en-NZ"/>
        </w:rPr>
      </w:pPr>
      <w:r w:rsidRPr="00931043">
        <w:rPr>
          <w:rFonts w:ascii="Arial" w:hAnsi="Arial" w:cs="Arial"/>
          <w:lang w:val="en" w:eastAsia="en-NZ"/>
        </w:rPr>
        <w:t>Melanoma incidence rates varied between regions of Victoria when compared between ICS</w:t>
      </w:r>
      <w:r w:rsidR="000B64EF">
        <w:rPr>
          <w:rFonts w:ascii="Arial" w:hAnsi="Arial" w:cs="Arial"/>
          <w:lang w:val="en" w:eastAsia="en-NZ"/>
        </w:rPr>
        <w:t>,</w:t>
      </w:r>
      <w:r w:rsidR="008544F5" w:rsidRPr="00931043">
        <w:rPr>
          <w:rFonts w:ascii="Arial" w:hAnsi="Arial" w:cs="Arial"/>
          <w:lang w:val="en" w:eastAsia="en-NZ"/>
        </w:rPr>
        <w:t xml:space="preserve"> with lower rates observed in the </w:t>
      </w:r>
      <w:r w:rsidR="00931043" w:rsidRPr="00931043">
        <w:rPr>
          <w:rFonts w:ascii="Arial" w:hAnsi="Arial" w:cs="Arial"/>
          <w:lang w:val="en" w:eastAsia="en-NZ"/>
        </w:rPr>
        <w:t>metropolitan</w:t>
      </w:r>
      <w:r w:rsidR="008544F5" w:rsidRPr="00931043">
        <w:rPr>
          <w:rFonts w:ascii="Arial" w:hAnsi="Arial" w:cs="Arial"/>
          <w:lang w:val="en" w:eastAsia="en-NZ"/>
        </w:rPr>
        <w:t xml:space="preserve"> ICS</w:t>
      </w:r>
      <w:r w:rsidR="00931043" w:rsidRPr="00931043">
        <w:rPr>
          <w:rFonts w:ascii="Arial" w:hAnsi="Arial" w:cs="Arial"/>
          <w:lang w:val="en" w:eastAsia="en-NZ"/>
        </w:rPr>
        <w:t>s</w:t>
      </w:r>
      <w:r w:rsidR="00794040">
        <w:rPr>
          <w:rFonts w:ascii="Arial" w:hAnsi="Arial" w:cs="Arial"/>
          <w:lang w:val="en" w:eastAsia="en-NZ"/>
        </w:rPr>
        <w:t xml:space="preserve"> (NEMICS, SMICS, WCMICS). </w:t>
      </w:r>
      <w:r w:rsidR="00781A4B">
        <w:rPr>
          <w:rFonts w:ascii="Arial" w:hAnsi="Arial" w:cs="Arial"/>
          <w:lang w:val="en" w:eastAsia="en-NZ"/>
        </w:rPr>
        <w:t>Except for</w:t>
      </w:r>
      <w:r w:rsidR="00B351B2">
        <w:rPr>
          <w:rFonts w:ascii="Arial" w:hAnsi="Arial" w:cs="Arial"/>
          <w:lang w:val="en" w:eastAsia="en-NZ"/>
        </w:rPr>
        <w:t xml:space="preserve"> </w:t>
      </w:r>
      <w:r w:rsidR="00BC44C9">
        <w:rPr>
          <w:rFonts w:ascii="Arial" w:hAnsi="Arial" w:cs="Arial"/>
          <w:lang w:val="en" w:eastAsia="en-NZ"/>
        </w:rPr>
        <w:t>G</w:t>
      </w:r>
      <w:r w:rsidR="00B351B2">
        <w:rPr>
          <w:rFonts w:ascii="Arial" w:hAnsi="Arial" w:cs="Arial"/>
          <w:lang w:val="en" w:eastAsia="en-NZ"/>
        </w:rPr>
        <w:t>ICS</w:t>
      </w:r>
      <w:r w:rsidR="000B64EF">
        <w:rPr>
          <w:rFonts w:ascii="Arial" w:hAnsi="Arial" w:cs="Arial"/>
          <w:lang w:val="en" w:eastAsia="en-NZ"/>
        </w:rPr>
        <w:t>,</w:t>
      </w:r>
      <w:r w:rsidR="00B351B2">
        <w:rPr>
          <w:rFonts w:ascii="Arial" w:hAnsi="Arial" w:cs="Arial"/>
          <w:lang w:val="en" w:eastAsia="en-NZ"/>
        </w:rPr>
        <w:t xml:space="preserve"> </w:t>
      </w:r>
      <w:r w:rsidR="00781A4B">
        <w:rPr>
          <w:rFonts w:ascii="Arial" w:hAnsi="Arial" w:cs="Arial"/>
          <w:lang w:val="en" w:eastAsia="en-NZ"/>
        </w:rPr>
        <w:t xml:space="preserve">all the other ICSs </w:t>
      </w:r>
      <w:r w:rsidR="00B351B2">
        <w:rPr>
          <w:rFonts w:ascii="Arial" w:hAnsi="Arial" w:cs="Arial"/>
          <w:lang w:val="en" w:eastAsia="en-NZ"/>
        </w:rPr>
        <w:t>observed an increase in melanoma rates between 201</w:t>
      </w:r>
      <w:r w:rsidR="00BC44C9">
        <w:rPr>
          <w:rFonts w:ascii="Arial" w:hAnsi="Arial" w:cs="Arial"/>
          <w:lang w:val="en" w:eastAsia="en-NZ"/>
        </w:rPr>
        <w:t>4</w:t>
      </w:r>
      <w:r w:rsidR="00B351B2">
        <w:rPr>
          <w:rFonts w:ascii="Arial" w:hAnsi="Arial" w:cs="Arial"/>
          <w:lang w:val="en" w:eastAsia="en-NZ"/>
        </w:rPr>
        <w:t xml:space="preserve"> and 2017</w:t>
      </w:r>
      <w:r w:rsidR="0097254F">
        <w:rPr>
          <w:rFonts w:ascii="Arial" w:hAnsi="Arial" w:cs="Arial"/>
          <w:lang w:val="en" w:eastAsia="en-NZ"/>
        </w:rPr>
        <w:t xml:space="preserve"> (Figure 1.5.1).</w:t>
      </w:r>
    </w:p>
    <w:p w14:paraId="3F86BB93" w14:textId="32EECF59" w:rsidR="00637748" w:rsidRPr="00B307EC" w:rsidRDefault="00637748" w:rsidP="00B307EC">
      <w:pPr>
        <w:pStyle w:val="DHHSbody"/>
        <w:rPr>
          <w:rFonts w:cs="Arial"/>
          <w:color w:val="000000" w:themeColor="text1"/>
          <w:highlight w:val="green"/>
          <w:lang w:eastAsia="en-AU"/>
        </w:rPr>
      </w:pPr>
      <w:r>
        <w:rPr>
          <w:rFonts w:cs="Arial"/>
          <w:color w:val="000000" w:themeColor="text1"/>
          <w:lang w:eastAsia="en-AU"/>
        </w:rPr>
        <w:t xml:space="preserve">Figures 1.5.2 and 1.5.3 show </w:t>
      </w:r>
      <w:r w:rsidR="00794040">
        <w:rPr>
          <w:rFonts w:cs="Arial"/>
          <w:color w:val="000000" w:themeColor="text1"/>
          <w:lang w:eastAsia="en-AU"/>
        </w:rPr>
        <w:t>a</w:t>
      </w:r>
      <w:r>
        <w:rPr>
          <w:rFonts w:cs="Arial"/>
          <w:color w:val="000000" w:themeColor="text1"/>
          <w:lang w:eastAsia="en-AU"/>
        </w:rPr>
        <w:t xml:space="preserve"> geospatial visualisation of the incide</w:t>
      </w:r>
      <w:r w:rsidR="00794040">
        <w:rPr>
          <w:rFonts w:cs="Arial"/>
          <w:color w:val="000000" w:themeColor="text1"/>
          <w:lang w:eastAsia="en-AU"/>
        </w:rPr>
        <w:t xml:space="preserve">nce rate of melanoma </w:t>
      </w:r>
      <w:r>
        <w:rPr>
          <w:rFonts w:cs="Arial"/>
          <w:color w:val="000000" w:themeColor="text1"/>
          <w:lang w:eastAsia="en-AU"/>
        </w:rPr>
        <w:t>across Victoria by LGA</w:t>
      </w:r>
      <w:r w:rsidR="00794040">
        <w:rPr>
          <w:rFonts w:cs="Arial"/>
          <w:color w:val="000000" w:themeColor="text1"/>
          <w:lang w:eastAsia="en-AU"/>
        </w:rPr>
        <w:t xml:space="preserve"> between 201</w:t>
      </w:r>
      <w:r w:rsidR="00BC44C9">
        <w:rPr>
          <w:rFonts w:cs="Arial"/>
          <w:color w:val="000000" w:themeColor="text1"/>
          <w:lang w:eastAsia="en-AU"/>
        </w:rPr>
        <w:t>4</w:t>
      </w:r>
      <w:r w:rsidR="00794040">
        <w:rPr>
          <w:rFonts w:cs="Arial"/>
          <w:color w:val="000000" w:themeColor="text1"/>
          <w:lang w:eastAsia="en-AU"/>
        </w:rPr>
        <w:t xml:space="preserve"> and 2017</w:t>
      </w:r>
      <w:r w:rsidRPr="001F03E2">
        <w:rPr>
          <w:rFonts w:cs="Arial"/>
          <w:color w:val="000000" w:themeColor="text1"/>
          <w:lang w:eastAsia="en-AU"/>
        </w:rPr>
        <w:t>.</w:t>
      </w:r>
      <w:r w:rsidR="00794040">
        <w:rPr>
          <w:rFonts w:cs="Arial"/>
          <w:color w:val="000000" w:themeColor="text1"/>
          <w:lang w:eastAsia="en-AU"/>
        </w:rPr>
        <w:t xml:space="preserve"> </w:t>
      </w:r>
      <w:r w:rsidR="00303233">
        <w:rPr>
          <w:rFonts w:cs="Arial"/>
          <w:color w:val="000000" w:themeColor="text1"/>
          <w:lang w:eastAsia="en-AU"/>
        </w:rPr>
        <w:t>Sixty-one</w:t>
      </w:r>
      <w:r>
        <w:rPr>
          <w:rFonts w:cs="Arial"/>
          <w:color w:val="000000" w:themeColor="text1"/>
          <w:lang w:eastAsia="en-AU"/>
        </w:rPr>
        <w:t xml:space="preserve"> per cent of the 79 Victorian </w:t>
      </w:r>
      <w:r w:rsidRPr="00BC56E0">
        <w:rPr>
          <w:rFonts w:cs="Arial"/>
          <w:color w:val="000000" w:themeColor="text1"/>
          <w:lang w:eastAsia="en-AU"/>
        </w:rPr>
        <w:t>LGAs had higher inc</w:t>
      </w:r>
      <w:r>
        <w:rPr>
          <w:rFonts w:cs="Arial"/>
          <w:color w:val="000000" w:themeColor="text1"/>
          <w:lang w:eastAsia="en-AU"/>
        </w:rPr>
        <w:t>idence rates of</w:t>
      </w:r>
      <w:r w:rsidR="00794040">
        <w:rPr>
          <w:rFonts w:cs="Arial"/>
          <w:color w:val="000000" w:themeColor="text1"/>
          <w:lang w:eastAsia="en-AU"/>
        </w:rPr>
        <w:t xml:space="preserve"> melanoma</w:t>
      </w:r>
      <w:r w:rsidRPr="00BC56E0">
        <w:rPr>
          <w:rFonts w:cs="Arial"/>
          <w:color w:val="000000" w:themeColor="text1"/>
          <w:lang w:eastAsia="en-AU"/>
        </w:rPr>
        <w:t xml:space="preserve"> than the overall rate </w:t>
      </w:r>
      <w:r>
        <w:rPr>
          <w:rFonts w:cs="Arial"/>
          <w:color w:val="000000" w:themeColor="text1"/>
          <w:lang w:eastAsia="en-AU"/>
        </w:rPr>
        <w:t>(</w:t>
      </w:r>
      <w:r w:rsidR="00794040">
        <w:rPr>
          <w:rFonts w:cs="Arial"/>
          <w:color w:val="000000" w:themeColor="text1"/>
          <w:lang w:eastAsia="en-AU"/>
        </w:rPr>
        <w:t>3</w:t>
      </w:r>
      <w:r w:rsidR="00303233">
        <w:rPr>
          <w:rFonts w:cs="Arial"/>
          <w:color w:val="000000" w:themeColor="text1"/>
          <w:lang w:eastAsia="en-AU"/>
        </w:rPr>
        <w:t>8</w:t>
      </w:r>
      <w:r w:rsidRPr="00BC56E0">
        <w:rPr>
          <w:rFonts w:cs="Arial"/>
          <w:color w:val="000000" w:themeColor="text1"/>
          <w:lang w:eastAsia="en-AU"/>
        </w:rPr>
        <w:t xml:space="preserve"> per 100,000 population) for Victoria in 201</w:t>
      </w:r>
      <w:r w:rsidR="00303233">
        <w:rPr>
          <w:rFonts w:cs="Arial"/>
          <w:color w:val="000000" w:themeColor="text1"/>
          <w:lang w:eastAsia="en-AU"/>
        </w:rPr>
        <w:t>4</w:t>
      </w:r>
      <w:r w:rsidRPr="00BC56E0">
        <w:rPr>
          <w:rFonts w:cs="Arial"/>
          <w:color w:val="000000" w:themeColor="text1"/>
          <w:lang w:eastAsia="en-AU"/>
        </w:rPr>
        <w:t>.</w:t>
      </w:r>
      <w:r w:rsidR="00794040">
        <w:rPr>
          <w:rFonts w:cs="Arial"/>
          <w:color w:val="000000" w:themeColor="text1"/>
          <w:lang w:eastAsia="en-AU"/>
        </w:rPr>
        <w:t xml:space="preserve"> </w:t>
      </w:r>
      <w:r w:rsidR="00303233">
        <w:rPr>
          <w:rFonts w:cs="Arial"/>
          <w:color w:val="000000" w:themeColor="text1"/>
          <w:lang w:eastAsia="en-AU"/>
        </w:rPr>
        <w:t>North Grampians Shire</w:t>
      </w:r>
      <w:r w:rsidRPr="00BC56E0">
        <w:rPr>
          <w:rFonts w:cs="Arial"/>
          <w:color w:val="000000" w:themeColor="text1"/>
          <w:lang w:eastAsia="en-AU"/>
        </w:rPr>
        <w:t xml:space="preserve"> LGA reported</w:t>
      </w:r>
      <w:r w:rsidR="00794040">
        <w:rPr>
          <w:rFonts w:cs="Arial"/>
          <w:color w:val="000000" w:themeColor="text1"/>
          <w:lang w:eastAsia="en-AU"/>
        </w:rPr>
        <w:t xml:space="preserve"> the highest incidence rate (</w:t>
      </w:r>
      <w:r w:rsidR="00303233">
        <w:rPr>
          <w:rFonts w:cs="Arial"/>
          <w:color w:val="000000" w:themeColor="text1"/>
          <w:lang w:eastAsia="en-AU"/>
        </w:rPr>
        <w:t>96</w:t>
      </w:r>
      <w:r w:rsidRPr="00BC56E0">
        <w:rPr>
          <w:rFonts w:cs="Arial"/>
          <w:color w:val="000000" w:themeColor="text1"/>
          <w:lang w:eastAsia="en-AU"/>
        </w:rPr>
        <w:t xml:space="preserve"> per 100,000 population) </w:t>
      </w:r>
      <w:r>
        <w:rPr>
          <w:rFonts w:cs="Arial"/>
          <w:color w:val="000000" w:themeColor="text1"/>
          <w:lang w:eastAsia="en-AU"/>
        </w:rPr>
        <w:t>and</w:t>
      </w:r>
      <w:r w:rsidR="00794040">
        <w:rPr>
          <w:rFonts w:cs="Arial"/>
          <w:color w:val="000000" w:themeColor="text1"/>
          <w:lang w:eastAsia="en-AU"/>
        </w:rPr>
        <w:t xml:space="preserve"> </w:t>
      </w:r>
      <w:r w:rsidR="00303233">
        <w:rPr>
          <w:rFonts w:cs="Arial"/>
          <w:color w:val="000000" w:themeColor="text1"/>
          <w:lang w:eastAsia="en-AU"/>
        </w:rPr>
        <w:t>Towong</w:t>
      </w:r>
      <w:r w:rsidRPr="00BC56E0">
        <w:rPr>
          <w:rFonts w:cs="Arial"/>
          <w:color w:val="000000" w:themeColor="text1"/>
          <w:lang w:eastAsia="en-AU"/>
        </w:rPr>
        <w:t xml:space="preserve"> Shire LG</w:t>
      </w:r>
      <w:r w:rsidR="00794040">
        <w:rPr>
          <w:rFonts w:cs="Arial"/>
          <w:color w:val="000000" w:themeColor="text1"/>
          <w:lang w:eastAsia="en-AU"/>
        </w:rPr>
        <w:t>A the lowest incidence rate (</w:t>
      </w:r>
      <w:r w:rsidR="00303233">
        <w:rPr>
          <w:rFonts w:cs="Arial"/>
          <w:color w:val="000000" w:themeColor="text1"/>
          <w:lang w:eastAsia="en-AU"/>
        </w:rPr>
        <w:t>10</w:t>
      </w:r>
      <w:r w:rsidRPr="00BC56E0">
        <w:rPr>
          <w:rFonts w:cs="Arial"/>
          <w:color w:val="000000" w:themeColor="text1"/>
          <w:lang w:eastAsia="en-AU"/>
        </w:rPr>
        <w:t xml:space="preserve"> per 100,000 population) in 201</w:t>
      </w:r>
      <w:r w:rsidR="00303233">
        <w:rPr>
          <w:rFonts w:cs="Arial"/>
          <w:color w:val="000000" w:themeColor="text1"/>
          <w:lang w:eastAsia="en-AU"/>
        </w:rPr>
        <w:t>4</w:t>
      </w:r>
      <w:r w:rsidR="00794040">
        <w:rPr>
          <w:rFonts w:cs="Arial"/>
          <w:color w:val="000000" w:themeColor="text1"/>
          <w:lang w:eastAsia="en-AU"/>
        </w:rPr>
        <w:t xml:space="preserve"> (Figure 1.5</w:t>
      </w:r>
      <w:r>
        <w:rPr>
          <w:rFonts w:cs="Arial"/>
          <w:color w:val="000000" w:themeColor="text1"/>
          <w:lang w:eastAsia="en-AU"/>
        </w:rPr>
        <w:t>.2)</w:t>
      </w:r>
      <w:r w:rsidRPr="00BC56E0">
        <w:rPr>
          <w:rFonts w:cs="Arial"/>
          <w:color w:val="000000" w:themeColor="text1"/>
          <w:lang w:eastAsia="en-AU"/>
        </w:rPr>
        <w:t>.</w:t>
      </w:r>
      <w:r w:rsidR="00952FC7">
        <w:rPr>
          <w:rFonts w:cs="Arial"/>
          <w:color w:val="000000" w:themeColor="text1"/>
          <w:lang w:eastAsia="en-AU"/>
        </w:rPr>
        <w:t xml:space="preserve"> </w:t>
      </w:r>
      <w:r w:rsidR="00794040">
        <w:rPr>
          <w:rFonts w:cs="Arial"/>
          <w:color w:val="000000" w:themeColor="text1"/>
          <w:lang w:eastAsia="en-AU"/>
        </w:rPr>
        <w:t>By comparison, 53</w:t>
      </w:r>
      <w:r w:rsidRPr="00BC56E0">
        <w:rPr>
          <w:rFonts w:cs="Arial"/>
          <w:color w:val="000000" w:themeColor="text1"/>
          <w:lang w:eastAsia="en-AU"/>
        </w:rPr>
        <w:t xml:space="preserve"> per cent of the 79 LGAs had high</w:t>
      </w:r>
      <w:r>
        <w:rPr>
          <w:rFonts w:cs="Arial"/>
          <w:color w:val="000000" w:themeColor="text1"/>
          <w:lang w:eastAsia="en-AU"/>
        </w:rPr>
        <w:t>er</w:t>
      </w:r>
      <w:r w:rsidRPr="00BC56E0">
        <w:rPr>
          <w:rFonts w:cs="Arial"/>
          <w:color w:val="000000" w:themeColor="text1"/>
          <w:lang w:eastAsia="en-AU"/>
        </w:rPr>
        <w:t xml:space="preserve"> incidenc</w:t>
      </w:r>
      <w:r w:rsidR="00794040">
        <w:rPr>
          <w:rFonts w:cs="Arial"/>
          <w:color w:val="000000" w:themeColor="text1"/>
          <w:lang w:eastAsia="en-AU"/>
        </w:rPr>
        <w:t>e rates of melanoma than the overall rate (42</w:t>
      </w:r>
      <w:r w:rsidRPr="00BC56E0">
        <w:rPr>
          <w:rFonts w:cs="Arial"/>
          <w:color w:val="000000" w:themeColor="text1"/>
          <w:lang w:eastAsia="en-AU"/>
        </w:rPr>
        <w:t xml:space="preserve"> per 100,000 population) for Victoria in 2017.</w:t>
      </w:r>
      <w:r w:rsidR="00B307EC">
        <w:rPr>
          <w:rFonts w:cs="Arial"/>
          <w:color w:val="000000" w:themeColor="text1"/>
          <w:lang w:eastAsia="en-AU"/>
        </w:rPr>
        <w:t xml:space="preserve"> Three</w:t>
      </w:r>
      <w:r>
        <w:rPr>
          <w:rFonts w:cs="Arial"/>
          <w:color w:val="000000" w:themeColor="text1"/>
          <w:lang w:eastAsia="en-AU"/>
        </w:rPr>
        <w:t xml:space="preserve"> LGA</w:t>
      </w:r>
      <w:r w:rsidR="00B307EC">
        <w:rPr>
          <w:rFonts w:cs="Arial"/>
          <w:color w:val="000000" w:themeColor="text1"/>
          <w:lang w:eastAsia="en-AU"/>
        </w:rPr>
        <w:t>s (Bass Coast Shire, Hepburn Shire and Strathbogie Shire)</w:t>
      </w:r>
      <w:r>
        <w:rPr>
          <w:rFonts w:cs="Arial"/>
          <w:color w:val="000000" w:themeColor="text1"/>
          <w:lang w:eastAsia="en-AU"/>
        </w:rPr>
        <w:t xml:space="preserve"> reported the highest incidence rate (</w:t>
      </w:r>
      <w:r w:rsidR="00B307EC">
        <w:rPr>
          <w:rFonts w:cs="Arial"/>
          <w:color w:val="000000" w:themeColor="text1"/>
          <w:lang w:eastAsia="en-AU"/>
        </w:rPr>
        <w:t>97</w:t>
      </w:r>
      <w:r>
        <w:rPr>
          <w:rFonts w:cs="Arial"/>
          <w:color w:val="000000" w:themeColor="text1"/>
          <w:lang w:eastAsia="en-AU"/>
        </w:rPr>
        <w:t xml:space="preserve"> per 100,0</w:t>
      </w:r>
      <w:r w:rsidR="00B307EC">
        <w:rPr>
          <w:rFonts w:cs="Arial"/>
          <w:color w:val="000000" w:themeColor="text1"/>
          <w:lang w:eastAsia="en-AU"/>
        </w:rPr>
        <w:t xml:space="preserve">00 population) and two LGAs (Brimbank City and Maribyrnong City) </w:t>
      </w:r>
      <w:r>
        <w:rPr>
          <w:rFonts w:cs="Arial"/>
          <w:color w:val="000000" w:themeColor="text1"/>
          <w:lang w:eastAsia="en-AU"/>
        </w:rPr>
        <w:t>the lowest (</w:t>
      </w:r>
      <w:r w:rsidR="00105F15">
        <w:rPr>
          <w:rFonts w:cs="Arial"/>
          <w:color w:val="000000" w:themeColor="text1"/>
          <w:lang w:eastAsia="en-AU"/>
        </w:rPr>
        <w:t>15</w:t>
      </w:r>
      <w:r>
        <w:rPr>
          <w:rFonts w:cs="Arial"/>
          <w:color w:val="000000" w:themeColor="text1"/>
          <w:lang w:eastAsia="en-AU"/>
        </w:rPr>
        <w:t xml:space="preserve"> per 100,000 populatio</w:t>
      </w:r>
      <w:r w:rsidR="00B307EC">
        <w:rPr>
          <w:rFonts w:cs="Arial"/>
          <w:color w:val="000000" w:themeColor="text1"/>
          <w:lang w:eastAsia="en-AU"/>
        </w:rPr>
        <w:t>n in 2017 (Figure 1.5</w:t>
      </w:r>
      <w:r>
        <w:rPr>
          <w:rFonts w:cs="Arial"/>
          <w:color w:val="000000" w:themeColor="text1"/>
          <w:lang w:eastAsia="en-AU"/>
        </w:rPr>
        <w:t>.3).</w:t>
      </w:r>
      <w:r w:rsidR="00952FC7">
        <w:rPr>
          <w:rFonts w:cs="Arial"/>
          <w:color w:val="000000" w:themeColor="text1"/>
          <w:lang w:eastAsia="en-AU"/>
        </w:rPr>
        <w:t xml:space="preserve"> </w:t>
      </w:r>
      <w:r>
        <w:rPr>
          <w:rFonts w:cs="Arial"/>
          <w:color w:val="000000" w:themeColor="text1"/>
          <w:lang w:eastAsia="en-AU"/>
        </w:rPr>
        <w:t xml:space="preserve">Overall, </w:t>
      </w:r>
      <w:r w:rsidRPr="00AB4A70">
        <w:rPr>
          <w:rFonts w:cs="Arial"/>
          <w:color w:val="000000" w:themeColor="text1"/>
          <w:lang w:eastAsia="en-AU"/>
        </w:rPr>
        <w:t xml:space="preserve">most of the 79 LGAs reported slight fluctuations in the incidence rate </w:t>
      </w:r>
      <w:r w:rsidR="00B307EC">
        <w:rPr>
          <w:rFonts w:cs="Arial"/>
          <w:color w:val="000000" w:themeColor="text1"/>
          <w:lang w:eastAsia="en-AU"/>
        </w:rPr>
        <w:t>of melanoma</w:t>
      </w:r>
      <w:r>
        <w:rPr>
          <w:rFonts w:cs="Arial"/>
          <w:color w:val="000000" w:themeColor="text1"/>
          <w:lang w:eastAsia="en-AU"/>
        </w:rPr>
        <w:t xml:space="preserve"> </w:t>
      </w:r>
      <w:r w:rsidRPr="00AB4A70">
        <w:rPr>
          <w:rFonts w:cs="Arial"/>
          <w:color w:val="000000" w:themeColor="text1"/>
          <w:lang w:eastAsia="en-AU"/>
        </w:rPr>
        <w:t>between 201</w:t>
      </w:r>
      <w:r w:rsidR="00632D3A">
        <w:rPr>
          <w:rFonts w:cs="Arial"/>
          <w:color w:val="000000" w:themeColor="text1"/>
          <w:lang w:eastAsia="en-AU"/>
        </w:rPr>
        <w:t>4</w:t>
      </w:r>
      <w:r w:rsidRPr="00AB4A70">
        <w:rPr>
          <w:rFonts w:cs="Arial"/>
          <w:color w:val="000000" w:themeColor="text1"/>
          <w:lang w:eastAsia="en-AU"/>
        </w:rPr>
        <w:t xml:space="preserve"> and 2017</w:t>
      </w:r>
      <w:r>
        <w:rPr>
          <w:rFonts w:cs="Arial"/>
          <w:color w:val="000000" w:themeColor="text1"/>
          <w:lang w:eastAsia="en-AU"/>
        </w:rPr>
        <w:t>.</w:t>
      </w:r>
    </w:p>
    <w:p w14:paraId="5F24AD33" w14:textId="0C244E74" w:rsidR="00FB0CE0" w:rsidRPr="0011089F" w:rsidRDefault="00E22966" w:rsidP="0011089F">
      <w:pPr>
        <w:spacing w:after="120" w:line="270" w:lineRule="atLeast"/>
        <w:rPr>
          <w:rFonts w:ascii="Arial" w:hAnsi="Arial" w:cs="Arial"/>
        </w:rPr>
      </w:pPr>
      <w:r w:rsidRPr="006357E1">
        <w:rPr>
          <w:rFonts w:ascii="Arial" w:hAnsi="Arial" w:cs="Arial"/>
        </w:rPr>
        <w:t>Despite no target being</w:t>
      </w:r>
      <w:r w:rsidR="00313494" w:rsidRPr="006357E1">
        <w:rPr>
          <w:rFonts w:ascii="Arial" w:hAnsi="Arial" w:cs="Arial"/>
        </w:rPr>
        <w:t xml:space="preserve"> set for this measure</w:t>
      </w:r>
      <w:r w:rsidRPr="006357E1">
        <w:rPr>
          <w:rFonts w:ascii="Arial" w:hAnsi="Arial" w:cs="Arial"/>
        </w:rPr>
        <w:t xml:space="preserve">, overall </w:t>
      </w:r>
      <w:r w:rsidR="00632D3A">
        <w:rPr>
          <w:rFonts w:ascii="Arial" w:hAnsi="Arial" w:cs="Arial"/>
        </w:rPr>
        <w:t xml:space="preserve">the </w:t>
      </w:r>
      <w:r w:rsidRPr="006357E1">
        <w:rPr>
          <w:rFonts w:ascii="Arial" w:hAnsi="Arial" w:cs="Arial"/>
        </w:rPr>
        <w:t xml:space="preserve">age-standardised rate </w:t>
      </w:r>
      <w:r w:rsidR="00303233">
        <w:rPr>
          <w:rFonts w:ascii="Arial" w:hAnsi="Arial" w:cs="Arial"/>
        </w:rPr>
        <w:t>is</w:t>
      </w:r>
      <w:r w:rsidRPr="006357E1">
        <w:rPr>
          <w:rFonts w:ascii="Arial" w:hAnsi="Arial" w:cs="Arial"/>
        </w:rPr>
        <w:t xml:space="preserve"> increasing in Victoria.</w:t>
      </w:r>
      <w:r w:rsidR="00952FC7">
        <w:rPr>
          <w:rFonts w:ascii="Arial" w:hAnsi="Arial" w:cs="Arial"/>
        </w:rPr>
        <w:t xml:space="preserve"> </w:t>
      </w:r>
      <w:r w:rsidR="00FB0CE0">
        <w:br w:type="page"/>
      </w:r>
    </w:p>
    <w:p w14:paraId="0E5A8EC8" w14:textId="1E9BEECB" w:rsidR="00E8458B" w:rsidRDefault="00E8458B" w:rsidP="006624DA">
      <w:pPr>
        <w:pStyle w:val="Heading3"/>
        <w:rPr>
          <w:lang w:eastAsia="en-AU"/>
        </w:rPr>
      </w:pPr>
      <w:bookmarkStart w:id="153" w:name="_Measure_1.6_–"/>
      <w:bookmarkStart w:id="154" w:name="_Toc19008010"/>
      <w:bookmarkEnd w:id="153"/>
      <w:r>
        <w:rPr>
          <w:lang w:eastAsia="en-AU"/>
        </w:rPr>
        <w:lastRenderedPageBreak/>
        <w:t xml:space="preserve">Measure 1.6 – </w:t>
      </w:r>
      <w:r w:rsidR="006624DA">
        <w:rPr>
          <w:lang w:eastAsia="en-AU"/>
        </w:rPr>
        <w:t>Incidence of</w:t>
      </w:r>
      <w:r w:rsidR="00AF459A">
        <w:rPr>
          <w:lang w:eastAsia="en-AU"/>
        </w:rPr>
        <w:t xml:space="preserve"> female breast cancer</w:t>
      </w:r>
      <w:bookmarkEnd w:id="154"/>
    </w:p>
    <w:p w14:paraId="2E0ECBA5" w14:textId="707049CA" w:rsidR="008D4EED" w:rsidRDefault="008D4EED" w:rsidP="00036AD7">
      <w:pPr>
        <w:pStyle w:val="DHHSfigurecaption"/>
      </w:pPr>
      <w:bookmarkStart w:id="155" w:name="_Toc19008011"/>
      <w:bookmarkStart w:id="156" w:name="_Toc19008268"/>
      <w:bookmarkStart w:id="157" w:name="_Toc19008415"/>
      <w:bookmarkStart w:id="158" w:name="_Toc19008562"/>
      <w:bookmarkStart w:id="159" w:name="_Toc27414265"/>
      <w:r w:rsidRPr="00A8622F">
        <w:t>Figure 1.</w:t>
      </w:r>
      <w:r>
        <w:t>6</w:t>
      </w:r>
      <w:r w:rsidR="00E634E9">
        <w:t>:</w:t>
      </w:r>
      <w:r w:rsidRPr="00A8622F">
        <w:t xml:space="preserve"> </w:t>
      </w:r>
      <w:r>
        <w:t>I</w:t>
      </w:r>
      <w:r w:rsidRPr="00A8622F">
        <w:t xml:space="preserve">ncidence </w:t>
      </w:r>
      <w:r>
        <w:t>of female breast</w:t>
      </w:r>
      <w:r w:rsidRPr="00A8622F">
        <w:t xml:space="preserve"> cancer </w:t>
      </w:r>
      <w:r>
        <w:t xml:space="preserve">in Victoria </w:t>
      </w:r>
      <w:r w:rsidRPr="00A8622F">
        <w:t xml:space="preserve">per 100,000 standardised to the </w:t>
      </w:r>
      <w:r>
        <w:t xml:space="preserve">2001 </w:t>
      </w:r>
      <w:r w:rsidRPr="00A8622F">
        <w:t>Australian population, by year of diagnosis, 201</w:t>
      </w:r>
      <w:r w:rsidR="00376716">
        <w:t>4</w:t>
      </w:r>
      <w:r w:rsidRPr="00A8622F">
        <w:t xml:space="preserve"> and 201</w:t>
      </w:r>
      <w:r>
        <w:t>7</w:t>
      </w:r>
      <w:bookmarkEnd w:id="155"/>
      <w:bookmarkEnd w:id="156"/>
      <w:bookmarkEnd w:id="157"/>
      <w:bookmarkEnd w:id="158"/>
      <w:bookmarkEnd w:id="159"/>
    </w:p>
    <w:p w14:paraId="1ECBAEF0" w14:textId="60E9F2F1" w:rsidR="006A5AAA" w:rsidRPr="006A5AAA" w:rsidRDefault="006A5AAA" w:rsidP="006A5AAA">
      <w:pPr>
        <w:pStyle w:val="DHHSbody"/>
      </w:pPr>
      <w:r>
        <w:rPr>
          <w:noProof/>
        </w:rPr>
        <w:drawing>
          <wp:inline distT="0" distB="0" distL="0" distR="0" wp14:anchorId="23E41493" wp14:editId="0FFFE9B1">
            <wp:extent cx="6672943" cy="7104439"/>
            <wp:effectExtent l="0" t="0" r="0" b="1270"/>
            <wp:docPr id="319" name="Picture 319" descr="This figure shows a data summary of 'Measure 1.6 – Incidence of female breast cancer'. The data set is available under 'Measure 1.6 – Incidence of female breast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79017" cy="7110906"/>
                    </a:xfrm>
                    <a:prstGeom prst="rect">
                      <a:avLst/>
                    </a:prstGeom>
                    <a:noFill/>
                    <a:ln>
                      <a:noFill/>
                    </a:ln>
                  </pic:spPr>
                </pic:pic>
              </a:graphicData>
            </a:graphic>
          </wp:inline>
        </w:drawing>
      </w:r>
    </w:p>
    <w:p w14:paraId="4395D46E" w14:textId="77777777" w:rsidR="0020440A" w:rsidRDefault="009A2DF4" w:rsidP="00FA1AAC">
      <w:pPr>
        <w:pStyle w:val="DHHStablefigurenote"/>
      </w:pPr>
      <w:r w:rsidRPr="003F5C49">
        <w:t>Note:</w:t>
      </w:r>
      <w:r w:rsidR="00250B73">
        <w:t xml:space="preserve"> </w:t>
      </w:r>
      <w:r>
        <w:t>R</w:t>
      </w:r>
      <w:r w:rsidRPr="003F5C49">
        <w:t>esults by</w:t>
      </w:r>
      <w:r w:rsidR="0011089F">
        <w:t xml:space="preserve"> cultural diversity</w:t>
      </w:r>
      <w:r w:rsidRPr="003F5C49">
        <w:t xml:space="preserve"> </w:t>
      </w:r>
      <w:r>
        <w:t xml:space="preserve">are not presented </w:t>
      </w:r>
      <w:r w:rsidR="005D072A">
        <w:t>because</w:t>
      </w:r>
      <w:r w:rsidR="005D072A" w:rsidRPr="003F5C49" w:rsidDel="005D072A">
        <w:t xml:space="preserve"> </w:t>
      </w:r>
      <w:r w:rsidRPr="003F5C49">
        <w:t>the ERP does not estimate the population by</w:t>
      </w:r>
      <w:r w:rsidR="0011089F">
        <w:t xml:space="preserve"> cultural diversity</w:t>
      </w:r>
      <w:r w:rsidRPr="003F5C49">
        <w:t xml:space="preserve">, hence </w:t>
      </w:r>
      <w:r>
        <w:t>there is no</w:t>
      </w:r>
      <w:r w:rsidRPr="003F5C49">
        <w:t xml:space="preserve"> denominator for this variable.</w:t>
      </w:r>
    </w:p>
    <w:p w14:paraId="31830B76" w14:textId="35ADC3C8" w:rsidR="00A76E50" w:rsidRPr="0011089F" w:rsidRDefault="0020440A" w:rsidP="00FA1AAC">
      <w:pPr>
        <w:pStyle w:val="DHHStablefigurenote"/>
      </w:pPr>
      <w:r w:rsidRPr="00D53842">
        <w:rPr>
          <w:color w:val="000000"/>
        </w:rPr>
        <w:t>Appendix 2 provides the dataset.</w:t>
      </w:r>
      <w:r w:rsidR="00A76E50">
        <w:br w:type="page"/>
      </w:r>
    </w:p>
    <w:p w14:paraId="79B8C8FB" w14:textId="1C2E153A" w:rsidR="00A76E50" w:rsidRDefault="00A76E50" w:rsidP="00036AD7">
      <w:pPr>
        <w:pStyle w:val="DHHSfigurecaption"/>
      </w:pPr>
      <w:bookmarkStart w:id="160" w:name="_Toc19008012"/>
      <w:bookmarkStart w:id="161" w:name="_Toc19008269"/>
      <w:bookmarkStart w:id="162" w:name="_Toc19008416"/>
      <w:bookmarkStart w:id="163" w:name="_Toc19008563"/>
      <w:bookmarkStart w:id="164" w:name="_Toc27414266"/>
      <w:r>
        <w:rPr>
          <w:lang w:eastAsia="en-AU"/>
        </w:rPr>
        <w:lastRenderedPageBreak/>
        <w:t>Figure 1.6.1</w:t>
      </w:r>
      <w:r w:rsidR="00E634E9">
        <w:rPr>
          <w:lang w:eastAsia="en-AU"/>
        </w:rPr>
        <w:t>:</w:t>
      </w:r>
      <w:r w:rsidRPr="006378D2">
        <w:rPr>
          <w:lang w:eastAsia="en-AU"/>
        </w:rPr>
        <w:t xml:space="preserve"> Incidence of </w:t>
      </w:r>
      <w:r>
        <w:rPr>
          <w:lang w:eastAsia="en-AU"/>
        </w:rPr>
        <w:t xml:space="preserve">female breast </w:t>
      </w:r>
      <w:r w:rsidRPr="006378D2">
        <w:rPr>
          <w:lang w:eastAsia="en-AU"/>
        </w:rPr>
        <w:t>cancer</w:t>
      </w:r>
      <w:r>
        <w:rPr>
          <w:lang w:eastAsia="en-AU"/>
        </w:rPr>
        <w:t xml:space="preserve">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Pr="006378D2">
        <w:t xml:space="preserve"> </w:t>
      </w:r>
      <w:r w:rsidR="0031077F">
        <w:t xml:space="preserve">and </w:t>
      </w:r>
      <w:r>
        <w:t xml:space="preserve">year, </w:t>
      </w:r>
      <w:r w:rsidRPr="006378D2">
        <w:t>20</w:t>
      </w:r>
      <w:r>
        <w:t>1</w:t>
      </w:r>
      <w:r w:rsidR="00220DFB">
        <w:t>4</w:t>
      </w:r>
      <w:r>
        <w:t xml:space="preserve"> and 2017</w:t>
      </w:r>
      <w:bookmarkEnd w:id="160"/>
      <w:bookmarkEnd w:id="161"/>
      <w:bookmarkEnd w:id="162"/>
      <w:bookmarkEnd w:id="163"/>
      <w:bookmarkEnd w:id="164"/>
    </w:p>
    <w:p w14:paraId="3633DEAA" w14:textId="78B4351E" w:rsidR="00220DFB" w:rsidRPr="00220DFB" w:rsidRDefault="005C68DF" w:rsidP="00220DFB">
      <w:pPr>
        <w:pStyle w:val="DHHSbody"/>
      </w:pPr>
      <w:r>
        <w:rPr>
          <w:noProof/>
        </w:rPr>
        <w:drawing>
          <wp:inline distT="0" distB="0" distL="0" distR="0" wp14:anchorId="19DDF111" wp14:editId="1D940B60">
            <wp:extent cx="6743065" cy="3493135"/>
            <wp:effectExtent l="0" t="0" r="635" b="0"/>
            <wp:docPr id="46" name="Picture 46" descr="This figure (bar graph) presents the incidence of female breast cancer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743065" cy="3493135"/>
                    </a:xfrm>
                    <a:prstGeom prst="rect">
                      <a:avLst/>
                    </a:prstGeom>
                    <a:noFill/>
                  </pic:spPr>
                </pic:pic>
              </a:graphicData>
            </a:graphic>
          </wp:inline>
        </w:drawing>
      </w:r>
    </w:p>
    <w:p w14:paraId="2DB9838E" w14:textId="49275938" w:rsidR="00B1404A" w:rsidRDefault="00B1404A" w:rsidP="00036AD7">
      <w:pPr>
        <w:pStyle w:val="DHHSfigurecaption"/>
      </w:pPr>
      <w:bookmarkStart w:id="165" w:name="_Toc19008013"/>
      <w:bookmarkStart w:id="166" w:name="_Toc19008270"/>
      <w:bookmarkStart w:id="167" w:name="_Toc19008417"/>
      <w:bookmarkStart w:id="168" w:name="_Toc19008564"/>
      <w:bookmarkStart w:id="169" w:name="_Toc27414267"/>
      <w:r>
        <w:t>Figure 1.6.2</w:t>
      </w:r>
      <w:r w:rsidR="00E634E9">
        <w:t>:</w:t>
      </w:r>
      <w:r w:rsidRPr="00AB6486">
        <w:t xml:space="preserve"> Incidence of </w:t>
      </w:r>
      <w:r>
        <w:t xml:space="preserve">female breast </w:t>
      </w:r>
      <w:r w:rsidRPr="00AB6486">
        <w:t xml:space="preserve">cancer </w:t>
      </w:r>
      <w:r>
        <w:t xml:space="preserve">in Victoria </w:t>
      </w:r>
      <w:r w:rsidRPr="00AB6486">
        <w:t xml:space="preserve">per 100,000 standardised to the 2001 Australian population, by Victorian </w:t>
      </w:r>
      <w:r w:rsidR="005D072A">
        <w:t>LGA</w:t>
      </w:r>
      <w:r>
        <w:t>, 201</w:t>
      </w:r>
      <w:bookmarkEnd w:id="165"/>
      <w:bookmarkEnd w:id="166"/>
      <w:bookmarkEnd w:id="167"/>
      <w:bookmarkEnd w:id="168"/>
      <w:r w:rsidR="0012063F">
        <w:t>4</w:t>
      </w:r>
      <w:bookmarkEnd w:id="169"/>
    </w:p>
    <w:p w14:paraId="64192B23" w14:textId="23325B65" w:rsidR="00D772E8" w:rsidRPr="0012063F" w:rsidRDefault="0012063F" w:rsidP="0012063F">
      <w:pPr>
        <w:pStyle w:val="DHHSbody"/>
      </w:pPr>
      <w:r>
        <w:rPr>
          <w:noProof/>
        </w:rPr>
        <w:drawing>
          <wp:inline distT="0" distB="0" distL="0" distR="0" wp14:anchorId="53BB093A" wp14:editId="01AA80CD">
            <wp:extent cx="6632448" cy="4463663"/>
            <wp:effectExtent l="0" t="0" r="0" b="0"/>
            <wp:docPr id="327" name="Picture 327" descr="This figure shows a map of Victoria showing the highest reported rate of female breast cancer in 2014 is in the Towong Shire Council and the lowest reported rate is in Loddon Shire Council. The data set is available under 'Measure 1.6 – Incidence of female breast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55649" cy="4479277"/>
                    </a:xfrm>
                    <a:prstGeom prst="rect">
                      <a:avLst/>
                    </a:prstGeom>
                  </pic:spPr>
                </pic:pic>
              </a:graphicData>
            </a:graphic>
          </wp:inline>
        </w:drawing>
      </w:r>
      <w:r w:rsidR="00D772E8">
        <w:rPr>
          <w:rFonts w:cs="Arial"/>
          <w:b/>
        </w:rPr>
        <w:br w:type="page"/>
      </w:r>
    </w:p>
    <w:p w14:paraId="1DA6035B" w14:textId="5B67CD14" w:rsidR="00B1404A" w:rsidRDefault="00B1404A" w:rsidP="00036AD7">
      <w:pPr>
        <w:pStyle w:val="DHHSfigurecaption"/>
      </w:pPr>
      <w:bookmarkStart w:id="170" w:name="_Toc19008014"/>
      <w:bookmarkStart w:id="171" w:name="_Toc19008271"/>
      <w:bookmarkStart w:id="172" w:name="_Toc19008418"/>
      <w:bookmarkStart w:id="173" w:name="_Toc19008565"/>
      <w:bookmarkStart w:id="174" w:name="_Toc27414268"/>
      <w:r>
        <w:lastRenderedPageBreak/>
        <w:t>Figure 1.6.3</w:t>
      </w:r>
      <w:r w:rsidR="00E634E9">
        <w:t>:</w:t>
      </w:r>
      <w:r w:rsidRPr="00AB6486">
        <w:t xml:space="preserve"> Incidence of </w:t>
      </w:r>
      <w:r>
        <w:t xml:space="preserve">female breast </w:t>
      </w:r>
      <w:r w:rsidRPr="00AB6486">
        <w:t xml:space="preserve">cancer </w:t>
      </w:r>
      <w:r>
        <w:t xml:space="preserve">in Victoria </w:t>
      </w:r>
      <w:r w:rsidRPr="00AB6486">
        <w:t xml:space="preserve">per 100,000 standardised to the 2001 Australian population, by Victorian </w:t>
      </w:r>
      <w:r w:rsidR="005D072A">
        <w:t>LGA</w:t>
      </w:r>
      <w:r>
        <w:t>, 2017</w:t>
      </w:r>
      <w:bookmarkEnd w:id="170"/>
      <w:bookmarkEnd w:id="171"/>
      <w:bookmarkEnd w:id="172"/>
      <w:bookmarkEnd w:id="173"/>
      <w:bookmarkEnd w:id="174"/>
    </w:p>
    <w:p w14:paraId="383369C8" w14:textId="4A326A79" w:rsidR="00C44B00" w:rsidRPr="00C44B00" w:rsidRDefault="00410E7F" w:rsidP="00C44B00">
      <w:pPr>
        <w:pStyle w:val="DHHSbody"/>
      </w:pPr>
      <w:r>
        <w:rPr>
          <w:noProof/>
        </w:rPr>
        <w:drawing>
          <wp:inline distT="0" distB="0" distL="0" distR="0" wp14:anchorId="0B2B8D62" wp14:editId="4649EC1E">
            <wp:extent cx="6448425" cy="4217504"/>
            <wp:effectExtent l="0" t="0" r="0" b="0"/>
            <wp:docPr id="217" name="Picture 217" descr="This figure shows a map of Victoria showing the highest reported rate of female breast cancer in 2017 is in the Towong Shire Council and the lowest reported rate is in Strathbogie Shire Council. The data set is available under 'Measure 1.6 – Incidence of female breast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62268" cy="4226558"/>
                    </a:xfrm>
                    <a:prstGeom prst="rect">
                      <a:avLst/>
                    </a:prstGeom>
                  </pic:spPr>
                </pic:pic>
              </a:graphicData>
            </a:graphic>
          </wp:inline>
        </w:drawing>
      </w:r>
    </w:p>
    <w:p w14:paraId="1CD40DC0" w14:textId="79214FD0" w:rsidR="00665D4B" w:rsidRPr="0078684F" w:rsidRDefault="00665D4B" w:rsidP="0078684F">
      <w:pPr>
        <w:pStyle w:val="DHHStabletext"/>
        <w:rPr>
          <w:rFonts w:cs="Arial"/>
          <w:b/>
        </w:rPr>
      </w:pPr>
      <w:r w:rsidRPr="00D137C8">
        <w:rPr>
          <w:rStyle w:val="Heading4Char"/>
        </w:rPr>
        <w:t>Measure assessment</w:t>
      </w:r>
    </w:p>
    <w:p w14:paraId="42556600" w14:textId="6E16BB6E" w:rsidR="003E5FD3" w:rsidRPr="0078684F" w:rsidRDefault="003E5FD3" w:rsidP="0078684F">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5A744A" w:rsidRPr="00EC3B7A">
        <w:rPr>
          <w:rFonts w:ascii="Arial" w:hAnsi="Arial" w:cs="Arial"/>
          <w:b/>
          <w:color w:val="C00000"/>
        </w:rPr>
        <w:t>Red</w:t>
      </w:r>
      <w:r w:rsidR="00EC3B7A">
        <w:rPr>
          <w:rFonts w:ascii="Arial" w:hAnsi="Arial" w:cs="Arial"/>
          <w:b/>
          <w:color w:val="C00000"/>
        </w:rPr>
        <w:t xml:space="preserve"> </w:t>
      </w:r>
      <w:r w:rsidR="00EC3B7A">
        <w:rPr>
          <w:rFonts w:ascii="Arial" w:hAnsi="Arial" w:cs="Arial"/>
          <w:color w:val="C00000"/>
        </w:rPr>
        <w:t>(result is of concern)</w:t>
      </w:r>
    </w:p>
    <w:p w14:paraId="1282D39E" w14:textId="64DC2F7D" w:rsidR="003E5FD3" w:rsidRPr="003E5FD3" w:rsidRDefault="003E5FD3" w:rsidP="0078684F">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5A744A">
        <w:rPr>
          <w:rFonts w:ascii="Arial" w:hAnsi="Arial" w:cs="Arial"/>
        </w:rPr>
        <w:t>Not moving in the right direction</w:t>
      </w:r>
    </w:p>
    <w:p w14:paraId="0848481D" w14:textId="0A75F16F" w:rsidR="007372D8" w:rsidRPr="00AE30ED" w:rsidRDefault="003E5FD3" w:rsidP="0078684F">
      <w:pPr>
        <w:pStyle w:val="DHHSbody"/>
        <w:rPr>
          <w:rFonts w:cs="Arial"/>
          <w:lang w:val="en"/>
        </w:rPr>
      </w:pPr>
      <w:r w:rsidRPr="00657C18">
        <w:rPr>
          <w:lang w:eastAsia="en-AU"/>
        </w:rPr>
        <w:t xml:space="preserve">Commentary: </w:t>
      </w:r>
      <w:r w:rsidR="00B15809">
        <w:rPr>
          <w:rFonts w:cs="Arial"/>
          <w:lang w:val="en"/>
        </w:rPr>
        <w:t xml:space="preserve">Breast cancer </w:t>
      </w:r>
      <w:r w:rsidR="00B3186D">
        <w:rPr>
          <w:rFonts w:cs="Arial"/>
          <w:lang w:val="en"/>
        </w:rPr>
        <w:t>has been cited as</w:t>
      </w:r>
      <w:r w:rsidR="00B15809">
        <w:rPr>
          <w:rFonts w:cs="Arial"/>
          <w:lang w:val="en"/>
        </w:rPr>
        <w:t xml:space="preserve"> the most common malignancy in women</w:t>
      </w:r>
      <w:r w:rsidR="00AD0F00">
        <w:rPr>
          <w:rFonts w:cs="Arial"/>
          <w:lang w:val="en"/>
        </w:rPr>
        <w:t xml:space="preserve"> (although it is recognised that </w:t>
      </w:r>
      <w:r w:rsidR="00AD0F00" w:rsidRPr="00AE30ED">
        <w:rPr>
          <w:rFonts w:cs="Arial"/>
          <w:lang w:val="en"/>
        </w:rPr>
        <w:t xml:space="preserve">it </w:t>
      </w:r>
      <w:r w:rsidR="00FA343A">
        <w:rPr>
          <w:rFonts w:cs="Arial"/>
          <w:lang w:val="en"/>
        </w:rPr>
        <w:t xml:space="preserve">can occur in </w:t>
      </w:r>
      <w:r w:rsidR="00AD0F00" w:rsidRPr="00AE30ED">
        <w:rPr>
          <w:rFonts w:cs="Arial"/>
          <w:lang w:val="en"/>
        </w:rPr>
        <w:t>males)</w:t>
      </w:r>
      <w:r w:rsidR="00B15809" w:rsidRPr="00AE30ED">
        <w:rPr>
          <w:rFonts w:cs="Arial"/>
          <w:lang w:val="en"/>
        </w:rPr>
        <w:t xml:space="preserve"> around the world</w:t>
      </w:r>
      <w:r w:rsidR="00B3186D" w:rsidRPr="00AE30ED">
        <w:rPr>
          <w:rFonts w:cs="Arial"/>
          <w:lang w:val="en"/>
        </w:rPr>
        <w:t>.</w:t>
      </w:r>
      <w:r w:rsidR="00B3186D" w:rsidRPr="00AE30ED">
        <w:rPr>
          <w:rStyle w:val="FootnoteReference"/>
          <w:rFonts w:cs="Arial"/>
          <w:lang w:val="en"/>
        </w:rPr>
        <w:footnoteReference w:id="23"/>
      </w:r>
      <w:r w:rsidR="008F59AE" w:rsidRPr="00AE30ED">
        <w:rPr>
          <w:rFonts w:cs="Arial"/>
          <w:lang w:val="en"/>
        </w:rPr>
        <w:t xml:space="preserve"> In 2018 it was estimated </w:t>
      </w:r>
      <w:r w:rsidR="00786519" w:rsidRPr="00AE30ED">
        <w:rPr>
          <w:rFonts w:cs="Arial"/>
          <w:lang w:val="en"/>
        </w:rPr>
        <w:t xml:space="preserve">via </w:t>
      </w:r>
      <w:r w:rsidR="00786519" w:rsidRPr="00AE30ED">
        <w:rPr>
          <w:rFonts w:cs="Arial"/>
        </w:rPr>
        <w:t xml:space="preserve">the World Health Organization GLOBOCAN database </w:t>
      </w:r>
      <w:r w:rsidR="008F59AE" w:rsidRPr="00AE30ED">
        <w:rPr>
          <w:rFonts w:cs="Arial"/>
          <w:lang w:val="en"/>
        </w:rPr>
        <w:t xml:space="preserve">that there would be approximately 2.1 million newly diagnosed female breast cancer cases, accounting for </w:t>
      </w:r>
      <w:r w:rsidR="00A46CCA">
        <w:rPr>
          <w:rFonts w:cs="Arial"/>
          <w:lang w:val="en"/>
        </w:rPr>
        <w:t>one</w:t>
      </w:r>
      <w:r w:rsidR="008F59AE" w:rsidRPr="00AE30ED">
        <w:rPr>
          <w:rFonts w:cs="Arial"/>
          <w:lang w:val="en"/>
        </w:rPr>
        <w:t xml:space="preserve"> in </w:t>
      </w:r>
      <w:r w:rsidR="00A46CCA">
        <w:rPr>
          <w:rFonts w:cs="Arial"/>
          <w:lang w:val="en"/>
        </w:rPr>
        <w:t>four</w:t>
      </w:r>
      <w:r w:rsidR="008F59AE" w:rsidRPr="00AE30ED">
        <w:rPr>
          <w:rFonts w:cs="Arial"/>
          <w:lang w:val="en"/>
        </w:rPr>
        <w:t xml:space="preserve"> cancer cases among women.</w:t>
      </w:r>
      <w:r w:rsidR="00865D0C" w:rsidRPr="00AE30ED">
        <w:rPr>
          <w:rFonts w:cs="Arial"/>
          <w:lang w:val="en"/>
        </w:rPr>
        <w:t xml:space="preserve"> In Austr</w:t>
      </w:r>
      <w:r w:rsidR="00905BEB" w:rsidRPr="00AE30ED">
        <w:rPr>
          <w:rFonts w:cs="Arial"/>
          <w:lang w:val="en"/>
        </w:rPr>
        <w:t>alia</w:t>
      </w:r>
      <w:r w:rsidR="006E2C2B">
        <w:rPr>
          <w:rFonts w:cs="Arial"/>
          <w:lang w:val="en"/>
        </w:rPr>
        <w:t>,</w:t>
      </w:r>
      <w:r w:rsidR="00905BEB" w:rsidRPr="00AE30ED">
        <w:rPr>
          <w:rFonts w:cs="Arial"/>
          <w:lang w:val="en"/>
        </w:rPr>
        <w:t xml:space="preserve"> this global trend is also reflected in national cancer statistics</w:t>
      </w:r>
      <w:r w:rsidR="0001449F">
        <w:rPr>
          <w:rFonts w:cs="Arial"/>
          <w:lang w:val="en"/>
        </w:rPr>
        <w:t>,</w:t>
      </w:r>
      <w:r w:rsidR="00905BEB" w:rsidRPr="00AE30ED">
        <w:rPr>
          <w:rFonts w:cs="Arial"/>
          <w:lang w:val="en"/>
        </w:rPr>
        <w:t xml:space="preserve"> with breast cancer also the most common cancer affecting women</w:t>
      </w:r>
      <w:r w:rsidR="005111EB" w:rsidRPr="00AE30ED">
        <w:rPr>
          <w:rFonts w:cs="Arial"/>
          <w:lang w:val="en"/>
        </w:rPr>
        <w:t xml:space="preserve"> including Aboriginal and Torres Strait Islander Australians</w:t>
      </w:r>
      <w:r w:rsidR="00905BEB" w:rsidRPr="00AE30ED">
        <w:rPr>
          <w:rFonts w:cs="Arial"/>
          <w:lang w:val="en"/>
        </w:rPr>
        <w:t>.</w:t>
      </w:r>
      <w:r w:rsidR="007372D8" w:rsidRPr="00AE30ED">
        <w:rPr>
          <w:rFonts w:cs="Arial"/>
          <w:lang w:val="en"/>
        </w:rPr>
        <w:t xml:space="preserve"> In 2019, it is estimated that the age-standardised incidence rate will be 68 cases per 100,000 </w:t>
      </w:r>
      <w:r w:rsidR="00DC7655">
        <w:rPr>
          <w:rFonts w:cs="Arial"/>
          <w:lang w:val="en"/>
        </w:rPr>
        <w:t>people</w:t>
      </w:r>
      <w:r w:rsidR="007372D8" w:rsidRPr="00AE30ED">
        <w:rPr>
          <w:rFonts w:cs="Arial"/>
          <w:lang w:val="en"/>
        </w:rPr>
        <w:t xml:space="preserve"> (1.1 for males and 131 for females).</w:t>
      </w:r>
      <w:r w:rsidR="007C2E4B" w:rsidRPr="00AE30ED">
        <w:rPr>
          <w:rStyle w:val="FootnoteReference"/>
          <w:rFonts w:cs="Arial"/>
          <w:lang w:val="en"/>
        </w:rPr>
        <w:footnoteReference w:id="24"/>
      </w:r>
      <w:r w:rsidR="00952FC7">
        <w:rPr>
          <w:rFonts w:cs="Arial"/>
          <w:lang w:val="en"/>
        </w:rPr>
        <w:t xml:space="preserve"> </w:t>
      </w:r>
      <w:r w:rsidR="00AD0F00" w:rsidRPr="00AE30ED">
        <w:rPr>
          <w:rFonts w:cs="Arial"/>
          <w:lang w:val="en"/>
        </w:rPr>
        <w:t>Because of the disproportionate low incidence rate of breast cancer in men, this measure focuses on breast cancer in Victorian females only.</w:t>
      </w:r>
    </w:p>
    <w:p w14:paraId="29D767C3" w14:textId="313AC171" w:rsidR="00F53BE0" w:rsidRDefault="00AC3576" w:rsidP="003E5FD3">
      <w:pPr>
        <w:pStyle w:val="DHHSbody"/>
        <w:rPr>
          <w:rFonts w:cs="Arial"/>
          <w:lang w:val="en"/>
        </w:rPr>
      </w:pPr>
      <w:r w:rsidRPr="00AE30ED">
        <w:rPr>
          <w:rFonts w:cs="Arial"/>
          <w:lang w:val="en"/>
        </w:rPr>
        <w:t xml:space="preserve">In Victoria, breast cancer is the second most common new cancer and accounts for 29 per cent of all </w:t>
      </w:r>
      <w:r w:rsidR="00A61269" w:rsidRPr="00AE30ED">
        <w:rPr>
          <w:rFonts w:cs="Arial"/>
          <w:lang w:val="en"/>
        </w:rPr>
        <w:t>cancers</w:t>
      </w:r>
      <w:r w:rsidRPr="00AE30ED">
        <w:rPr>
          <w:rFonts w:cs="Arial"/>
          <w:lang w:val="en"/>
        </w:rPr>
        <w:t xml:space="preserve"> for women.</w:t>
      </w:r>
      <w:r w:rsidR="00A61269" w:rsidRPr="00AE30ED">
        <w:rPr>
          <w:rStyle w:val="FootnoteReference"/>
          <w:rFonts w:cs="Arial"/>
          <w:lang w:val="en"/>
        </w:rPr>
        <w:footnoteReference w:id="25"/>
      </w:r>
      <w:r w:rsidR="00F53BE0" w:rsidRPr="00AE30ED">
        <w:rPr>
          <w:rFonts w:cs="Arial"/>
          <w:lang w:val="en"/>
        </w:rPr>
        <w:t xml:space="preserve"> </w:t>
      </w:r>
      <w:r w:rsidR="00A5001A">
        <w:rPr>
          <w:rFonts w:cs="Arial"/>
          <w:lang w:val="en"/>
        </w:rPr>
        <w:t>Projected estimates in Victoria indicate there will be a 12 per cent expected increase in incidence rate by 2028</w:t>
      </w:r>
      <w:r w:rsidR="00690CD3">
        <w:rPr>
          <w:rFonts w:cs="Arial"/>
          <w:lang w:val="en"/>
        </w:rPr>
        <w:t>–</w:t>
      </w:r>
      <w:r w:rsidR="00A5001A">
        <w:rPr>
          <w:rFonts w:cs="Arial"/>
          <w:lang w:val="en"/>
        </w:rPr>
        <w:t>2032 from 2013</w:t>
      </w:r>
      <w:r w:rsidR="00690CD3">
        <w:rPr>
          <w:rFonts w:cs="Arial"/>
          <w:lang w:val="en"/>
        </w:rPr>
        <w:t>–</w:t>
      </w:r>
      <w:r w:rsidR="00A5001A">
        <w:rPr>
          <w:rFonts w:cs="Arial"/>
          <w:lang w:val="en"/>
        </w:rPr>
        <w:t>2017.</w:t>
      </w:r>
      <w:r w:rsidR="00A5001A">
        <w:rPr>
          <w:rStyle w:val="FootnoteReference"/>
          <w:rFonts w:cs="Arial"/>
          <w:lang w:val="en"/>
        </w:rPr>
        <w:footnoteReference w:id="26"/>
      </w:r>
    </w:p>
    <w:p w14:paraId="579B766F" w14:textId="1A7F1DE4" w:rsidR="004A7970" w:rsidRDefault="004A7970" w:rsidP="003E5FD3">
      <w:pPr>
        <w:pStyle w:val="DHHSbody"/>
        <w:rPr>
          <w:rFonts w:cs="Arial"/>
          <w:lang w:val="en"/>
        </w:rPr>
      </w:pPr>
      <w:r>
        <w:rPr>
          <w:rFonts w:cs="Arial"/>
          <w:lang w:val="en"/>
        </w:rPr>
        <w:t xml:space="preserve">Figure 1.6 shows that the </w:t>
      </w:r>
      <w:r w:rsidR="00F53BE0">
        <w:rPr>
          <w:rFonts w:cs="Arial"/>
          <w:lang w:val="en"/>
        </w:rPr>
        <w:t xml:space="preserve">overall </w:t>
      </w:r>
      <w:r>
        <w:rPr>
          <w:rFonts w:cs="Arial"/>
          <w:lang w:val="en"/>
        </w:rPr>
        <w:t xml:space="preserve">age-standardised rate for </w:t>
      </w:r>
      <w:r w:rsidR="0047095D">
        <w:rPr>
          <w:rFonts w:cs="Arial"/>
          <w:lang w:val="en"/>
        </w:rPr>
        <w:t>female</w:t>
      </w:r>
      <w:r>
        <w:rPr>
          <w:rFonts w:cs="Arial"/>
          <w:lang w:val="en"/>
        </w:rPr>
        <w:t xml:space="preserve"> breast </w:t>
      </w:r>
      <w:r w:rsidR="0047095D">
        <w:rPr>
          <w:rFonts w:cs="Arial"/>
          <w:lang w:val="en"/>
        </w:rPr>
        <w:t>cancer</w:t>
      </w:r>
      <w:r w:rsidR="00F803C7">
        <w:rPr>
          <w:rFonts w:cs="Arial"/>
          <w:lang w:val="en"/>
        </w:rPr>
        <w:t xml:space="preserve"> remained unchanged</w:t>
      </w:r>
      <w:r w:rsidR="0047095D">
        <w:rPr>
          <w:rFonts w:cs="Arial"/>
          <w:lang w:val="en"/>
        </w:rPr>
        <w:t xml:space="preserve"> </w:t>
      </w:r>
      <w:r w:rsidR="00F803C7">
        <w:rPr>
          <w:rFonts w:cs="Arial"/>
          <w:lang w:val="en"/>
        </w:rPr>
        <w:t xml:space="preserve">at </w:t>
      </w:r>
      <w:r w:rsidR="00F53BE0">
        <w:rPr>
          <w:rFonts w:cs="Arial"/>
          <w:lang w:val="en"/>
        </w:rPr>
        <w:t>1</w:t>
      </w:r>
      <w:r w:rsidR="00F803C7">
        <w:rPr>
          <w:rFonts w:cs="Arial"/>
          <w:lang w:val="en"/>
        </w:rPr>
        <w:t>26</w:t>
      </w:r>
      <w:r w:rsidR="00F53BE0">
        <w:rPr>
          <w:rFonts w:cs="Arial"/>
          <w:lang w:val="en"/>
        </w:rPr>
        <w:t xml:space="preserve"> per 100,000 population in </w:t>
      </w:r>
      <w:r w:rsidR="00F803C7">
        <w:rPr>
          <w:rFonts w:cs="Arial"/>
          <w:lang w:val="en"/>
        </w:rPr>
        <w:t xml:space="preserve">both </w:t>
      </w:r>
      <w:r w:rsidR="00F53BE0">
        <w:rPr>
          <w:rFonts w:cs="Arial"/>
          <w:lang w:val="en"/>
        </w:rPr>
        <w:t>201</w:t>
      </w:r>
      <w:r w:rsidR="00F803C7">
        <w:rPr>
          <w:rFonts w:cs="Arial"/>
          <w:lang w:val="en"/>
        </w:rPr>
        <w:t>4</w:t>
      </w:r>
      <w:r w:rsidR="00F53BE0">
        <w:rPr>
          <w:rFonts w:cs="Arial"/>
          <w:lang w:val="en"/>
        </w:rPr>
        <w:t xml:space="preserve"> </w:t>
      </w:r>
      <w:r w:rsidR="00F803C7">
        <w:rPr>
          <w:rFonts w:cs="Arial"/>
          <w:lang w:val="en"/>
        </w:rPr>
        <w:t xml:space="preserve">and </w:t>
      </w:r>
      <w:r w:rsidR="00F53BE0">
        <w:rPr>
          <w:rFonts w:cs="Arial"/>
          <w:lang w:val="en"/>
        </w:rPr>
        <w:t>2017.</w:t>
      </w:r>
      <w:r w:rsidR="00952FC7">
        <w:rPr>
          <w:rFonts w:cs="Arial"/>
          <w:lang w:val="en"/>
        </w:rPr>
        <w:t xml:space="preserve"> </w:t>
      </w:r>
      <w:r w:rsidR="00D93806">
        <w:rPr>
          <w:rFonts w:cs="Arial"/>
          <w:lang w:val="en"/>
        </w:rPr>
        <w:t>Higher incidence rates for Aboriginal Victorian women were observed</w:t>
      </w:r>
      <w:r w:rsidR="00EB72BD">
        <w:rPr>
          <w:rFonts w:cs="Arial"/>
          <w:lang w:val="en"/>
        </w:rPr>
        <w:t xml:space="preserve"> over</w:t>
      </w:r>
      <w:r w:rsidR="00D93806">
        <w:rPr>
          <w:rFonts w:cs="Arial"/>
          <w:lang w:val="en"/>
        </w:rPr>
        <w:t xml:space="preserve"> </w:t>
      </w:r>
      <w:r w:rsidR="00D93806">
        <w:rPr>
          <w:rFonts w:cs="Arial"/>
          <w:lang w:val="en"/>
        </w:rPr>
        <w:lastRenderedPageBreak/>
        <w:t xml:space="preserve">the same </w:t>
      </w:r>
      <w:r w:rsidR="00EB72BD">
        <w:rPr>
          <w:rFonts w:cs="Arial"/>
          <w:lang w:val="en"/>
        </w:rPr>
        <w:t xml:space="preserve">time </w:t>
      </w:r>
      <w:r w:rsidR="00D93806">
        <w:rPr>
          <w:rFonts w:cs="Arial"/>
          <w:lang w:val="en"/>
        </w:rPr>
        <w:t>period</w:t>
      </w:r>
      <w:r w:rsidR="0001449F">
        <w:rPr>
          <w:rFonts w:cs="Arial"/>
          <w:lang w:val="en"/>
        </w:rPr>
        <w:t>,</w:t>
      </w:r>
      <w:r w:rsidR="00D93806">
        <w:rPr>
          <w:rFonts w:cs="Arial"/>
          <w:lang w:val="en"/>
        </w:rPr>
        <w:t xml:space="preserve"> although caution should be taken when </w:t>
      </w:r>
      <w:r w:rsidR="00197BA9">
        <w:rPr>
          <w:rFonts w:cs="Arial"/>
          <w:lang w:val="en"/>
        </w:rPr>
        <w:t>interpreting</w:t>
      </w:r>
      <w:r w:rsidR="00D93806">
        <w:rPr>
          <w:rFonts w:cs="Arial"/>
          <w:lang w:val="en"/>
        </w:rPr>
        <w:t xml:space="preserve"> these figures due to the low numbers of cases for this subgroup (</w:t>
      </w:r>
      <w:r w:rsidR="00F803C7">
        <w:rPr>
          <w:rFonts w:cs="Arial"/>
          <w:lang w:val="en"/>
        </w:rPr>
        <w:t>24</w:t>
      </w:r>
      <w:r w:rsidR="00D93806">
        <w:rPr>
          <w:rFonts w:cs="Arial"/>
          <w:lang w:val="en"/>
        </w:rPr>
        <w:t xml:space="preserve"> cases in 201</w:t>
      </w:r>
      <w:r w:rsidR="00F803C7">
        <w:rPr>
          <w:rFonts w:cs="Arial"/>
          <w:lang w:val="en"/>
        </w:rPr>
        <w:t>4</w:t>
      </w:r>
      <w:r w:rsidR="00D93806">
        <w:rPr>
          <w:rFonts w:cs="Arial"/>
          <w:lang w:val="en"/>
        </w:rPr>
        <w:t xml:space="preserve"> increasing to 26 in 2017</w:t>
      </w:r>
      <w:r w:rsidR="00F803C7">
        <w:rPr>
          <w:rFonts w:cs="Arial"/>
          <w:lang w:val="en"/>
        </w:rPr>
        <w:t xml:space="preserve"> – refer to Appendix 2</w:t>
      </w:r>
      <w:r w:rsidR="00D93806">
        <w:rPr>
          <w:rFonts w:cs="Arial"/>
          <w:lang w:val="en"/>
        </w:rPr>
        <w:t>).</w:t>
      </w:r>
    </w:p>
    <w:p w14:paraId="79098F59" w14:textId="0B9A9DB8" w:rsidR="00F23E4E" w:rsidRDefault="00EE34A4" w:rsidP="00A056D9">
      <w:pPr>
        <w:pStyle w:val="DHHSbody"/>
        <w:rPr>
          <w:rFonts w:cs="Arial"/>
        </w:rPr>
      </w:pPr>
      <w:r>
        <w:rPr>
          <w:rFonts w:cs="Arial"/>
        </w:rPr>
        <w:t>High</w:t>
      </w:r>
      <w:r w:rsidR="00E11164" w:rsidRPr="003806BF">
        <w:rPr>
          <w:rFonts w:cs="Arial"/>
        </w:rPr>
        <w:t xml:space="preserve"> SES</w:t>
      </w:r>
      <w:r w:rsidR="008365BB">
        <w:rPr>
          <w:rFonts w:cs="Arial"/>
        </w:rPr>
        <w:t xml:space="preserve"> was observed</w:t>
      </w:r>
      <w:r w:rsidR="006D2416">
        <w:rPr>
          <w:rFonts w:cs="Arial"/>
        </w:rPr>
        <w:t xml:space="preserve"> to be</w:t>
      </w:r>
      <w:r w:rsidR="00E11164" w:rsidRPr="003806BF">
        <w:rPr>
          <w:rFonts w:cs="Arial"/>
        </w:rPr>
        <w:t xml:space="preserve"> associated with an increased</w:t>
      </w:r>
      <w:r w:rsidR="00E11164">
        <w:rPr>
          <w:rFonts w:cs="Arial"/>
        </w:rPr>
        <w:t xml:space="preserve"> risk for develop</w:t>
      </w:r>
      <w:r w:rsidR="0001449F">
        <w:rPr>
          <w:rFonts w:cs="Arial"/>
        </w:rPr>
        <w:t>ing</w:t>
      </w:r>
      <w:r w:rsidR="00E11164">
        <w:rPr>
          <w:rFonts w:cs="Arial"/>
        </w:rPr>
        <w:t xml:space="preserve"> breast cancer in women between 201</w:t>
      </w:r>
      <w:r w:rsidR="008365BB">
        <w:rPr>
          <w:rFonts w:cs="Arial"/>
        </w:rPr>
        <w:t>4</w:t>
      </w:r>
      <w:r w:rsidR="00E11164">
        <w:rPr>
          <w:rFonts w:cs="Arial"/>
        </w:rPr>
        <w:t xml:space="preserve"> and 2017. The female breast cancer incidence rate between Victorians was highest in the</w:t>
      </w:r>
      <w:r w:rsidR="00C97DF9">
        <w:rPr>
          <w:rFonts w:cs="Arial"/>
        </w:rPr>
        <w:t xml:space="preserve"> least</w:t>
      </w:r>
      <w:r w:rsidR="00E11164">
        <w:rPr>
          <w:rFonts w:cs="Arial"/>
        </w:rPr>
        <w:t xml:space="preserve"> disadvantaged socioeconomic quintile (SES </w:t>
      </w:r>
      <w:r>
        <w:rPr>
          <w:rFonts w:cs="Arial"/>
        </w:rPr>
        <w:t>5</w:t>
      </w:r>
      <w:r w:rsidR="00E11164">
        <w:rPr>
          <w:rFonts w:cs="Arial"/>
        </w:rPr>
        <w:t>) during the reporting period</w:t>
      </w:r>
      <w:r w:rsidR="0001449F">
        <w:rPr>
          <w:rFonts w:cs="Arial"/>
        </w:rPr>
        <w:t>,</w:t>
      </w:r>
      <w:r w:rsidR="00E11164">
        <w:rPr>
          <w:rFonts w:cs="Arial"/>
        </w:rPr>
        <w:t xml:space="preserve"> </w:t>
      </w:r>
      <w:r w:rsidR="008365BB">
        <w:rPr>
          <w:rFonts w:cs="Arial"/>
        </w:rPr>
        <w:t xml:space="preserve">although a decrease was observed in the rates from </w:t>
      </w:r>
      <w:r w:rsidR="00E11164">
        <w:rPr>
          <w:rFonts w:cs="Arial"/>
        </w:rPr>
        <w:t>1</w:t>
      </w:r>
      <w:r w:rsidR="008365BB">
        <w:rPr>
          <w:rFonts w:cs="Arial"/>
        </w:rPr>
        <w:t>40</w:t>
      </w:r>
      <w:r w:rsidR="00E11164">
        <w:rPr>
          <w:rFonts w:cs="Arial"/>
        </w:rPr>
        <w:t xml:space="preserve"> per 100,000 population in 201</w:t>
      </w:r>
      <w:r w:rsidR="008365BB">
        <w:rPr>
          <w:rFonts w:cs="Arial"/>
        </w:rPr>
        <w:t>4</w:t>
      </w:r>
      <w:r w:rsidR="00E11164">
        <w:rPr>
          <w:rFonts w:cs="Arial"/>
        </w:rPr>
        <w:t xml:space="preserve"> to 1</w:t>
      </w:r>
      <w:r>
        <w:rPr>
          <w:rFonts w:cs="Arial"/>
        </w:rPr>
        <w:t>36</w:t>
      </w:r>
      <w:r w:rsidR="00E11164">
        <w:rPr>
          <w:rFonts w:cs="Arial"/>
        </w:rPr>
        <w:t xml:space="preserve"> per 100,000 population in 2017 (Figure 1.6). </w:t>
      </w:r>
    </w:p>
    <w:p w14:paraId="7A5BDADC" w14:textId="75A7091D" w:rsidR="0055065F" w:rsidRDefault="00F23E4E" w:rsidP="00A056D9">
      <w:pPr>
        <w:pStyle w:val="DHHSbody"/>
        <w:rPr>
          <w:rFonts w:cs="Arial"/>
        </w:rPr>
      </w:pPr>
      <w:r>
        <w:rPr>
          <w:rFonts w:cs="Arial"/>
        </w:rPr>
        <w:t xml:space="preserve">Figure 1.6 shows there was very little variation for those </w:t>
      </w:r>
      <w:r w:rsidR="007511E8">
        <w:rPr>
          <w:rFonts w:cs="Arial"/>
        </w:rPr>
        <w:t>Victorians living in the o</w:t>
      </w:r>
      <w:r w:rsidR="00E11164">
        <w:rPr>
          <w:rFonts w:cs="Arial"/>
        </w:rPr>
        <w:t>uter regional/remote areas</w:t>
      </w:r>
      <w:r>
        <w:rPr>
          <w:rFonts w:cs="Arial"/>
        </w:rPr>
        <w:t xml:space="preserve"> compared </w:t>
      </w:r>
      <w:r w:rsidR="00E634E9">
        <w:rPr>
          <w:rFonts w:cs="Arial"/>
        </w:rPr>
        <w:t>with m</w:t>
      </w:r>
      <w:r>
        <w:rPr>
          <w:rFonts w:cs="Arial"/>
        </w:rPr>
        <w:t>ajor cities</w:t>
      </w:r>
      <w:r w:rsidR="0001449F">
        <w:rPr>
          <w:rFonts w:cs="Arial"/>
        </w:rPr>
        <w:t xml:space="preserve">, </w:t>
      </w:r>
      <w:r>
        <w:rPr>
          <w:rFonts w:cs="Arial"/>
        </w:rPr>
        <w:t>although the latter appears to have the slightly higher incidence rates for both 201</w:t>
      </w:r>
      <w:r w:rsidR="008365BB">
        <w:rPr>
          <w:rFonts w:cs="Arial"/>
        </w:rPr>
        <w:t>4</w:t>
      </w:r>
      <w:r>
        <w:rPr>
          <w:rFonts w:cs="Arial"/>
        </w:rPr>
        <w:t xml:space="preserve"> and 2017.</w:t>
      </w:r>
      <w:r w:rsidR="00952FC7">
        <w:rPr>
          <w:rFonts w:cs="Arial"/>
        </w:rPr>
        <w:t xml:space="preserve"> </w:t>
      </w:r>
      <w:r w:rsidR="00AE30ED">
        <w:rPr>
          <w:rFonts w:cs="Arial"/>
        </w:rPr>
        <w:t>There was a similar trend for ICS</w:t>
      </w:r>
      <w:r w:rsidR="006D717E">
        <w:rPr>
          <w:rFonts w:cs="Arial"/>
        </w:rPr>
        <w:t>s</w:t>
      </w:r>
      <w:r w:rsidR="00AE30ED">
        <w:rPr>
          <w:rFonts w:cs="Arial"/>
        </w:rPr>
        <w:t xml:space="preserve"> across Victoria</w:t>
      </w:r>
      <w:r w:rsidR="0001449F">
        <w:rPr>
          <w:rFonts w:cs="Arial"/>
        </w:rPr>
        <w:t>,</w:t>
      </w:r>
      <w:r w:rsidR="00AE30ED">
        <w:rPr>
          <w:rFonts w:cs="Arial"/>
        </w:rPr>
        <w:t xml:space="preserve"> </w:t>
      </w:r>
      <w:r w:rsidR="006A0447">
        <w:rPr>
          <w:rFonts w:cs="Arial"/>
        </w:rPr>
        <w:t>which showed little variation</w:t>
      </w:r>
      <w:r w:rsidR="0001449F">
        <w:rPr>
          <w:rFonts w:cs="Arial"/>
        </w:rPr>
        <w:t>,</w:t>
      </w:r>
      <w:r w:rsidR="006A0447">
        <w:rPr>
          <w:rFonts w:cs="Arial"/>
        </w:rPr>
        <w:t xml:space="preserve"> although </w:t>
      </w:r>
      <w:r w:rsidR="00AE30ED">
        <w:rPr>
          <w:rFonts w:cs="Arial"/>
        </w:rPr>
        <w:t>each of the ICS</w:t>
      </w:r>
      <w:r w:rsidR="006A0447">
        <w:rPr>
          <w:rFonts w:cs="Arial"/>
        </w:rPr>
        <w:t>s</w:t>
      </w:r>
      <w:r w:rsidR="00AE30ED">
        <w:rPr>
          <w:rFonts w:cs="Arial"/>
        </w:rPr>
        <w:t xml:space="preserve"> record</w:t>
      </w:r>
      <w:r w:rsidR="006A0447">
        <w:rPr>
          <w:rFonts w:cs="Arial"/>
        </w:rPr>
        <w:t>ed</w:t>
      </w:r>
      <w:r w:rsidR="00AE30ED">
        <w:rPr>
          <w:rFonts w:cs="Arial"/>
        </w:rPr>
        <w:t xml:space="preserve"> an increase in incidence rates for female breast cancer from 201</w:t>
      </w:r>
      <w:r w:rsidR="00B94CAC">
        <w:rPr>
          <w:rFonts w:cs="Arial"/>
        </w:rPr>
        <w:t>4</w:t>
      </w:r>
      <w:r w:rsidR="00AE30ED">
        <w:rPr>
          <w:rFonts w:cs="Arial"/>
        </w:rPr>
        <w:t xml:space="preserve"> and 2017</w:t>
      </w:r>
      <w:r w:rsidR="006A0447">
        <w:rPr>
          <w:rFonts w:cs="Arial"/>
        </w:rPr>
        <w:t xml:space="preserve"> except for </w:t>
      </w:r>
      <w:r w:rsidR="00B94CAC">
        <w:rPr>
          <w:rFonts w:cs="Arial"/>
        </w:rPr>
        <w:t>WCM</w:t>
      </w:r>
      <w:r w:rsidR="006A0447">
        <w:rPr>
          <w:rFonts w:cs="Arial"/>
        </w:rPr>
        <w:t>ICS</w:t>
      </w:r>
      <w:r w:rsidR="00B94CAC">
        <w:rPr>
          <w:rFonts w:cs="Arial"/>
        </w:rPr>
        <w:t xml:space="preserve"> and HRICS</w:t>
      </w:r>
      <w:r w:rsidR="0001449F">
        <w:rPr>
          <w:rFonts w:cs="Arial"/>
        </w:rPr>
        <w:t>,</w:t>
      </w:r>
      <w:r w:rsidR="006A0447">
        <w:rPr>
          <w:rFonts w:cs="Arial"/>
        </w:rPr>
        <w:t xml:space="preserve"> which recorded a slight decrease.</w:t>
      </w:r>
    </w:p>
    <w:p w14:paraId="30E83284" w14:textId="5DE2790F" w:rsidR="0055065F" w:rsidRDefault="0055065F" w:rsidP="00A056D9">
      <w:pPr>
        <w:pStyle w:val="DHHSbody"/>
        <w:rPr>
          <w:rFonts w:cs="Arial"/>
          <w:lang w:eastAsia="en-AU"/>
        </w:rPr>
      </w:pPr>
      <w:r>
        <w:rPr>
          <w:rFonts w:cs="Arial"/>
          <w:lang w:eastAsia="en-AU"/>
        </w:rPr>
        <w:t>The spatial variation of incidence rates of female breast cancer by LGA is presented in Figures 1.6.2 and 1.6.3. Forty-</w:t>
      </w:r>
      <w:r w:rsidR="00B94CAC">
        <w:rPr>
          <w:rFonts w:cs="Arial"/>
          <w:lang w:eastAsia="en-AU"/>
        </w:rPr>
        <w:t>six</w:t>
      </w:r>
      <w:r>
        <w:rPr>
          <w:rFonts w:cs="Arial"/>
          <w:lang w:eastAsia="en-AU"/>
        </w:rPr>
        <w:t xml:space="preserve"> per cent of the 79 LGAs had higher incidence rates of female breast cancer than the overall rate (1</w:t>
      </w:r>
      <w:r w:rsidR="00B94CAC">
        <w:rPr>
          <w:rFonts w:cs="Arial"/>
          <w:lang w:eastAsia="en-AU"/>
        </w:rPr>
        <w:t>26</w:t>
      </w:r>
      <w:r>
        <w:rPr>
          <w:rFonts w:cs="Arial"/>
          <w:lang w:eastAsia="en-AU"/>
        </w:rPr>
        <w:t xml:space="preserve"> per 100,000 population) in 201</w:t>
      </w:r>
      <w:r w:rsidR="00B94CAC">
        <w:rPr>
          <w:rFonts w:cs="Arial"/>
          <w:lang w:eastAsia="en-AU"/>
        </w:rPr>
        <w:t>4</w:t>
      </w:r>
      <w:r>
        <w:rPr>
          <w:rFonts w:cs="Arial"/>
          <w:lang w:eastAsia="en-AU"/>
        </w:rPr>
        <w:t xml:space="preserve">. </w:t>
      </w:r>
      <w:r w:rsidR="00B94CAC">
        <w:rPr>
          <w:rFonts w:cs="Arial"/>
          <w:lang w:eastAsia="en-AU"/>
        </w:rPr>
        <w:t>Towong Shire</w:t>
      </w:r>
      <w:r w:rsidR="00FA343A">
        <w:rPr>
          <w:rFonts w:cs="Arial"/>
          <w:lang w:eastAsia="en-AU"/>
        </w:rPr>
        <w:t xml:space="preserve"> </w:t>
      </w:r>
      <w:r>
        <w:rPr>
          <w:rFonts w:cs="Arial"/>
          <w:lang w:eastAsia="en-AU"/>
        </w:rPr>
        <w:t>LGA reported the highest incidence rate (19</w:t>
      </w:r>
      <w:r w:rsidR="00B94CAC">
        <w:rPr>
          <w:rFonts w:cs="Arial"/>
          <w:lang w:eastAsia="en-AU"/>
        </w:rPr>
        <w:t>8</w:t>
      </w:r>
      <w:r>
        <w:rPr>
          <w:rFonts w:cs="Arial"/>
          <w:lang w:eastAsia="en-AU"/>
        </w:rPr>
        <w:t xml:space="preserve"> per 100,000 population) and </w:t>
      </w:r>
      <w:r w:rsidR="00B94CAC">
        <w:rPr>
          <w:rFonts w:cs="Arial"/>
          <w:lang w:eastAsia="en-AU"/>
        </w:rPr>
        <w:t>Loddon</w:t>
      </w:r>
      <w:r>
        <w:rPr>
          <w:rFonts w:cs="Arial"/>
          <w:lang w:eastAsia="en-AU"/>
        </w:rPr>
        <w:t xml:space="preserve"> Shire LGA the lowest incidence rate (4</w:t>
      </w:r>
      <w:r w:rsidR="0020710D">
        <w:rPr>
          <w:rFonts w:cs="Arial"/>
          <w:lang w:eastAsia="en-AU"/>
        </w:rPr>
        <w:t>1</w:t>
      </w:r>
      <w:r>
        <w:rPr>
          <w:rFonts w:cs="Arial"/>
          <w:lang w:eastAsia="en-AU"/>
        </w:rPr>
        <w:t xml:space="preserve"> per 100,000 population) in 201</w:t>
      </w:r>
      <w:r w:rsidR="0020710D">
        <w:rPr>
          <w:rFonts w:cs="Arial"/>
          <w:lang w:eastAsia="en-AU"/>
        </w:rPr>
        <w:t>4</w:t>
      </w:r>
      <w:r>
        <w:rPr>
          <w:rFonts w:cs="Arial"/>
          <w:lang w:eastAsia="en-AU"/>
        </w:rPr>
        <w:t xml:space="preserve"> (Figure 1.6.2). By comparison, 47 per cent </w:t>
      </w:r>
      <w:r w:rsidRPr="00BC56E0">
        <w:rPr>
          <w:rFonts w:cs="Arial"/>
          <w:color w:val="000000" w:themeColor="text1"/>
          <w:lang w:eastAsia="en-AU"/>
        </w:rPr>
        <w:t xml:space="preserve">of the 79 LGAs had high incidence rates </w:t>
      </w:r>
      <w:r>
        <w:rPr>
          <w:rFonts w:cs="Arial"/>
          <w:color w:val="000000" w:themeColor="text1"/>
          <w:lang w:eastAsia="en-AU"/>
        </w:rPr>
        <w:t>of female breast</w:t>
      </w:r>
      <w:r w:rsidRPr="00BC56E0">
        <w:rPr>
          <w:rFonts w:cs="Arial"/>
          <w:color w:val="000000" w:themeColor="text1"/>
          <w:lang w:eastAsia="en-AU"/>
        </w:rPr>
        <w:t xml:space="preserve"> cancer than the overall rate (</w:t>
      </w:r>
      <w:r>
        <w:rPr>
          <w:rFonts w:cs="Arial"/>
          <w:color w:val="000000" w:themeColor="text1"/>
          <w:lang w:eastAsia="en-AU"/>
        </w:rPr>
        <w:t>126</w:t>
      </w:r>
      <w:r w:rsidRPr="00BC56E0">
        <w:rPr>
          <w:rFonts w:cs="Arial"/>
          <w:color w:val="000000" w:themeColor="text1"/>
          <w:lang w:eastAsia="en-AU"/>
        </w:rPr>
        <w:t xml:space="preserve"> per 100,000 population) for Victoria in 2017</w:t>
      </w:r>
      <w:r>
        <w:rPr>
          <w:rFonts w:cs="Arial"/>
          <w:color w:val="000000" w:themeColor="text1"/>
          <w:lang w:eastAsia="en-AU"/>
        </w:rPr>
        <w:t>. Towong Shire LGA reported the highest incidence rate (200 per 100,000 population) and Strathbogie Shire LGA the lowest (38 per 100,000 population) in 2017 (Figure 1.6.3).</w:t>
      </w:r>
      <w:r w:rsidR="004A4AD2">
        <w:rPr>
          <w:rFonts w:cs="Arial"/>
          <w:color w:val="000000" w:themeColor="text1"/>
          <w:lang w:eastAsia="en-AU"/>
        </w:rPr>
        <w:t xml:space="preserve"> </w:t>
      </w:r>
      <w:r>
        <w:rPr>
          <w:rFonts w:cs="Arial"/>
          <w:color w:val="000000" w:themeColor="text1"/>
          <w:lang w:eastAsia="en-AU"/>
        </w:rPr>
        <w:t xml:space="preserve">Overall, </w:t>
      </w:r>
      <w:r w:rsidRPr="00AB4A70">
        <w:rPr>
          <w:rFonts w:cs="Arial"/>
          <w:color w:val="000000" w:themeColor="text1"/>
          <w:lang w:eastAsia="en-AU"/>
        </w:rPr>
        <w:t xml:space="preserve">most of the 79 LGAs reported </w:t>
      </w:r>
      <w:r>
        <w:rPr>
          <w:rFonts w:cs="Arial"/>
          <w:color w:val="000000" w:themeColor="text1"/>
          <w:lang w:eastAsia="en-AU"/>
        </w:rPr>
        <w:t xml:space="preserve">very little variation in the incidence rate during the </w:t>
      </w:r>
      <w:r w:rsidR="00A41D84">
        <w:rPr>
          <w:rFonts w:cs="Arial"/>
          <w:color w:val="000000" w:themeColor="text1"/>
          <w:lang w:eastAsia="en-AU"/>
        </w:rPr>
        <w:t>study</w:t>
      </w:r>
      <w:r>
        <w:rPr>
          <w:rFonts w:cs="Arial"/>
          <w:color w:val="000000" w:themeColor="text1"/>
          <w:lang w:eastAsia="en-AU"/>
        </w:rPr>
        <w:t xml:space="preserve"> period.</w:t>
      </w:r>
      <w:r w:rsidR="004A4AD2">
        <w:rPr>
          <w:rFonts w:cs="Arial"/>
          <w:color w:val="000000" w:themeColor="text1"/>
          <w:lang w:eastAsia="en-AU"/>
        </w:rPr>
        <w:t xml:space="preserve"> </w:t>
      </w:r>
      <w:r>
        <w:rPr>
          <w:rFonts w:cs="Arial"/>
          <w:color w:val="000000" w:themeColor="text1"/>
          <w:lang w:eastAsia="en-AU"/>
        </w:rPr>
        <w:t>Nevertheless, Strathbogie Shire LGA showed the most significant change</w:t>
      </w:r>
      <w:r w:rsidR="0001449F">
        <w:rPr>
          <w:rFonts w:cs="Arial"/>
          <w:color w:val="000000" w:themeColor="text1"/>
          <w:lang w:eastAsia="en-AU"/>
        </w:rPr>
        <w:t>,</w:t>
      </w:r>
      <w:r>
        <w:rPr>
          <w:rFonts w:cs="Arial"/>
          <w:color w:val="000000" w:themeColor="text1"/>
          <w:lang w:eastAsia="en-AU"/>
        </w:rPr>
        <w:t xml:space="preserve"> with a decrease in the incidence rate from 1</w:t>
      </w:r>
      <w:r w:rsidR="0020710D">
        <w:rPr>
          <w:rFonts w:cs="Arial"/>
          <w:color w:val="000000" w:themeColor="text1"/>
          <w:lang w:eastAsia="en-AU"/>
        </w:rPr>
        <w:t>72</w:t>
      </w:r>
      <w:r>
        <w:rPr>
          <w:rFonts w:cs="Arial"/>
          <w:color w:val="000000" w:themeColor="text1"/>
          <w:lang w:eastAsia="en-AU"/>
        </w:rPr>
        <w:t xml:space="preserve"> per 100,000 population in 201</w:t>
      </w:r>
      <w:r w:rsidR="0020710D">
        <w:rPr>
          <w:rFonts w:cs="Arial"/>
          <w:color w:val="000000" w:themeColor="text1"/>
          <w:lang w:eastAsia="en-AU"/>
        </w:rPr>
        <w:t>4</w:t>
      </w:r>
      <w:r>
        <w:rPr>
          <w:rFonts w:cs="Arial"/>
          <w:color w:val="000000" w:themeColor="text1"/>
          <w:lang w:eastAsia="en-AU"/>
        </w:rPr>
        <w:t xml:space="preserve"> to </w:t>
      </w:r>
      <w:r w:rsidR="00A52641">
        <w:rPr>
          <w:rFonts w:cs="Arial"/>
          <w:color w:val="000000" w:themeColor="text1"/>
          <w:lang w:eastAsia="en-AU"/>
        </w:rPr>
        <w:t>38</w:t>
      </w:r>
      <w:r>
        <w:rPr>
          <w:rFonts w:cs="Arial"/>
          <w:color w:val="000000" w:themeColor="text1"/>
          <w:lang w:eastAsia="en-AU"/>
        </w:rPr>
        <w:t xml:space="preserve"> per 100,000 population in 2017.</w:t>
      </w:r>
    </w:p>
    <w:p w14:paraId="6FC4A3EE" w14:textId="031539F4" w:rsidR="009A2DF4" w:rsidRPr="0011089F" w:rsidRDefault="00F53BE0" w:rsidP="00A056D9">
      <w:pPr>
        <w:spacing w:after="120" w:line="270" w:lineRule="atLeast"/>
        <w:rPr>
          <w:rFonts w:ascii="Arial" w:hAnsi="Arial" w:cs="Arial"/>
        </w:rPr>
      </w:pPr>
      <w:r w:rsidRPr="00136923">
        <w:rPr>
          <w:rStyle w:val="DHHSbodyChar"/>
        </w:rPr>
        <w:t>While n</w:t>
      </w:r>
      <w:r w:rsidR="00136D74" w:rsidRPr="00136923">
        <w:rPr>
          <w:rStyle w:val="DHHSbodyChar"/>
        </w:rPr>
        <w:t xml:space="preserve">o target has been set for this measure </w:t>
      </w:r>
      <w:r w:rsidRPr="00136923">
        <w:rPr>
          <w:rStyle w:val="DHHSbodyChar"/>
        </w:rPr>
        <w:t xml:space="preserve">the overall </w:t>
      </w:r>
      <w:r w:rsidR="0029347E" w:rsidRPr="00136923">
        <w:rPr>
          <w:rStyle w:val="DHHSbodyChar"/>
        </w:rPr>
        <w:t>the age-standardised rate for female breast cancer has increased and is projected to increase</w:t>
      </w:r>
      <w:r w:rsidR="006D2416">
        <w:rPr>
          <w:rFonts w:ascii="Arial" w:hAnsi="Arial" w:cs="Arial"/>
        </w:rPr>
        <w:t xml:space="preserve">. </w:t>
      </w:r>
      <w:r w:rsidR="009A2DF4">
        <w:br w:type="page"/>
      </w:r>
    </w:p>
    <w:p w14:paraId="43244D39" w14:textId="196C1982" w:rsidR="00E8458B" w:rsidRDefault="00E8458B" w:rsidP="006624DA">
      <w:pPr>
        <w:pStyle w:val="Heading3"/>
        <w:rPr>
          <w:lang w:eastAsia="en-AU"/>
        </w:rPr>
      </w:pPr>
      <w:bookmarkStart w:id="175" w:name="_Measure_1.7_–"/>
      <w:bookmarkStart w:id="176" w:name="_Toc19008015"/>
      <w:bookmarkEnd w:id="175"/>
      <w:r>
        <w:rPr>
          <w:lang w:eastAsia="en-AU"/>
        </w:rPr>
        <w:lastRenderedPageBreak/>
        <w:t xml:space="preserve">Measure 1.7 – </w:t>
      </w:r>
      <w:r w:rsidR="006624DA">
        <w:rPr>
          <w:lang w:eastAsia="en-AU"/>
        </w:rPr>
        <w:t>Incidence of</w:t>
      </w:r>
      <w:r w:rsidR="00AF459A">
        <w:rPr>
          <w:lang w:eastAsia="en-AU"/>
        </w:rPr>
        <w:t xml:space="preserve"> </w:t>
      </w:r>
      <w:r w:rsidR="00436D4D">
        <w:rPr>
          <w:lang w:eastAsia="en-AU"/>
        </w:rPr>
        <w:t xml:space="preserve">cancer of the </w:t>
      </w:r>
      <w:r w:rsidR="00AF459A">
        <w:rPr>
          <w:lang w:eastAsia="en-AU"/>
        </w:rPr>
        <w:t>cervix</w:t>
      </w:r>
      <w:bookmarkEnd w:id="176"/>
      <w:r w:rsidR="00AF459A">
        <w:rPr>
          <w:lang w:eastAsia="en-AU"/>
        </w:rPr>
        <w:t xml:space="preserve"> </w:t>
      </w:r>
      <w:r w:rsidR="00436D4D">
        <w:rPr>
          <w:lang w:eastAsia="en-AU"/>
        </w:rPr>
        <w:t xml:space="preserve"> </w:t>
      </w:r>
    </w:p>
    <w:p w14:paraId="0C22082B" w14:textId="51876147" w:rsidR="008D4EED" w:rsidRDefault="008D4EED" w:rsidP="00036AD7">
      <w:pPr>
        <w:pStyle w:val="DHHSfigurecaption"/>
      </w:pPr>
      <w:bookmarkStart w:id="177" w:name="_Toc19008016"/>
      <w:bookmarkStart w:id="178" w:name="_Toc19008272"/>
      <w:bookmarkStart w:id="179" w:name="_Toc19008419"/>
      <w:bookmarkStart w:id="180" w:name="_Toc19008566"/>
      <w:bookmarkStart w:id="181" w:name="_Toc27414269"/>
      <w:r w:rsidRPr="00A8622F">
        <w:t>Figure 1.</w:t>
      </w:r>
      <w:r>
        <w:t>7</w:t>
      </w:r>
      <w:r w:rsidR="00E634E9">
        <w:t>:</w:t>
      </w:r>
      <w:r w:rsidRPr="00A8622F">
        <w:t xml:space="preserve"> </w:t>
      </w:r>
      <w:r>
        <w:t>I</w:t>
      </w:r>
      <w:r w:rsidRPr="00A8622F">
        <w:t xml:space="preserve">ncidence </w:t>
      </w:r>
      <w:r>
        <w:t xml:space="preserve">of </w:t>
      </w:r>
      <w:r w:rsidRPr="00A8622F">
        <w:t>cancer</w:t>
      </w:r>
      <w:r w:rsidR="00436D4D">
        <w:t xml:space="preserve"> of the cervix</w:t>
      </w:r>
      <w:r w:rsidRPr="00A8622F">
        <w:t xml:space="preserve"> </w:t>
      </w:r>
      <w:r>
        <w:t xml:space="preserve">in Victoria </w:t>
      </w:r>
      <w:r w:rsidRPr="00A8622F">
        <w:t xml:space="preserve">per 100,000 standardised to the </w:t>
      </w:r>
      <w:r>
        <w:t xml:space="preserve">2001 </w:t>
      </w:r>
      <w:r w:rsidRPr="00A8622F">
        <w:t>Australian population, by year of diagnosis, 201</w:t>
      </w:r>
      <w:r w:rsidR="005173F9">
        <w:t>4</w:t>
      </w:r>
      <w:r w:rsidRPr="00A8622F">
        <w:t xml:space="preserve"> and 201</w:t>
      </w:r>
      <w:r>
        <w:t>7</w:t>
      </w:r>
      <w:bookmarkEnd w:id="177"/>
      <w:bookmarkEnd w:id="178"/>
      <w:bookmarkEnd w:id="179"/>
      <w:bookmarkEnd w:id="180"/>
      <w:bookmarkEnd w:id="181"/>
    </w:p>
    <w:p w14:paraId="51ABC5DF" w14:textId="5725BD33" w:rsidR="008C4D5C" w:rsidRPr="008C4D5C" w:rsidRDefault="008C4D5C" w:rsidP="008C4D5C">
      <w:pPr>
        <w:pStyle w:val="DHHSbody"/>
      </w:pPr>
      <w:r>
        <w:rPr>
          <w:noProof/>
        </w:rPr>
        <w:drawing>
          <wp:inline distT="0" distB="0" distL="0" distR="0" wp14:anchorId="01160712" wp14:editId="63822A00">
            <wp:extent cx="6742126" cy="6825343"/>
            <wp:effectExtent l="0" t="0" r="1905" b="0"/>
            <wp:docPr id="318" name="Picture 318" descr="This figure shows a data summary of 'Measure 1.7 – Incidence of cancer of the cervix'. The data set is available under 'Measure 1.7 – Incidence of cancer of the cervix'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748418" cy="6831712"/>
                    </a:xfrm>
                    <a:prstGeom prst="rect">
                      <a:avLst/>
                    </a:prstGeom>
                    <a:noFill/>
                    <a:ln>
                      <a:noFill/>
                    </a:ln>
                  </pic:spPr>
                </pic:pic>
              </a:graphicData>
            </a:graphic>
          </wp:inline>
        </w:drawing>
      </w:r>
    </w:p>
    <w:p w14:paraId="66D3278C" w14:textId="77777777" w:rsidR="0020440A" w:rsidRDefault="009A2DF4" w:rsidP="00FA1AAC">
      <w:pPr>
        <w:pStyle w:val="DHHStablefigurenote"/>
      </w:pPr>
      <w:r w:rsidRPr="003F5C49">
        <w:t>Note:</w:t>
      </w:r>
      <w:r w:rsidR="00250B73">
        <w:t xml:space="preserve"> </w:t>
      </w:r>
      <w:r>
        <w:t>R</w:t>
      </w:r>
      <w:r w:rsidRPr="003F5C49">
        <w:t>esults by</w:t>
      </w:r>
      <w:r w:rsidR="0011089F">
        <w:t xml:space="preserve"> cultural diversity</w:t>
      </w:r>
      <w:r w:rsidRPr="003F5C49">
        <w:t xml:space="preserve"> </w:t>
      </w:r>
      <w:r>
        <w:t xml:space="preserve">are not presented </w:t>
      </w:r>
      <w:r w:rsidR="005D072A">
        <w:t>because</w:t>
      </w:r>
      <w:r w:rsidR="005D072A" w:rsidRPr="003F5C49" w:rsidDel="005D072A">
        <w:t xml:space="preserve"> </w:t>
      </w:r>
      <w:r w:rsidRPr="003F5C49">
        <w:t>the ERP does not estimate the population by</w:t>
      </w:r>
      <w:r w:rsidR="0011089F">
        <w:t xml:space="preserve"> cultural diversity</w:t>
      </w:r>
      <w:r w:rsidRPr="003F5C49">
        <w:t xml:space="preserve">, hence </w:t>
      </w:r>
      <w:r>
        <w:t>there is no</w:t>
      </w:r>
      <w:r w:rsidRPr="003F5C49">
        <w:t xml:space="preserve"> denominator for this variable.</w:t>
      </w:r>
    </w:p>
    <w:p w14:paraId="07773C52" w14:textId="4DA117AD" w:rsidR="00A76E50" w:rsidRPr="0011089F" w:rsidRDefault="0020440A" w:rsidP="00FA1AAC">
      <w:pPr>
        <w:pStyle w:val="DHHStablefigurenote"/>
      </w:pPr>
      <w:r w:rsidRPr="00D53842">
        <w:rPr>
          <w:color w:val="000000"/>
        </w:rPr>
        <w:t>Appendix 2 provides the dataset.</w:t>
      </w:r>
      <w:r w:rsidR="00A76E50">
        <w:br w:type="page"/>
      </w:r>
    </w:p>
    <w:p w14:paraId="0D981790" w14:textId="570E0FF7" w:rsidR="00A76E50" w:rsidRDefault="00A76E50" w:rsidP="00036AD7">
      <w:pPr>
        <w:pStyle w:val="DHHSfigurecaption"/>
      </w:pPr>
      <w:bookmarkStart w:id="182" w:name="_Toc19008017"/>
      <w:bookmarkStart w:id="183" w:name="_Toc19008273"/>
      <w:bookmarkStart w:id="184" w:name="_Toc19008420"/>
      <w:bookmarkStart w:id="185" w:name="_Toc19008567"/>
      <w:bookmarkStart w:id="186" w:name="_Toc27414270"/>
      <w:r>
        <w:rPr>
          <w:lang w:eastAsia="en-AU"/>
        </w:rPr>
        <w:lastRenderedPageBreak/>
        <w:t>Figure 1.7.1</w:t>
      </w:r>
      <w:r w:rsidR="00E634E9">
        <w:rPr>
          <w:lang w:eastAsia="en-AU"/>
        </w:rPr>
        <w:t>:</w:t>
      </w:r>
      <w:r w:rsidRPr="006378D2">
        <w:rPr>
          <w:lang w:eastAsia="en-AU"/>
        </w:rPr>
        <w:t xml:space="preserve"> Incidence of cancer</w:t>
      </w:r>
      <w:r w:rsidR="00436D4D">
        <w:rPr>
          <w:lang w:eastAsia="en-AU"/>
        </w:rPr>
        <w:t xml:space="preserve"> of the cervix</w:t>
      </w:r>
      <w:r>
        <w:rPr>
          <w:lang w:eastAsia="en-AU"/>
        </w:rPr>
        <w:t xml:space="preserve"> 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0031077F">
        <w:t xml:space="preserve"> and</w:t>
      </w:r>
      <w:r w:rsidRPr="006378D2">
        <w:t xml:space="preserve"> </w:t>
      </w:r>
      <w:r>
        <w:t xml:space="preserve">year, </w:t>
      </w:r>
      <w:r w:rsidRPr="006378D2">
        <w:t>20</w:t>
      </w:r>
      <w:r>
        <w:t>1</w:t>
      </w:r>
      <w:r w:rsidR="008C4D5C">
        <w:t>4</w:t>
      </w:r>
      <w:r>
        <w:t xml:space="preserve"> and 2017</w:t>
      </w:r>
      <w:bookmarkEnd w:id="182"/>
      <w:bookmarkEnd w:id="183"/>
      <w:bookmarkEnd w:id="184"/>
      <w:bookmarkEnd w:id="185"/>
      <w:bookmarkEnd w:id="186"/>
    </w:p>
    <w:p w14:paraId="6BD5AD47" w14:textId="393DED7D" w:rsidR="000C0D69" w:rsidRPr="000C0D69" w:rsidRDefault="005C68DF" w:rsidP="004C11EB">
      <w:pPr>
        <w:pStyle w:val="DHHSbody"/>
      </w:pPr>
      <w:r>
        <w:rPr>
          <w:noProof/>
        </w:rPr>
        <w:drawing>
          <wp:inline distT="0" distB="0" distL="0" distR="0" wp14:anchorId="2B648C8E" wp14:editId="372D7D5D">
            <wp:extent cx="6748780" cy="3164205"/>
            <wp:effectExtent l="0" t="0" r="0" b="0"/>
            <wp:docPr id="52" name="Picture 52" descr="This figure (bar graph) presents the incidence of cancer of the cervix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48780" cy="3164205"/>
                    </a:xfrm>
                    <a:prstGeom prst="rect">
                      <a:avLst/>
                    </a:prstGeom>
                    <a:noFill/>
                  </pic:spPr>
                </pic:pic>
              </a:graphicData>
            </a:graphic>
          </wp:inline>
        </w:drawing>
      </w:r>
    </w:p>
    <w:p w14:paraId="3EA119A2" w14:textId="230D1CD2" w:rsidR="00B1404A" w:rsidRDefault="00B1404A" w:rsidP="00036AD7">
      <w:pPr>
        <w:pStyle w:val="DHHSfigurecaption"/>
      </w:pPr>
      <w:bookmarkStart w:id="187" w:name="_Toc19008018"/>
      <w:bookmarkStart w:id="188" w:name="_Toc19008274"/>
      <w:bookmarkStart w:id="189" w:name="_Toc19008421"/>
      <w:bookmarkStart w:id="190" w:name="_Toc19008568"/>
      <w:bookmarkStart w:id="191" w:name="_Toc27414271"/>
      <w:r>
        <w:t>Figure 1.7.2</w:t>
      </w:r>
      <w:r w:rsidR="00E634E9">
        <w:t>:</w:t>
      </w:r>
      <w:r w:rsidRPr="00AB6486">
        <w:t xml:space="preserve"> Incidence of</w:t>
      </w:r>
      <w:r w:rsidR="00436D4D">
        <w:t xml:space="preserve"> cancer of the</w:t>
      </w:r>
      <w:r w:rsidRPr="00AB6486">
        <w:t xml:space="preserve"> </w:t>
      </w:r>
      <w:r>
        <w:t>cervix</w:t>
      </w:r>
      <w:r w:rsidRPr="00AB6486">
        <w:t xml:space="preserve"> </w:t>
      </w:r>
      <w:r>
        <w:t xml:space="preserve">in Victoria </w:t>
      </w:r>
      <w:r w:rsidRPr="00AB6486">
        <w:t xml:space="preserve">per 100,000 standardised to the 2001 Australian population, by Victorian </w:t>
      </w:r>
      <w:r w:rsidR="005D072A">
        <w:t>LGA</w:t>
      </w:r>
      <w:r>
        <w:t>, 201</w:t>
      </w:r>
      <w:bookmarkEnd w:id="187"/>
      <w:bookmarkEnd w:id="188"/>
      <w:bookmarkEnd w:id="189"/>
      <w:bookmarkEnd w:id="190"/>
      <w:r w:rsidR="0075514D">
        <w:t>4</w:t>
      </w:r>
      <w:bookmarkEnd w:id="191"/>
    </w:p>
    <w:p w14:paraId="09D9762C" w14:textId="0739CBDC" w:rsidR="00DB4F90" w:rsidRPr="0075514D" w:rsidRDefault="00AA1BFB" w:rsidP="0075514D">
      <w:pPr>
        <w:pStyle w:val="DHHSbody"/>
      </w:pPr>
      <w:r>
        <w:rPr>
          <w:noProof/>
        </w:rPr>
        <w:drawing>
          <wp:inline distT="0" distB="0" distL="0" distR="0" wp14:anchorId="42320744" wp14:editId="2228AE7E">
            <wp:extent cx="6750050" cy="4693583"/>
            <wp:effectExtent l="0" t="0" r="0" b="0"/>
            <wp:docPr id="262" name="Picture 262" descr="This figure shows a map of Victoria showing the highest reported rate of cancer of the cervix in 2014 is in the Strathbogie Shire Council and the lowest reported rate is in the Glen Eira, Melbourne, Stonnington, Yarra and Knox City Councils. The data set is available under 'Measure 1.7 – Incidence of cancer of the cervix'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766552" cy="4705058"/>
                    </a:xfrm>
                    <a:prstGeom prst="rect">
                      <a:avLst/>
                    </a:prstGeom>
                  </pic:spPr>
                </pic:pic>
              </a:graphicData>
            </a:graphic>
          </wp:inline>
        </w:drawing>
      </w:r>
      <w:r w:rsidR="00DB4F90">
        <w:rPr>
          <w:rFonts w:cs="Arial"/>
          <w:b/>
        </w:rPr>
        <w:br w:type="page"/>
      </w:r>
    </w:p>
    <w:p w14:paraId="3EA02A1A" w14:textId="145475F9" w:rsidR="00B1404A" w:rsidRDefault="00B1404A" w:rsidP="00036AD7">
      <w:pPr>
        <w:pStyle w:val="DHHSfigurecaption"/>
      </w:pPr>
      <w:bookmarkStart w:id="192" w:name="_Toc19008019"/>
      <w:bookmarkStart w:id="193" w:name="_Toc19008275"/>
      <w:bookmarkStart w:id="194" w:name="_Toc19008422"/>
      <w:bookmarkStart w:id="195" w:name="_Toc19008569"/>
      <w:bookmarkStart w:id="196" w:name="_Toc27414272"/>
      <w:r>
        <w:lastRenderedPageBreak/>
        <w:t>Figure 1.7.3</w:t>
      </w:r>
      <w:r w:rsidR="00E634E9">
        <w:t>:</w:t>
      </w:r>
      <w:r w:rsidRPr="00AB6486">
        <w:t xml:space="preserve"> Incidence of cancer</w:t>
      </w:r>
      <w:r w:rsidR="00436D4D">
        <w:t xml:space="preserve"> of the cervix</w:t>
      </w:r>
      <w:r w:rsidRPr="00AB6486">
        <w:t xml:space="preserve"> </w:t>
      </w:r>
      <w:r>
        <w:t xml:space="preserve">in Victoria </w:t>
      </w:r>
      <w:r w:rsidRPr="00AB6486">
        <w:t xml:space="preserve">per 100,000 standardised to the 2001 Australian population, by Victorian </w:t>
      </w:r>
      <w:r w:rsidR="005D072A">
        <w:t>LGA</w:t>
      </w:r>
      <w:r>
        <w:t>, 2017</w:t>
      </w:r>
      <w:bookmarkEnd w:id="192"/>
      <w:bookmarkEnd w:id="193"/>
      <w:bookmarkEnd w:id="194"/>
      <w:bookmarkEnd w:id="195"/>
      <w:bookmarkEnd w:id="196"/>
    </w:p>
    <w:p w14:paraId="073E80BE" w14:textId="10290252" w:rsidR="0091150B" w:rsidRPr="0091150B" w:rsidRDefault="0091150B" w:rsidP="0091150B">
      <w:pPr>
        <w:pStyle w:val="DHHSbody"/>
      </w:pPr>
      <w:r>
        <w:rPr>
          <w:noProof/>
        </w:rPr>
        <w:drawing>
          <wp:inline distT="0" distB="0" distL="0" distR="0" wp14:anchorId="104AC20F" wp14:editId="75EA8D16">
            <wp:extent cx="6750685" cy="4599940"/>
            <wp:effectExtent l="0" t="0" r="0" b="0"/>
            <wp:docPr id="83" name="Picture 83" descr="This figure shows a map of Victoria showing the highest reported rate of cancer of the cervix in 2017 is in the Buloke Shire Council and the lowest reported rate is in the Bayside City Council. The data set is available under 'Measure 1.7 – Incidence of cancer of the cervix'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750685" cy="4599940"/>
                    </a:xfrm>
                    <a:prstGeom prst="rect">
                      <a:avLst/>
                    </a:prstGeom>
                  </pic:spPr>
                </pic:pic>
              </a:graphicData>
            </a:graphic>
          </wp:inline>
        </w:drawing>
      </w:r>
    </w:p>
    <w:p w14:paraId="3B5AFB74" w14:textId="634B9CFA" w:rsidR="00665D4B" w:rsidRPr="0078684F" w:rsidRDefault="00665D4B" w:rsidP="0078684F">
      <w:pPr>
        <w:pStyle w:val="DHHStabletext"/>
        <w:rPr>
          <w:rFonts w:cs="Arial"/>
          <w:b/>
        </w:rPr>
      </w:pPr>
      <w:r w:rsidRPr="00D137C8">
        <w:rPr>
          <w:rStyle w:val="Heading4Char"/>
        </w:rPr>
        <w:t>Measure assessment</w:t>
      </w:r>
    </w:p>
    <w:p w14:paraId="2D68AF32" w14:textId="66D20426" w:rsidR="003E5FD3" w:rsidRPr="0078684F" w:rsidRDefault="003E5FD3" w:rsidP="0078684F">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AC3576"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77F0D684" w14:textId="21F62423" w:rsidR="003E5FD3" w:rsidRPr="003E5FD3" w:rsidRDefault="003E5FD3" w:rsidP="0078684F">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AC3576">
        <w:rPr>
          <w:rFonts w:ascii="Arial" w:hAnsi="Arial" w:cs="Arial"/>
        </w:rPr>
        <w:t>Static o</w:t>
      </w:r>
      <w:r w:rsidR="00E80F1E">
        <w:rPr>
          <w:rFonts w:ascii="Arial" w:hAnsi="Arial" w:cs="Arial"/>
        </w:rPr>
        <w:t>r</w:t>
      </w:r>
      <w:r w:rsidR="00AC3576">
        <w:rPr>
          <w:rFonts w:ascii="Arial" w:hAnsi="Arial" w:cs="Arial"/>
        </w:rPr>
        <w:t xml:space="preserve"> unchanging</w:t>
      </w:r>
    </w:p>
    <w:p w14:paraId="5653B21D" w14:textId="68D2B6E2" w:rsidR="00750734" w:rsidRPr="00C91D37" w:rsidRDefault="0081425D" w:rsidP="0078684F">
      <w:pPr>
        <w:pStyle w:val="DHHSbody"/>
        <w:rPr>
          <w:rFonts w:cs="Arial"/>
          <w:lang w:eastAsia="en-AU"/>
        </w:rPr>
      </w:pPr>
      <w:r w:rsidRPr="00C91D37">
        <w:rPr>
          <w:lang w:eastAsia="en-AU"/>
        </w:rPr>
        <w:t xml:space="preserve">Commentary: </w:t>
      </w:r>
      <w:r w:rsidR="00577070">
        <w:rPr>
          <w:lang w:eastAsia="en-AU"/>
        </w:rPr>
        <w:t xml:space="preserve">The majority of </w:t>
      </w:r>
      <w:r w:rsidR="00A41D84">
        <w:rPr>
          <w:lang w:eastAsia="en-AU"/>
        </w:rPr>
        <w:t>cancer</w:t>
      </w:r>
      <w:r w:rsidR="00577070">
        <w:rPr>
          <w:lang w:eastAsia="en-AU"/>
        </w:rPr>
        <w:t>s</w:t>
      </w:r>
      <w:r w:rsidR="00436D4D">
        <w:rPr>
          <w:lang w:eastAsia="en-AU"/>
        </w:rPr>
        <w:t xml:space="preserve"> of the cervix</w:t>
      </w:r>
      <w:r w:rsidR="00A41D84">
        <w:rPr>
          <w:lang w:eastAsia="en-AU"/>
        </w:rPr>
        <w:t xml:space="preserve"> </w:t>
      </w:r>
      <w:r w:rsidR="00577070">
        <w:rPr>
          <w:lang w:eastAsia="en-AU"/>
        </w:rPr>
        <w:t xml:space="preserve">are </w:t>
      </w:r>
      <w:r w:rsidR="00A41D84">
        <w:rPr>
          <w:lang w:eastAsia="en-AU"/>
        </w:rPr>
        <w:t>preventable.</w:t>
      </w:r>
      <w:r w:rsidR="00952FC7">
        <w:rPr>
          <w:lang w:eastAsia="en-AU"/>
        </w:rPr>
        <w:t xml:space="preserve"> </w:t>
      </w:r>
      <w:r w:rsidR="00A41D84">
        <w:rPr>
          <w:lang w:eastAsia="en-AU"/>
        </w:rPr>
        <w:t>Nevertheless, w</w:t>
      </w:r>
      <w:r w:rsidR="000D6D4B" w:rsidRPr="00C91D37">
        <w:rPr>
          <w:lang w:eastAsia="en-AU"/>
        </w:rPr>
        <w:t>ith an estimated 570,000 cases and 311,000 deaths in 2018 globally, this disease ranks as the fourth most frequently diagnosed cancer and the fourth leading cause of cancer death in women.</w:t>
      </w:r>
      <w:r w:rsidR="000D6D4B" w:rsidRPr="00C91D37">
        <w:rPr>
          <w:rStyle w:val="FootnoteReference"/>
          <w:lang w:eastAsia="en-AU"/>
        </w:rPr>
        <w:footnoteReference w:id="27"/>
      </w:r>
      <w:r w:rsidR="000D6D4B" w:rsidRPr="00C91D37">
        <w:rPr>
          <w:lang w:eastAsia="en-AU"/>
        </w:rPr>
        <w:t xml:space="preserve"> HPV is recognised as the </w:t>
      </w:r>
      <w:r w:rsidR="00AC3576" w:rsidRPr="00C91D37">
        <w:rPr>
          <w:lang w:eastAsia="en-AU"/>
        </w:rPr>
        <w:t xml:space="preserve">main </w:t>
      </w:r>
      <w:r w:rsidR="000D6D4B" w:rsidRPr="00C91D37">
        <w:rPr>
          <w:lang w:eastAsia="en-AU"/>
        </w:rPr>
        <w:t>cause of cervical cancer, with 12 oncogenic types classified as group 1 carcinogens by the International Agency for Cancer Research (IARC) Monographs.</w:t>
      </w:r>
      <w:r w:rsidR="000D6D4B" w:rsidRPr="00C91D37">
        <w:rPr>
          <w:rStyle w:val="FootnoteReference"/>
          <w:lang w:eastAsia="en-AU"/>
        </w:rPr>
        <w:footnoteReference w:id="28"/>
      </w:r>
      <w:r w:rsidR="00AC3576" w:rsidRPr="00C91D37">
        <w:rPr>
          <w:lang w:eastAsia="en-AU"/>
        </w:rPr>
        <w:t xml:space="preserve"> </w:t>
      </w:r>
      <w:r w:rsidR="00AC3576" w:rsidRPr="00C91D37">
        <w:rPr>
          <w:rFonts w:cs="Arial"/>
          <w:lang w:eastAsia="en-AU"/>
        </w:rPr>
        <w:t>In Australia</w:t>
      </w:r>
      <w:r w:rsidR="00AB2A9B">
        <w:rPr>
          <w:rFonts w:cs="Arial"/>
          <w:lang w:eastAsia="en-AU"/>
        </w:rPr>
        <w:t>,</w:t>
      </w:r>
      <w:r w:rsidR="00AC3576" w:rsidRPr="00C91D37">
        <w:rPr>
          <w:rFonts w:cs="Arial"/>
          <w:lang w:eastAsia="en-AU"/>
        </w:rPr>
        <w:t xml:space="preserve"> </w:t>
      </w:r>
      <w:r w:rsidR="00C13345" w:rsidRPr="00C91D37">
        <w:rPr>
          <w:rFonts w:cs="Arial"/>
          <w:lang w:eastAsia="en-AU"/>
        </w:rPr>
        <w:t>cervical</w:t>
      </w:r>
      <w:r w:rsidR="00750734" w:rsidRPr="00C91D37">
        <w:rPr>
          <w:rFonts w:cs="Arial"/>
          <w:lang w:eastAsia="en-AU"/>
        </w:rPr>
        <w:t xml:space="preserve"> cancer </w:t>
      </w:r>
      <w:r w:rsidR="00750734" w:rsidRPr="00C91D37">
        <w:rPr>
          <w:rFonts w:cs="Arial"/>
          <w:lang w:val="en"/>
        </w:rPr>
        <w:t>was the 14th most commonly diagnosed cancer among females in 2015 and in 2019 is estimated to remain the 14th most commonly diagnosed cancer among females.</w:t>
      </w:r>
      <w:r w:rsidR="00750734" w:rsidRPr="00C91D37">
        <w:rPr>
          <w:rFonts w:cs="Arial"/>
          <w:lang w:eastAsia="en-AU"/>
        </w:rPr>
        <w:t xml:space="preserve"> </w:t>
      </w:r>
      <w:r w:rsidR="00750734" w:rsidRPr="00C91D37">
        <w:rPr>
          <w:rFonts w:cs="Arial"/>
          <w:lang w:val="en"/>
        </w:rPr>
        <w:t>In 2015, the age-standardised incidence rate was 6.9 cases per 100,000 females. This age-standardised incidence rate is estimated to increase to 7.2 cases per 100,000 females in 2019.</w:t>
      </w:r>
      <w:r w:rsidR="00750734" w:rsidRPr="00C91D37">
        <w:rPr>
          <w:rStyle w:val="FootnoteReference"/>
          <w:rFonts w:cs="Arial"/>
          <w:lang w:val="en"/>
        </w:rPr>
        <w:footnoteReference w:id="29"/>
      </w:r>
    </w:p>
    <w:p w14:paraId="204B0001" w14:textId="152BD55D" w:rsidR="007062AE" w:rsidRDefault="00686CB6" w:rsidP="002E4CC2">
      <w:pPr>
        <w:pStyle w:val="DHHSbody"/>
        <w:rPr>
          <w:rFonts w:cs="Arial"/>
          <w:lang w:val="en" w:eastAsia="en-NZ"/>
        </w:rPr>
      </w:pPr>
      <w:r w:rsidRPr="00C91D37">
        <w:rPr>
          <w:rFonts w:cs="Arial"/>
          <w:lang w:eastAsia="en-AU"/>
        </w:rPr>
        <w:t>In Victoria</w:t>
      </w:r>
      <w:r w:rsidR="006E2C2B">
        <w:rPr>
          <w:rFonts w:cs="Arial"/>
          <w:lang w:eastAsia="en-AU"/>
        </w:rPr>
        <w:t>,</w:t>
      </w:r>
      <w:r w:rsidRPr="00C91D37">
        <w:rPr>
          <w:rFonts w:cs="Arial"/>
          <w:lang w:eastAsia="en-AU"/>
        </w:rPr>
        <w:t xml:space="preserve"> the </w:t>
      </w:r>
      <w:r w:rsidRPr="00C91D37">
        <w:rPr>
          <w:rFonts w:cs="Arial"/>
          <w:lang w:val="en"/>
        </w:rPr>
        <w:t>number of annual cervical cancer diagnoses</w:t>
      </w:r>
      <w:r w:rsidR="004B16FB" w:rsidRPr="00C91D37">
        <w:rPr>
          <w:rFonts w:cs="Arial"/>
          <w:lang w:val="en"/>
        </w:rPr>
        <w:t>,</w:t>
      </w:r>
      <w:r w:rsidRPr="00C91D37">
        <w:rPr>
          <w:rFonts w:cs="Arial"/>
          <w:lang w:val="en"/>
        </w:rPr>
        <w:t xml:space="preserve"> while low</w:t>
      </w:r>
      <w:r w:rsidR="004B16FB" w:rsidRPr="00C91D37">
        <w:rPr>
          <w:rFonts w:cs="Arial"/>
          <w:lang w:val="en"/>
        </w:rPr>
        <w:t>,</w:t>
      </w:r>
      <w:r w:rsidRPr="00C91D37">
        <w:rPr>
          <w:rFonts w:cs="Arial"/>
          <w:lang w:val="en"/>
        </w:rPr>
        <w:t xml:space="preserve"> initially increased from 18</w:t>
      </w:r>
      <w:r w:rsidR="00805F9C">
        <w:rPr>
          <w:rFonts w:cs="Arial"/>
          <w:lang w:val="en"/>
        </w:rPr>
        <w:t>1</w:t>
      </w:r>
      <w:r w:rsidRPr="00C91D37">
        <w:rPr>
          <w:rFonts w:cs="Arial"/>
          <w:lang w:val="en"/>
        </w:rPr>
        <w:t xml:space="preserve"> in 201</w:t>
      </w:r>
      <w:r w:rsidR="00805F9C">
        <w:rPr>
          <w:rFonts w:cs="Arial"/>
          <w:lang w:val="en"/>
        </w:rPr>
        <w:t>4</w:t>
      </w:r>
      <w:r w:rsidRPr="00C91D37">
        <w:rPr>
          <w:rFonts w:cs="Arial"/>
          <w:lang w:val="en"/>
        </w:rPr>
        <w:t xml:space="preserve"> to 203 in 2017</w:t>
      </w:r>
      <w:r w:rsidR="00805F9C">
        <w:rPr>
          <w:rFonts w:cs="Arial"/>
          <w:lang w:val="en"/>
        </w:rPr>
        <w:t xml:space="preserve"> - see Appendix 2)</w:t>
      </w:r>
      <w:r w:rsidRPr="00C91D37">
        <w:rPr>
          <w:rFonts w:cs="Arial"/>
          <w:lang w:val="en"/>
        </w:rPr>
        <w:t xml:space="preserve">. </w:t>
      </w:r>
      <w:r w:rsidR="00C13345" w:rsidRPr="00C91D37">
        <w:rPr>
          <w:rFonts w:cs="Arial"/>
          <w:lang w:val="en" w:eastAsia="en-NZ"/>
        </w:rPr>
        <w:t xml:space="preserve">The age-standardised incidence rate per 100,000 females </w:t>
      </w:r>
      <w:r w:rsidRPr="00C91D37">
        <w:rPr>
          <w:rFonts w:cs="Arial"/>
          <w:lang w:val="en" w:eastAsia="en-NZ"/>
        </w:rPr>
        <w:t xml:space="preserve">remained </w:t>
      </w:r>
      <w:r w:rsidR="00805F9C">
        <w:rPr>
          <w:rFonts w:cs="Arial"/>
          <w:lang w:val="en" w:eastAsia="en-NZ"/>
        </w:rPr>
        <w:t xml:space="preserve">largely </w:t>
      </w:r>
      <w:r w:rsidRPr="00C91D37">
        <w:rPr>
          <w:rFonts w:cs="Arial"/>
          <w:lang w:val="en" w:eastAsia="en-NZ"/>
        </w:rPr>
        <w:t>the same in both 201</w:t>
      </w:r>
      <w:r w:rsidR="00805F9C">
        <w:rPr>
          <w:rFonts w:cs="Arial"/>
          <w:lang w:val="en" w:eastAsia="en-NZ"/>
        </w:rPr>
        <w:t>4</w:t>
      </w:r>
      <w:r w:rsidRPr="00C91D37">
        <w:rPr>
          <w:rFonts w:cs="Arial"/>
          <w:lang w:val="en" w:eastAsia="en-NZ"/>
        </w:rPr>
        <w:t xml:space="preserve"> and 2017 </w:t>
      </w:r>
      <w:r w:rsidR="00952E74">
        <w:rPr>
          <w:rFonts w:cs="Arial"/>
          <w:lang w:val="en" w:eastAsia="en-NZ"/>
        </w:rPr>
        <w:t>(</w:t>
      </w:r>
      <w:r w:rsidR="00805F9C">
        <w:rPr>
          <w:rFonts w:cs="Arial"/>
          <w:lang w:val="en" w:eastAsia="en-NZ"/>
        </w:rPr>
        <w:t xml:space="preserve">6 to 6.3 </w:t>
      </w:r>
      <w:r w:rsidR="00952E74">
        <w:rPr>
          <w:rFonts w:cs="Arial"/>
          <w:lang w:val="en" w:eastAsia="en-NZ"/>
        </w:rPr>
        <w:t xml:space="preserve">per 100, 000 female population </w:t>
      </w:r>
      <w:r w:rsidR="00B5106E">
        <w:rPr>
          <w:rFonts w:cs="Arial"/>
          <w:lang w:val="en" w:eastAsia="en-NZ"/>
        </w:rPr>
        <w:t>– see</w:t>
      </w:r>
      <w:r w:rsidR="00952E74">
        <w:rPr>
          <w:rFonts w:cs="Arial"/>
          <w:lang w:val="en" w:eastAsia="en-NZ"/>
        </w:rPr>
        <w:t xml:space="preserve"> </w:t>
      </w:r>
      <w:r w:rsidRPr="00C91D37">
        <w:rPr>
          <w:rFonts w:cs="Arial"/>
          <w:lang w:val="en" w:eastAsia="en-NZ"/>
        </w:rPr>
        <w:t>Figure 1.7)</w:t>
      </w:r>
      <w:r w:rsidR="002E4CC2" w:rsidRPr="00C91D37">
        <w:rPr>
          <w:rFonts w:cs="Arial"/>
          <w:lang w:val="en" w:eastAsia="en-NZ"/>
        </w:rPr>
        <w:t>.</w:t>
      </w:r>
      <w:r w:rsidR="00C13345" w:rsidRPr="00C91D37">
        <w:rPr>
          <w:rFonts w:cs="Arial"/>
          <w:lang w:val="en" w:eastAsia="en-NZ"/>
        </w:rPr>
        <w:t xml:space="preserve"> </w:t>
      </w:r>
      <w:r w:rsidR="004B16FB" w:rsidRPr="00C91D37">
        <w:rPr>
          <w:rFonts w:cs="Arial"/>
          <w:lang w:val="en" w:eastAsia="en-NZ"/>
        </w:rPr>
        <w:t xml:space="preserve">There </w:t>
      </w:r>
      <w:r w:rsidR="00E07C5F" w:rsidRPr="00C91D37">
        <w:rPr>
          <w:rFonts w:cs="Arial"/>
          <w:lang w:val="en" w:eastAsia="en-NZ"/>
        </w:rPr>
        <w:t>was a</w:t>
      </w:r>
      <w:r w:rsidR="00072ECF">
        <w:rPr>
          <w:rFonts w:cs="Arial"/>
          <w:lang w:val="en" w:eastAsia="en-NZ"/>
        </w:rPr>
        <w:t xml:space="preserve">n </w:t>
      </w:r>
      <w:r w:rsidR="004B16FB" w:rsidRPr="00C91D37">
        <w:rPr>
          <w:rFonts w:cs="Arial"/>
          <w:lang w:val="en" w:eastAsia="en-NZ"/>
        </w:rPr>
        <w:t xml:space="preserve">association between the age-standardised incidence rate and </w:t>
      </w:r>
      <w:r w:rsidR="00DE7FFE">
        <w:rPr>
          <w:rFonts w:cs="Arial"/>
          <w:lang w:val="en" w:eastAsia="en-NZ"/>
        </w:rPr>
        <w:t>SES</w:t>
      </w:r>
      <w:r w:rsidR="00B5106E">
        <w:rPr>
          <w:rFonts w:cs="Arial"/>
          <w:lang w:val="en" w:eastAsia="en-NZ"/>
        </w:rPr>
        <w:t>,</w:t>
      </w:r>
      <w:r w:rsidR="00E07C5F" w:rsidRPr="00C91D37">
        <w:rPr>
          <w:rFonts w:cs="Arial"/>
          <w:lang w:val="en" w:eastAsia="en-NZ"/>
        </w:rPr>
        <w:t xml:space="preserve"> with higher incidence rates observed for SES 1 (most disadvantaged) compared </w:t>
      </w:r>
      <w:r w:rsidR="001B50BF">
        <w:rPr>
          <w:rFonts w:cs="Arial"/>
          <w:lang w:val="en" w:eastAsia="en-NZ"/>
        </w:rPr>
        <w:lastRenderedPageBreak/>
        <w:t>with</w:t>
      </w:r>
      <w:r w:rsidR="001B50BF" w:rsidRPr="00C91D37">
        <w:rPr>
          <w:rFonts w:cs="Arial"/>
          <w:lang w:val="en" w:eastAsia="en-NZ"/>
        </w:rPr>
        <w:t xml:space="preserve"> </w:t>
      </w:r>
      <w:r w:rsidR="00E07C5F" w:rsidRPr="00C91D37">
        <w:rPr>
          <w:rFonts w:cs="Arial"/>
          <w:lang w:val="en" w:eastAsia="en-NZ"/>
        </w:rPr>
        <w:t>SES 5 (least disadvantaged)</w:t>
      </w:r>
      <w:r w:rsidR="00B5106E">
        <w:rPr>
          <w:rFonts w:cs="Arial"/>
          <w:lang w:val="en" w:eastAsia="en-NZ"/>
        </w:rPr>
        <w:t>,</w:t>
      </w:r>
      <w:r w:rsidR="00E07C5F" w:rsidRPr="00C91D37">
        <w:rPr>
          <w:rFonts w:cs="Arial"/>
          <w:lang w:val="en" w:eastAsia="en-NZ"/>
        </w:rPr>
        <w:t xml:space="preserve"> which largely remained the same between 201</w:t>
      </w:r>
      <w:r w:rsidR="00805F9C">
        <w:rPr>
          <w:rFonts w:cs="Arial"/>
          <w:lang w:val="en" w:eastAsia="en-NZ"/>
        </w:rPr>
        <w:t>4</w:t>
      </w:r>
      <w:r w:rsidR="00E07C5F" w:rsidRPr="00C91D37">
        <w:rPr>
          <w:rFonts w:cs="Arial"/>
          <w:lang w:val="en" w:eastAsia="en-NZ"/>
        </w:rPr>
        <w:t xml:space="preserve"> and 2017. The age-standardised rate for cervical cancer did not differ significantly by remoteness between </w:t>
      </w:r>
      <w:r w:rsidR="00840304">
        <w:rPr>
          <w:rFonts w:cs="Arial"/>
          <w:lang w:val="en" w:eastAsia="en-NZ"/>
        </w:rPr>
        <w:t>m</w:t>
      </w:r>
      <w:r w:rsidR="00E07C5F" w:rsidRPr="00C91D37">
        <w:rPr>
          <w:rFonts w:cs="Arial"/>
          <w:lang w:val="en" w:eastAsia="en-NZ"/>
        </w:rPr>
        <w:t xml:space="preserve">ajor cities and </w:t>
      </w:r>
      <w:r w:rsidR="00840304">
        <w:rPr>
          <w:rFonts w:cs="Arial"/>
          <w:lang w:val="en" w:eastAsia="en-NZ"/>
        </w:rPr>
        <w:t>o</w:t>
      </w:r>
      <w:r w:rsidR="00E07C5F" w:rsidRPr="00C91D37">
        <w:rPr>
          <w:rFonts w:cs="Arial"/>
          <w:lang w:val="en" w:eastAsia="en-NZ"/>
        </w:rPr>
        <w:t>uter/remote areas of Victoria during the reporting period (Figure 1.7)</w:t>
      </w:r>
      <w:r w:rsidR="000C0607" w:rsidRPr="00C91D37">
        <w:rPr>
          <w:rFonts w:cs="Arial"/>
          <w:lang w:val="en" w:eastAsia="en-NZ"/>
        </w:rPr>
        <w:t>.</w:t>
      </w:r>
      <w:r w:rsidR="00C91D37">
        <w:rPr>
          <w:rFonts w:cs="Arial"/>
          <w:lang w:val="en" w:eastAsia="en-NZ"/>
        </w:rPr>
        <w:t xml:space="preserve"> Figure 1.7.</w:t>
      </w:r>
      <w:r w:rsidR="00643051">
        <w:rPr>
          <w:rFonts w:cs="Arial"/>
          <w:lang w:val="en" w:eastAsia="en-NZ"/>
        </w:rPr>
        <w:t>1</w:t>
      </w:r>
      <w:r w:rsidR="00C91D37">
        <w:rPr>
          <w:rFonts w:cs="Arial"/>
          <w:lang w:val="en" w:eastAsia="en-NZ"/>
        </w:rPr>
        <w:t xml:space="preserve"> shows that the incidence rates were similar between ICSs across the </w:t>
      </w:r>
      <w:r w:rsidR="00B40166">
        <w:rPr>
          <w:rFonts w:cs="Arial"/>
          <w:lang w:val="en" w:eastAsia="en-NZ"/>
        </w:rPr>
        <w:t>s</w:t>
      </w:r>
      <w:r w:rsidR="00C91D37">
        <w:rPr>
          <w:rFonts w:cs="Arial"/>
          <w:lang w:val="en" w:eastAsia="en-NZ"/>
        </w:rPr>
        <w:t>tate</w:t>
      </w:r>
      <w:r w:rsidR="00B40166">
        <w:rPr>
          <w:rFonts w:cs="Arial"/>
          <w:lang w:val="en" w:eastAsia="en-NZ"/>
        </w:rPr>
        <w:t>;</w:t>
      </w:r>
      <w:r w:rsidR="00C91D37">
        <w:rPr>
          <w:rFonts w:cs="Arial"/>
          <w:lang w:val="en" w:eastAsia="en-NZ"/>
        </w:rPr>
        <w:t xml:space="preserve"> however</w:t>
      </w:r>
      <w:r w:rsidR="00B40166">
        <w:rPr>
          <w:rFonts w:cs="Arial"/>
          <w:lang w:val="en" w:eastAsia="en-NZ"/>
        </w:rPr>
        <w:t>,</w:t>
      </w:r>
      <w:r w:rsidR="00C91D37">
        <w:rPr>
          <w:rFonts w:cs="Arial"/>
          <w:lang w:val="en" w:eastAsia="en-NZ"/>
        </w:rPr>
        <w:t xml:space="preserve"> care should be taken when interpreting these results </w:t>
      </w:r>
      <w:r w:rsidR="00B5106E">
        <w:rPr>
          <w:rFonts w:cs="Arial"/>
          <w:lang w:val="en" w:eastAsia="en-NZ"/>
        </w:rPr>
        <w:t xml:space="preserve">because </w:t>
      </w:r>
      <w:r w:rsidR="00C91D37">
        <w:rPr>
          <w:rFonts w:cs="Arial"/>
          <w:lang w:val="en" w:eastAsia="en-NZ"/>
        </w:rPr>
        <w:t>the wide confidence intervals denote low number</w:t>
      </w:r>
      <w:r w:rsidR="00D11422">
        <w:rPr>
          <w:rFonts w:cs="Arial"/>
          <w:lang w:val="en" w:eastAsia="en-NZ"/>
        </w:rPr>
        <w:t>s</w:t>
      </w:r>
      <w:r w:rsidR="00C91D37">
        <w:rPr>
          <w:rFonts w:cs="Arial"/>
          <w:lang w:val="en" w:eastAsia="en-NZ"/>
        </w:rPr>
        <w:t xml:space="preserve"> of </w:t>
      </w:r>
      <w:r w:rsidR="00436D4D">
        <w:rPr>
          <w:rFonts w:cs="Arial"/>
          <w:lang w:val="en" w:eastAsia="en-NZ"/>
        </w:rPr>
        <w:t>cervical</w:t>
      </w:r>
      <w:r w:rsidR="00C91D37">
        <w:rPr>
          <w:rFonts w:cs="Arial"/>
          <w:lang w:val="en" w:eastAsia="en-NZ"/>
        </w:rPr>
        <w:t xml:space="preserve"> cancer cases.</w:t>
      </w:r>
    </w:p>
    <w:p w14:paraId="43CFEE6C" w14:textId="5D4E0F0F" w:rsidR="007062AE" w:rsidRPr="00D646CB" w:rsidRDefault="007062AE" w:rsidP="002E4CC2">
      <w:pPr>
        <w:pStyle w:val="DHHSbody"/>
        <w:rPr>
          <w:rFonts w:cs="Arial"/>
          <w:lang w:eastAsia="en-AU"/>
        </w:rPr>
      </w:pPr>
      <w:r>
        <w:rPr>
          <w:rFonts w:cs="Arial"/>
          <w:lang w:eastAsia="en-AU"/>
        </w:rPr>
        <w:t>Figures 1.7.2 and 1.7.3 visualise the spatial variation of incidence rates of cerv</w:t>
      </w:r>
      <w:r w:rsidR="00D646CB">
        <w:rPr>
          <w:rFonts w:cs="Arial"/>
          <w:lang w:eastAsia="en-AU"/>
        </w:rPr>
        <w:t>ix</w:t>
      </w:r>
      <w:r>
        <w:rPr>
          <w:rFonts w:cs="Arial"/>
          <w:lang w:eastAsia="en-AU"/>
        </w:rPr>
        <w:t xml:space="preserve"> cancer by LGA. Forty-</w:t>
      </w:r>
      <w:r w:rsidR="00EF20DA">
        <w:rPr>
          <w:rFonts w:cs="Arial"/>
          <w:lang w:eastAsia="en-AU"/>
        </w:rPr>
        <w:t>one</w:t>
      </w:r>
      <w:r>
        <w:rPr>
          <w:rFonts w:cs="Arial"/>
          <w:lang w:eastAsia="en-AU"/>
        </w:rPr>
        <w:t xml:space="preserve"> per cent of the 79 LGAs had higher incidence rates of cervix cancer than the overall rate (6</w:t>
      </w:r>
      <w:r w:rsidR="00EF20DA">
        <w:rPr>
          <w:rFonts w:cs="Arial"/>
          <w:lang w:eastAsia="en-AU"/>
        </w:rPr>
        <w:t xml:space="preserve"> </w:t>
      </w:r>
      <w:r>
        <w:rPr>
          <w:rFonts w:cs="Arial"/>
          <w:lang w:eastAsia="en-AU"/>
        </w:rPr>
        <w:t>per 100,000 population) in 201</w:t>
      </w:r>
      <w:r w:rsidR="00EF20DA">
        <w:rPr>
          <w:rFonts w:cs="Arial"/>
          <w:lang w:eastAsia="en-AU"/>
        </w:rPr>
        <w:t>4</w:t>
      </w:r>
      <w:r>
        <w:rPr>
          <w:rFonts w:cs="Arial"/>
          <w:lang w:eastAsia="en-AU"/>
        </w:rPr>
        <w:t>.</w:t>
      </w:r>
      <w:r w:rsidR="00D646CB">
        <w:rPr>
          <w:rFonts w:cs="Arial"/>
          <w:lang w:eastAsia="en-AU"/>
        </w:rPr>
        <w:t xml:space="preserve"> </w:t>
      </w:r>
      <w:r w:rsidR="00EF20DA">
        <w:rPr>
          <w:rFonts w:cs="Arial"/>
          <w:lang w:eastAsia="en-AU"/>
        </w:rPr>
        <w:t>Strathbogie</w:t>
      </w:r>
      <w:r w:rsidR="00CB5383">
        <w:rPr>
          <w:rFonts w:cs="Arial"/>
          <w:lang w:eastAsia="en-AU"/>
        </w:rPr>
        <w:t xml:space="preserve"> Shire</w:t>
      </w:r>
      <w:r>
        <w:rPr>
          <w:rFonts w:cs="Arial"/>
          <w:lang w:eastAsia="en-AU"/>
        </w:rPr>
        <w:t xml:space="preserve"> LGA reported the highest incidence rate (</w:t>
      </w:r>
      <w:r w:rsidR="00CB5383">
        <w:rPr>
          <w:rFonts w:cs="Arial"/>
          <w:lang w:eastAsia="en-AU"/>
        </w:rPr>
        <w:t>3</w:t>
      </w:r>
      <w:r w:rsidR="00EF20DA">
        <w:rPr>
          <w:rFonts w:cs="Arial"/>
          <w:lang w:eastAsia="en-AU"/>
        </w:rPr>
        <w:t>8</w:t>
      </w:r>
      <w:r>
        <w:rPr>
          <w:rFonts w:cs="Arial"/>
          <w:lang w:eastAsia="en-AU"/>
        </w:rPr>
        <w:t xml:space="preserve"> per 100,000 population) and </w:t>
      </w:r>
      <w:r w:rsidR="00EF20DA">
        <w:rPr>
          <w:rFonts w:cs="Arial"/>
          <w:lang w:eastAsia="en-AU"/>
        </w:rPr>
        <w:t xml:space="preserve">Glen Eira City, Knox City, Melbourne City, Stonnington City and Yarra City </w:t>
      </w:r>
      <w:r>
        <w:rPr>
          <w:rFonts w:cs="Arial"/>
          <w:lang w:eastAsia="en-AU"/>
        </w:rPr>
        <w:t>LGA</w:t>
      </w:r>
      <w:r w:rsidR="00EF20DA">
        <w:rPr>
          <w:rFonts w:cs="Arial"/>
          <w:lang w:eastAsia="en-AU"/>
        </w:rPr>
        <w:t>s</w:t>
      </w:r>
      <w:r w:rsidR="00D646CB">
        <w:rPr>
          <w:rFonts w:cs="Arial"/>
          <w:lang w:eastAsia="en-AU"/>
        </w:rPr>
        <w:t xml:space="preserve"> </w:t>
      </w:r>
      <w:r>
        <w:rPr>
          <w:rFonts w:cs="Arial"/>
          <w:lang w:eastAsia="en-AU"/>
        </w:rPr>
        <w:t>the lowest incidence rate (</w:t>
      </w:r>
      <w:r w:rsidR="00B5106E">
        <w:rPr>
          <w:rFonts w:cs="Arial"/>
          <w:lang w:eastAsia="en-AU"/>
        </w:rPr>
        <w:t>one</w:t>
      </w:r>
      <w:r>
        <w:rPr>
          <w:rFonts w:cs="Arial"/>
          <w:lang w:eastAsia="en-AU"/>
        </w:rPr>
        <w:t xml:space="preserve"> per 100,000 population) in 201</w:t>
      </w:r>
      <w:r w:rsidR="00EF20DA">
        <w:rPr>
          <w:rFonts w:cs="Arial"/>
          <w:lang w:eastAsia="en-AU"/>
        </w:rPr>
        <w:t>4</w:t>
      </w:r>
      <w:r>
        <w:rPr>
          <w:rFonts w:cs="Arial"/>
          <w:lang w:eastAsia="en-AU"/>
        </w:rPr>
        <w:t xml:space="preserve"> (Figure 1.</w:t>
      </w:r>
      <w:r w:rsidR="00CB5383">
        <w:rPr>
          <w:rFonts w:cs="Arial"/>
          <w:lang w:eastAsia="en-AU"/>
        </w:rPr>
        <w:t>7</w:t>
      </w:r>
      <w:r>
        <w:rPr>
          <w:rFonts w:cs="Arial"/>
          <w:lang w:eastAsia="en-AU"/>
        </w:rPr>
        <w:t>.2).</w:t>
      </w:r>
      <w:r w:rsidR="00952FC7">
        <w:rPr>
          <w:rFonts w:cs="Arial"/>
          <w:lang w:eastAsia="en-AU"/>
        </w:rPr>
        <w:t xml:space="preserve"> </w:t>
      </w:r>
      <w:r>
        <w:rPr>
          <w:rFonts w:cs="Arial"/>
          <w:lang w:eastAsia="en-AU"/>
        </w:rPr>
        <w:t xml:space="preserve">However, </w:t>
      </w:r>
      <w:r w:rsidR="00CB5383">
        <w:rPr>
          <w:rFonts w:cs="Arial"/>
          <w:lang w:eastAsia="en-AU"/>
        </w:rPr>
        <w:t>2</w:t>
      </w:r>
      <w:r w:rsidR="00EF20DA">
        <w:rPr>
          <w:rFonts w:cs="Arial"/>
          <w:lang w:eastAsia="en-AU"/>
        </w:rPr>
        <w:t>4</w:t>
      </w:r>
      <w:r>
        <w:rPr>
          <w:rFonts w:cs="Arial"/>
          <w:lang w:eastAsia="en-AU"/>
        </w:rPr>
        <w:t xml:space="preserve"> LGAs reported zero incidence rates in 201</w:t>
      </w:r>
      <w:r w:rsidR="00EF20DA">
        <w:rPr>
          <w:rFonts w:cs="Arial"/>
          <w:lang w:eastAsia="en-AU"/>
        </w:rPr>
        <w:t>4</w:t>
      </w:r>
      <w:r>
        <w:rPr>
          <w:rFonts w:cs="Arial"/>
          <w:lang w:eastAsia="en-AU"/>
        </w:rPr>
        <w:t>. By comparison, 4</w:t>
      </w:r>
      <w:r w:rsidR="00CB5383">
        <w:rPr>
          <w:rFonts w:cs="Arial"/>
          <w:lang w:eastAsia="en-AU"/>
        </w:rPr>
        <w:t>1</w:t>
      </w:r>
      <w:r>
        <w:rPr>
          <w:rFonts w:cs="Arial"/>
          <w:lang w:eastAsia="en-AU"/>
        </w:rPr>
        <w:t xml:space="preserve"> per cent </w:t>
      </w:r>
      <w:r w:rsidRPr="00BC56E0">
        <w:rPr>
          <w:rFonts w:cs="Arial"/>
          <w:color w:val="000000" w:themeColor="text1"/>
          <w:lang w:eastAsia="en-AU"/>
        </w:rPr>
        <w:t xml:space="preserve">of the 79 LGAs had high incidence rates </w:t>
      </w:r>
      <w:r w:rsidR="00203D63">
        <w:rPr>
          <w:rFonts w:cs="Arial"/>
          <w:color w:val="000000" w:themeColor="text1"/>
          <w:lang w:eastAsia="en-AU"/>
        </w:rPr>
        <w:t>of cervix</w:t>
      </w:r>
      <w:r w:rsidRPr="00BC56E0">
        <w:rPr>
          <w:rFonts w:cs="Arial"/>
          <w:color w:val="000000" w:themeColor="text1"/>
          <w:lang w:eastAsia="en-AU"/>
        </w:rPr>
        <w:t xml:space="preserve"> cancer than the overall rate (</w:t>
      </w:r>
      <w:r>
        <w:rPr>
          <w:rFonts w:cs="Arial"/>
          <w:color w:val="000000" w:themeColor="text1"/>
          <w:lang w:eastAsia="en-AU"/>
        </w:rPr>
        <w:t>7.5</w:t>
      </w:r>
      <w:r w:rsidRPr="00BC56E0">
        <w:rPr>
          <w:rFonts w:cs="Arial"/>
          <w:color w:val="000000" w:themeColor="text1"/>
          <w:lang w:eastAsia="en-AU"/>
        </w:rPr>
        <w:t xml:space="preserve"> per 100,000 population) for Victoria in 2017</w:t>
      </w:r>
      <w:r>
        <w:rPr>
          <w:rFonts w:cs="Arial"/>
          <w:color w:val="000000" w:themeColor="text1"/>
          <w:lang w:eastAsia="en-AU"/>
        </w:rPr>
        <w:t>.</w:t>
      </w:r>
      <w:r w:rsidR="00952FC7">
        <w:rPr>
          <w:rFonts w:cs="Arial"/>
          <w:color w:val="000000" w:themeColor="text1"/>
          <w:lang w:eastAsia="en-AU"/>
        </w:rPr>
        <w:t xml:space="preserve"> </w:t>
      </w:r>
      <w:r w:rsidR="00D646CB">
        <w:rPr>
          <w:rFonts w:cs="Arial"/>
          <w:color w:val="000000" w:themeColor="text1"/>
          <w:lang w:eastAsia="en-AU"/>
        </w:rPr>
        <w:t>Buloke</w:t>
      </w:r>
      <w:r>
        <w:rPr>
          <w:rFonts w:cs="Arial"/>
          <w:color w:val="000000" w:themeColor="text1"/>
          <w:lang w:eastAsia="en-AU"/>
        </w:rPr>
        <w:t xml:space="preserve"> S</w:t>
      </w:r>
      <w:r w:rsidR="00E75FF7">
        <w:rPr>
          <w:rFonts w:cs="Arial"/>
          <w:color w:val="000000" w:themeColor="text1"/>
          <w:lang w:eastAsia="en-AU"/>
        </w:rPr>
        <w:t>h</w:t>
      </w:r>
      <w:r>
        <w:rPr>
          <w:rFonts w:cs="Arial"/>
          <w:color w:val="000000" w:themeColor="text1"/>
          <w:lang w:eastAsia="en-AU"/>
        </w:rPr>
        <w:t>ire LGA reported the highest incidence rate (</w:t>
      </w:r>
      <w:r w:rsidR="00D646CB">
        <w:rPr>
          <w:rFonts w:cs="Arial"/>
          <w:color w:val="000000" w:themeColor="text1"/>
          <w:lang w:eastAsia="en-AU"/>
        </w:rPr>
        <w:t>50</w:t>
      </w:r>
      <w:r>
        <w:rPr>
          <w:rFonts w:cs="Arial"/>
          <w:color w:val="000000" w:themeColor="text1"/>
          <w:lang w:eastAsia="en-AU"/>
        </w:rPr>
        <w:t xml:space="preserve"> per 100,000 population) and B</w:t>
      </w:r>
      <w:r w:rsidR="00D646CB">
        <w:rPr>
          <w:rFonts w:cs="Arial"/>
          <w:color w:val="000000" w:themeColor="text1"/>
          <w:lang w:eastAsia="en-AU"/>
        </w:rPr>
        <w:t>ayside</w:t>
      </w:r>
      <w:r>
        <w:rPr>
          <w:rFonts w:cs="Arial"/>
          <w:color w:val="000000" w:themeColor="text1"/>
          <w:lang w:eastAsia="en-AU"/>
        </w:rPr>
        <w:t xml:space="preserve"> City LGA the lowest (1 per 100,000 population) in 2017 (Figure 1.</w:t>
      </w:r>
      <w:r w:rsidR="00D646CB">
        <w:rPr>
          <w:rFonts w:cs="Arial"/>
          <w:color w:val="000000" w:themeColor="text1"/>
          <w:lang w:eastAsia="en-AU"/>
        </w:rPr>
        <w:t>7</w:t>
      </w:r>
      <w:r>
        <w:rPr>
          <w:rFonts w:cs="Arial"/>
          <w:color w:val="000000" w:themeColor="text1"/>
          <w:lang w:eastAsia="en-AU"/>
        </w:rPr>
        <w:t>.3).</w:t>
      </w:r>
      <w:r w:rsidR="00D646CB">
        <w:rPr>
          <w:rFonts w:cs="Arial"/>
          <w:lang w:eastAsia="en-AU"/>
        </w:rPr>
        <w:t xml:space="preserve"> </w:t>
      </w:r>
      <w:r>
        <w:rPr>
          <w:rFonts w:cs="Arial"/>
          <w:color w:val="000000" w:themeColor="text1"/>
          <w:lang w:eastAsia="en-AU"/>
        </w:rPr>
        <w:t xml:space="preserve">However, there were </w:t>
      </w:r>
      <w:r w:rsidR="00D646CB">
        <w:rPr>
          <w:rFonts w:cs="Arial"/>
          <w:color w:val="000000" w:themeColor="text1"/>
          <w:lang w:eastAsia="en-AU"/>
        </w:rPr>
        <w:t>1</w:t>
      </w:r>
      <w:r w:rsidR="004B77E8">
        <w:rPr>
          <w:rFonts w:cs="Arial"/>
          <w:color w:val="000000" w:themeColor="text1"/>
          <w:lang w:eastAsia="en-AU"/>
        </w:rPr>
        <w:t>4</w:t>
      </w:r>
      <w:r>
        <w:rPr>
          <w:rFonts w:cs="Arial"/>
          <w:color w:val="000000" w:themeColor="text1"/>
          <w:lang w:eastAsia="en-AU"/>
        </w:rPr>
        <w:t xml:space="preserve"> LGAs (</w:t>
      </w:r>
      <w:r w:rsidR="004B77E8">
        <w:rPr>
          <w:rFonts w:cs="Arial"/>
          <w:color w:val="000000" w:themeColor="text1"/>
          <w:lang w:eastAsia="en-AU"/>
        </w:rPr>
        <w:t xml:space="preserve">Ararat Rural City, Central Goldfields Shire, Corangamite Shire, Glenelg Shire, Horsham Rural City, Moira Shire, Murrindindi Shire, Pyrenees Shire, </w:t>
      </w:r>
      <w:r w:rsidR="00D646CB">
        <w:rPr>
          <w:rFonts w:cs="Arial"/>
          <w:color w:val="000000" w:themeColor="text1"/>
          <w:lang w:eastAsia="en-AU"/>
        </w:rPr>
        <w:t>Queenscliffe Borough, South G</w:t>
      </w:r>
      <w:r w:rsidR="004B77E8">
        <w:rPr>
          <w:rFonts w:cs="Arial"/>
          <w:color w:val="000000" w:themeColor="text1"/>
          <w:lang w:eastAsia="en-AU"/>
        </w:rPr>
        <w:t>rampians</w:t>
      </w:r>
      <w:r w:rsidR="00D646CB">
        <w:rPr>
          <w:rFonts w:cs="Arial"/>
          <w:color w:val="000000" w:themeColor="text1"/>
          <w:lang w:eastAsia="en-AU"/>
        </w:rPr>
        <w:t xml:space="preserve"> Shire, </w:t>
      </w:r>
      <w:r w:rsidR="004B77E8">
        <w:rPr>
          <w:rFonts w:cs="Arial"/>
          <w:color w:val="000000" w:themeColor="text1"/>
          <w:lang w:eastAsia="en-AU"/>
        </w:rPr>
        <w:t xml:space="preserve">Towong Shire, </w:t>
      </w:r>
      <w:r w:rsidR="00D646CB">
        <w:rPr>
          <w:rFonts w:cs="Arial"/>
          <w:color w:val="000000" w:themeColor="text1"/>
          <w:lang w:eastAsia="en-AU"/>
        </w:rPr>
        <w:t>West Wimmera Shire, Wodonga Rural City, Yarriambiack Shire</w:t>
      </w:r>
      <w:r>
        <w:rPr>
          <w:rFonts w:cs="Arial"/>
          <w:color w:val="000000" w:themeColor="text1"/>
          <w:lang w:eastAsia="en-AU"/>
        </w:rPr>
        <w:t xml:space="preserve">) </w:t>
      </w:r>
      <w:r w:rsidR="00B5106E">
        <w:rPr>
          <w:rFonts w:cs="Arial"/>
          <w:color w:val="000000" w:themeColor="text1"/>
          <w:lang w:eastAsia="en-AU"/>
        </w:rPr>
        <w:t xml:space="preserve">that </w:t>
      </w:r>
      <w:r>
        <w:rPr>
          <w:rFonts w:cs="Arial"/>
          <w:color w:val="000000" w:themeColor="text1"/>
          <w:lang w:eastAsia="en-AU"/>
        </w:rPr>
        <w:t>reported zero incidence rates for both 201</w:t>
      </w:r>
      <w:r w:rsidR="004B77E8">
        <w:rPr>
          <w:rFonts w:cs="Arial"/>
          <w:color w:val="000000" w:themeColor="text1"/>
          <w:lang w:eastAsia="en-AU"/>
        </w:rPr>
        <w:t>4</w:t>
      </w:r>
      <w:r>
        <w:rPr>
          <w:rFonts w:cs="Arial"/>
          <w:color w:val="000000" w:themeColor="text1"/>
          <w:lang w:eastAsia="en-AU"/>
        </w:rPr>
        <w:t xml:space="preserve"> and 2017. Overall, </w:t>
      </w:r>
      <w:r w:rsidRPr="00AB4A70">
        <w:rPr>
          <w:rFonts w:cs="Arial"/>
          <w:color w:val="000000" w:themeColor="text1"/>
          <w:lang w:eastAsia="en-AU"/>
        </w:rPr>
        <w:t xml:space="preserve">most of the 79 LGAs reported </w:t>
      </w:r>
      <w:r>
        <w:rPr>
          <w:rFonts w:cs="Arial"/>
          <w:color w:val="000000" w:themeColor="text1"/>
          <w:lang w:eastAsia="en-AU"/>
        </w:rPr>
        <w:t xml:space="preserve">very little variation in the incidence rate during the reporting period likely due to the low number of cases. </w:t>
      </w:r>
      <w:r w:rsidR="00D646CB">
        <w:rPr>
          <w:rFonts w:cs="Arial"/>
          <w:color w:val="000000" w:themeColor="text1"/>
          <w:lang w:eastAsia="en-AU"/>
        </w:rPr>
        <w:t xml:space="preserve">Buloke Shire LGA </w:t>
      </w:r>
      <w:r>
        <w:rPr>
          <w:rFonts w:cs="Arial"/>
          <w:color w:val="000000" w:themeColor="text1"/>
          <w:lang w:eastAsia="en-AU"/>
        </w:rPr>
        <w:t>showed the most</w:t>
      </w:r>
      <w:r w:rsidR="00C26BFB">
        <w:rPr>
          <w:rFonts w:cs="Arial"/>
          <w:color w:val="000000" w:themeColor="text1"/>
          <w:lang w:eastAsia="en-AU"/>
        </w:rPr>
        <w:t xml:space="preserve"> </w:t>
      </w:r>
      <w:r w:rsidR="00CD68E3">
        <w:rPr>
          <w:rFonts w:cs="Arial"/>
          <w:color w:val="000000" w:themeColor="text1"/>
          <w:lang w:eastAsia="en-AU"/>
        </w:rPr>
        <w:t>change</w:t>
      </w:r>
      <w:r w:rsidR="00B5106E">
        <w:rPr>
          <w:rFonts w:cs="Arial"/>
          <w:color w:val="000000" w:themeColor="text1"/>
          <w:lang w:eastAsia="en-AU"/>
        </w:rPr>
        <w:t>,</w:t>
      </w:r>
      <w:r w:rsidR="00CD68E3">
        <w:rPr>
          <w:rFonts w:cs="Arial"/>
          <w:color w:val="000000" w:themeColor="text1"/>
          <w:lang w:eastAsia="en-AU"/>
        </w:rPr>
        <w:t xml:space="preserve"> with a</w:t>
      </w:r>
      <w:r w:rsidR="00D646CB">
        <w:rPr>
          <w:rFonts w:cs="Arial"/>
          <w:color w:val="000000" w:themeColor="text1"/>
          <w:lang w:eastAsia="en-AU"/>
        </w:rPr>
        <w:t>n increase</w:t>
      </w:r>
      <w:r w:rsidR="00265CE0">
        <w:rPr>
          <w:rFonts w:cs="Arial"/>
          <w:color w:val="000000" w:themeColor="text1"/>
          <w:lang w:eastAsia="en-AU"/>
        </w:rPr>
        <w:t xml:space="preserve"> in the incidence rate</w:t>
      </w:r>
      <w:r>
        <w:rPr>
          <w:rFonts w:cs="Arial"/>
          <w:color w:val="000000" w:themeColor="text1"/>
          <w:lang w:eastAsia="en-AU"/>
        </w:rPr>
        <w:t xml:space="preserve"> from </w:t>
      </w:r>
      <w:r w:rsidR="00D646CB">
        <w:rPr>
          <w:rFonts w:cs="Arial"/>
          <w:color w:val="000000" w:themeColor="text1"/>
          <w:lang w:eastAsia="en-AU"/>
        </w:rPr>
        <w:t>zero</w:t>
      </w:r>
      <w:r>
        <w:rPr>
          <w:rFonts w:cs="Arial"/>
          <w:color w:val="000000" w:themeColor="text1"/>
          <w:lang w:eastAsia="en-AU"/>
        </w:rPr>
        <w:t xml:space="preserve"> per 100,000 population in 201</w:t>
      </w:r>
      <w:r w:rsidR="008013A8">
        <w:rPr>
          <w:rFonts w:cs="Arial"/>
          <w:color w:val="000000" w:themeColor="text1"/>
          <w:lang w:eastAsia="en-AU"/>
        </w:rPr>
        <w:t>4</w:t>
      </w:r>
      <w:r>
        <w:rPr>
          <w:rFonts w:cs="Arial"/>
          <w:color w:val="000000" w:themeColor="text1"/>
          <w:lang w:eastAsia="en-AU"/>
        </w:rPr>
        <w:t xml:space="preserve"> to </w:t>
      </w:r>
      <w:r w:rsidR="00D646CB">
        <w:rPr>
          <w:rFonts w:cs="Arial"/>
          <w:color w:val="000000" w:themeColor="text1"/>
          <w:lang w:eastAsia="en-AU"/>
        </w:rPr>
        <w:t>50</w:t>
      </w:r>
      <w:r>
        <w:rPr>
          <w:rFonts w:cs="Arial"/>
          <w:color w:val="000000" w:themeColor="text1"/>
          <w:lang w:eastAsia="en-AU"/>
        </w:rPr>
        <w:t xml:space="preserve"> per 100,000 population in 2017.</w:t>
      </w:r>
      <w:r w:rsidR="0039494A">
        <w:rPr>
          <w:rFonts w:cs="Arial"/>
          <w:color w:val="000000" w:themeColor="text1"/>
          <w:lang w:eastAsia="en-AU"/>
        </w:rPr>
        <w:t xml:space="preserve"> This result should be interpreted with caution </w:t>
      </w:r>
      <w:r w:rsidR="00CD763E">
        <w:rPr>
          <w:rFonts w:cs="Arial"/>
          <w:color w:val="000000" w:themeColor="text1"/>
          <w:lang w:eastAsia="en-AU"/>
        </w:rPr>
        <w:t xml:space="preserve">due to </w:t>
      </w:r>
      <w:r w:rsidR="0039494A">
        <w:rPr>
          <w:rFonts w:cs="Arial"/>
          <w:color w:val="000000" w:themeColor="text1"/>
          <w:lang w:eastAsia="en-AU"/>
        </w:rPr>
        <w:t>the low case numbers.</w:t>
      </w:r>
    </w:p>
    <w:p w14:paraId="6B4AD172" w14:textId="434D518B" w:rsidR="009A2DF4" w:rsidRPr="002E4CC2" w:rsidRDefault="002E4CC2" w:rsidP="00BF2F48">
      <w:pPr>
        <w:pStyle w:val="DHHSbody"/>
        <w:rPr>
          <w:rFonts w:cs="Arial"/>
          <w:lang w:val="en"/>
        </w:rPr>
      </w:pPr>
      <w:r w:rsidRPr="008472D2">
        <w:t>Despite no target being</w:t>
      </w:r>
      <w:r w:rsidR="00136D74" w:rsidRPr="008472D2">
        <w:t xml:space="preserve"> set for this measure</w:t>
      </w:r>
      <w:r w:rsidRPr="008472D2">
        <w:t xml:space="preserve"> and no change in the overall age-standardised incidence rate for cervical cancer observed between 201</w:t>
      </w:r>
      <w:r w:rsidR="008013A8">
        <w:t>4</w:t>
      </w:r>
      <w:r w:rsidRPr="008472D2">
        <w:t xml:space="preserve"> and 2017, it is anticipated that there will be a steady decrease in the future</w:t>
      </w:r>
      <w:r w:rsidR="00B5106E" w:rsidRPr="008472D2">
        <w:t>,</w:t>
      </w:r>
      <w:r w:rsidRPr="008472D2">
        <w:t xml:space="preserve"> which will be partly attributed to the effects of </w:t>
      </w:r>
      <w:r w:rsidR="00D95810" w:rsidRPr="008472D2">
        <w:t xml:space="preserve">HPV vaccination and </w:t>
      </w:r>
      <w:r w:rsidRPr="008472D2">
        <w:t xml:space="preserve">the National </w:t>
      </w:r>
      <w:r w:rsidRPr="008472D2">
        <w:rPr>
          <w:lang w:val="en" w:eastAsia="en-NZ"/>
        </w:rPr>
        <w:t xml:space="preserve">Cervical Screening Program </w:t>
      </w:r>
      <w:r w:rsidR="00B5106E" w:rsidRPr="008472D2">
        <w:rPr>
          <w:lang w:val="en" w:eastAsia="en-NZ"/>
        </w:rPr>
        <w:t xml:space="preserve">that began </w:t>
      </w:r>
      <w:r w:rsidRPr="008472D2">
        <w:rPr>
          <w:lang w:val="en" w:eastAsia="en-NZ"/>
        </w:rPr>
        <w:t>in 1991.</w:t>
      </w:r>
      <w:r w:rsidR="004C0BA1" w:rsidRPr="008472D2">
        <w:rPr>
          <w:lang w:val="en" w:eastAsia="en-NZ"/>
        </w:rPr>
        <w:t xml:space="preserve"> </w:t>
      </w:r>
      <w:r w:rsidRPr="008472D2">
        <w:rPr>
          <w:lang w:val="en" w:eastAsia="en-NZ"/>
        </w:rPr>
        <w:t xml:space="preserve">However, a </w:t>
      </w:r>
      <w:r w:rsidRPr="008472D2">
        <w:rPr>
          <w:lang w:val="en"/>
        </w:rPr>
        <w:t xml:space="preserve">high participation rate </w:t>
      </w:r>
      <w:r w:rsidR="00D95810" w:rsidRPr="008472D2">
        <w:rPr>
          <w:lang w:val="en"/>
        </w:rPr>
        <w:t xml:space="preserve">and increased coverage of HPV vaccination </w:t>
      </w:r>
      <w:r w:rsidRPr="008472D2">
        <w:rPr>
          <w:lang w:val="en"/>
        </w:rPr>
        <w:t xml:space="preserve">will be necessary for the </w:t>
      </w:r>
      <w:r w:rsidR="00B5106E" w:rsidRPr="008472D2">
        <w:rPr>
          <w:lang w:val="en"/>
        </w:rPr>
        <w:t>national screen</w:t>
      </w:r>
      <w:r w:rsidR="002D198D" w:rsidRPr="008472D2">
        <w:rPr>
          <w:lang w:val="en"/>
        </w:rPr>
        <w:t>ing</w:t>
      </w:r>
      <w:r w:rsidR="00B5106E" w:rsidRPr="008472D2">
        <w:rPr>
          <w:lang w:val="en"/>
        </w:rPr>
        <w:t xml:space="preserve"> program </w:t>
      </w:r>
      <w:r w:rsidRPr="008472D2">
        <w:rPr>
          <w:lang w:val="en"/>
        </w:rPr>
        <w:t>to achieve its major objective of reducing cervical cancer incidence among Victorian women</w:t>
      </w:r>
      <w:r w:rsidR="00D307C4" w:rsidRPr="008472D2">
        <w:rPr>
          <w:lang w:val="en"/>
        </w:rPr>
        <w:t>.</w:t>
      </w:r>
      <w:r w:rsidR="00D95810" w:rsidRPr="008472D2">
        <w:rPr>
          <w:lang w:val="en"/>
        </w:rPr>
        <w:t xml:space="preserve"> Finally, </w:t>
      </w:r>
      <w:r w:rsidR="00D95810" w:rsidRPr="008472D2">
        <w:t xml:space="preserve">a recently published study estimates that in Australia the </w:t>
      </w:r>
      <w:r w:rsidR="00D95810" w:rsidRPr="008472D2">
        <w:rPr>
          <w:lang w:val="en"/>
        </w:rPr>
        <w:t>age-standardised annual incidence of cervical cancer will decrease to fewer than six new cases per 100 000 women by 2020 (range 2018–22), and to fewer than four new cases per 100</w:t>
      </w:r>
      <w:r w:rsidR="00A46CCA" w:rsidRPr="008472D2">
        <w:rPr>
          <w:lang w:val="en"/>
        </w:rPr>
        <w:t>,</w:t>
      </w:r>
      <w:r w:rsidR="00D95810" w:rsidRPr="008472D2">
        <w:rPr>
          <w:lang w:val="en"/>
        </w:rPr>
        <w:t>000 women by 2028 (2021–35).</w:t>
      </w:r>
      <w:r w:rsidR="00D95810" w:rsidRPr="008472D2">
        <w:rPr>
          <w:rStyle w:val="FootnoteReference"/>
          <w:rFonts w:cs="Arial"/>
          <w:lang w:val="en"/>
        </w:rPr>
        <w:footnoteReference w:id="30"/>
      </w:r>
      <w:r w:rsidR="008472D2" w:rsidRPr="008472D2">
        <w:rPr>
          <w:lang w:val="en"/>
        </w:rPr>
        <w:t xml:space="preserve"> </w:t>
      </w:r>
      <w:r w:rsidR="008472D2" w:rsidRPr="008472D2">
        <w:t>These findings indicate that Australia is on-track to be the first country in the world to eliminate cervical cancer by successfully implementing a combined approach to vaccination and screening.</w:t>
      </w:r>
      <w:r w:rsidR="00BF2F48" w:rsidRPr="002E4CC2">
        <w:rPr>
          <w:rFonts w:cs="Arial"/>
        </w:rPr>
        <w:t xml:space="preserve"> </w:t>
      </w:r>
      <w:r w:rsidR="009A2DF4" w:rsidRPr="002E4CC2">
        <w:rPr>
          <w:rFonts w:cs="Arial"/>
        </w:rPr>
        <w:br w:type="page"/>
      </w:r>
    </w:p>
    <w:p w14:paraId="62B350E2" w14:textId="21734667" w:rsidR="00E8458B" w:rsidRDefault="00E8458B" w:rsidP="006624DA">
      <w:pPr>
        <w:pStyle w:val="Heading3"/>
        <w:rPr>
          <w:lang w:eastAsia="en-AU"/>
        </w:rPr>
      </w:pPr>
      <w:bookmarkStart w:id="197" w:name="_Measure_1.8_–"/>
      <w:bookmarkStart w:id="198" w:name="_Toc19008020"/>
      <w:bookmarkEnd w:id="197"/>
      <w:r>
        <w:rPr>
          <w:lang w:eastAsia="en-AU"/>
        </w:rPr>
        <w:lastRenderedPageBreak/>
        <w:t xml:space="preserve">Measure 1.8 – </w:t>
      </w:r>
      <w:r w:rsidR="006624DA">
        <w:rPr>
          <w:lang w:eastAsia="en-AU"/>
        </w:rPr>
        <w:t>Incidence of</w:t>
      </w:r>
      <w:r w:rsidR="00AF459A">
        <w:rPr>
          <w:lang w:eastAsia="en-AU"/>
        </w:rPr>
        <w:t xml:space="preserve"> liver cancer</w:t>
      </w:r>
      <w:bookmarkEnd w:id="198"/>
    </w:p>
    <w:p w14:paraId="3D272A62" w14:textId="34624FE3" w:rsidR="008D4EED" w:rsidRDefault="008D4EED" w:rsidP="00036AD7">
      <w:pPr>
        <w:pStyle w:val="DHHSfigurecaption"/>
      </w:pPr>
      <w:bookmarkStart w:id="199" w:name="_Toc19008021"/>
      <w:bookmarkStart w:id="200" w:name="_Toc19008276"/>
      <w:bookmarkStart w:id="201" w:name="_Toc19008423"/>
      <w:bookmarkStart w:id="202" w:name="_Toc19008570"/>
      <w:bookmarkStart w:id="203" w:name="_Toc27414273"/>
      <w:r w:rsidRPr="00A8622F">
        <w:t>Figure 1.</w:t>
      </w:r>
      <w:r>
        <w:t>8</w:t>
      </w:r>
      <w:r w:rsidR="00E634E9">
        <w:t>:</w:t>
      </w:r>
      <w:r w:rsidRPr="00A8622F">
        <w:t xml:space="preserve"> </w:t>
      </w:r>
      <w:r>
        <w:t>I</w:t>
      </w:r>
      <w:r w:rsidRPr="00A8622F">
        <w:t xml:space="preserve">ncidence </w:t>
      </w:r>
      <w:r>
        <w:t>of liver</w:t>
      </w:r>
      <w:r w:rsidRPr="00A8622F">
        <w:t xml:space="preserve"> cancer</w:t>
      </w:r>
      <w:r w:rsidR="003F5041">
        <w:t xml:space="preserve"> (primary)</w:t>
      </w:r>
      <w:r w:rsidRPr="00A8622F">
        <w:t xml:space="preserve"> </w:t>
      </w:r>
      <w:r>
        <w:t xml:space="preserve">in Victoria </w:t>
      </w:r>
      <w:r w:rsidRPr="00A8622F">
        <w:t xml:space="preserve">per 100,000 standardised to the </w:t>
      </w:r>
      <w:r>
        <w:t xml:space="preserve">2001 </w:t>
      </w:r>
      <w:r w:rsidRPr="00A8622F">
        <w:t>Australian population, by year of diagnosis, 201</w:t>
      </w:r>
      <w:r w:rsidR="00054A74">
        <w:t>4</w:t>
      </w:r>
      <w:r w:rsidRPr="00A8622F">
        <w:t xml:space="preserve"> and 201</w:t>
      </w:r>
      <w:r>
        <w:t>7</w:t>
      </w:r>
      <w:bookmarkEnd w:id="199"/>
      <w:bookmarkEnd w:id="200"/>
      <w:bookmarkEnd w:id="201"/>
      <w:bookmarkEnd w:id="202"/>
      <w:bookmarkEnd w:id="203"/>
    </w:p>
    <w:p w14:paraId="3A9F8E62" w14:textId="772FCCF6" w:rsidR="00E547B5" w:rsidRPr="00E547B5" w:rsidRDefault="00E547B5" w:rsidP="00E547B5">
      <w:pPr>
        <w:pStyle w:val="DHHSbody"/>
      </w:pPr>
      <w:r>
        <w:rPr>
          <w:noProof/>
        </w:rPr>
        <w:drawing>
          <wp:inline distT="0" distB="0" distL="0" distR="0" wp14:anchorId="6B0040D3" wp14:editId="132823FD">
            <wp:extent cx="6716378" cy="6929609"/>
            <wp:effectExtent l="0" t="0" r="8890" b="5080"/>
            <wp:docPr id="317" name="Picture 317" descr="This figure shows a data summary of 'Measure 1.8 – Incidence of liver cancer'. The data set is available under 'Measure 1.8 – Incidence of liver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28413" cy="6942026"/>
                    </a:xfrm>
                    <a:prstGeom prst="rect">
                      <a:avLst/>
                    </a:prstGeom>
                    <a:noFill/>
                    <a:ln>
                      <a:noFill/>
                    </a:ln>
                  </pic:spPr>
                </pic:pic>
              </a:graphicData>
            </a:graphic>
          </wp:inline>
        </w:drawing>
      </w:r>
    </w:p>
    <w:p w14:paraId="227E7A0E" w14:textId="77777777" w:rsidR="0020440A" w:rsidRDefault="009A2DF4" w:rsidP="000D3B16">
      <w:pPr>
        <w:pStyle w:val="DHHStablefigurenote"/>
      </w:pPr>
      <w:r w:rsidRPr="003F5C49">
        <w:t>Note:</w:t>
      </w:r>
      <w:r w:rsidR="00250B73">
        <w:t xml:space="preserve"> </w:t>
      </w:r>
      <w:r>
        <w:t>R</w:t>
      </w:r>
      <w:r w:rsidRPr="003F5C49">
        <w:t xml:space="preserve">esults by </w:t>
      </w:r>
      <w:r w:rsidR="0011089F">
        <w:t>cultural diversity</w:t>
      </w:r>
      <w:r w:rsidRPr="003F5C49">
        <w:t xml:space="preserve"> </w:t>
      </w:r>
      <w:r>
        <w:t xml:space="preserve">are not presented </w:t>
      </w:r>
      <w:r w:rsidR="005D072A">
        <w:t>because</w:t>
      </w:r>
      <w:r w:rsidR="005D072A" w:rsidRPr="003F5C49" w:rsidDel="005D072A">
        <w:t xml:space="preserve"> </w:t>
      </w:r>
      <w:r w:rsidRPr="003F5C49">
        <w:t>the ERP does not estimate the population by</w:t>
      </w:r>
      <w:r w:rsidR="0011089F">
        <w:t xml:space="preserve"> cultural diversity</w:t>
      </w:r>
      <w:r w:rsidRPr="003F5C49">
        <w:t xml:space="preserve">, hence </w:t>
      </w:r>
      <w:r>
        <w:t>there is no</w:t>
      </w:r>
      <w:r w:rsidRPr="003F5C49">
        <w:t xml:space="preserve"> denominator for this variable.</w:t>
      </w:r>
    </w:p>
    <w:p w14:paraId="530F445C" w14:textId="691D25AD" w:rsidR="00A76E50" w:rsidRPr="0011089F" w:rsidRDefault="0020440A" w:rsidP="000D3B16">
      <w:pPr>
        <w:pStyle w:val="DHHStablefigurenote"/>
      </w:pPr>
      <w:r w:rsidRPr="00D53842">
        <w:rPr>
          <w:color w:val="000000"/>
        </w:rPr>
        <w:t>Appendix 2 provides the dataset.</w:t>
      </w:r>
      <w:r w:rsidR="00A76E50">
        <w:br w:type="page"/>
      </w:r>
    </w:p>
    <w:p w14:paraId="54AEE352" w14:textId="5C522F62" w:rsidR="00A76E50" w:rsidRDefault="00A76E50" w:rsidP="00036AD7">
      <w:pPr>
        <w:pStyle w:val="DHHSfigurecaption"/>
      </w:pPr>
      <w:bookmarkStart w:id="204" w:name="_Toc19008022"/>
      <w:bookmarkStart w:id="205" w:name="_Toc19008277"/>
      <w:bookmarkStart w:id="206" w:name="_Toc19008424"/>
      <w:bookmarkStart w:id="207" w:name="_Toc19008571"/>
      <w:bookmarkStart w:id="208" w:name="_Toc27414274"/>
      <w:r>
        <w:rPr>
          <w:lang w:eastAsia="en-AU"/>
        </w:rPr>
        <w:lastRenderedPageBreak/>
        <w:t>Figure 1.8.1</w:t>
      </w:r>
      <w:r w:rsidR="00E634E9">
        <w:rPr>
          <w:lang w:eastAsia="en-AU"/>
        </w:rPr>
        <w:t>:</w:t>
      </w:r>
      <w:r w:rsidRPr="006378D2">
        <w:rPr>
          <w:lang w:eastAsia="en-AU"/>
        </w:rPr>
        <w:t xml:space="preserve"> Incidence of </w:t>
      </w:r>
      <w:r>
        <w:rPr>
          <w:lang w:eastAsia="en-AU"/>
        </w:rPr>
        <w:t xml:space="preserve">liver </w:t>
      </w:r>
      <w:r w:rsidRPr="006378D2">
        <w:rPr>
          <w:lang w:eastAsia="en-AU"/>
        </w:rPr>
        <w:t>cancer</w:t>
      </w:r>
      <w:r>
        <w:rPr>
          <w:lang w:eastAsia="en-AU"/>
        </w:rPr>
        <w:t xml:space="preserve"> </w:t>
      </w:r>
      <w:r w:rsidR="003F5041">
        <w:rPr>
          <w:lang w:eastAsia="en-AU"/>
        </w:rPr>
        <w:t xml:space="preserve">(primary) </w:t>
      </w:r>
      <w:r>
        <w:rPr>
          <w:lang w:eastAsia="en-AU"/>
        </w:rPr>
        <w:t xml:space="preserve">in Victoria </w:t>
      </w:r>
      <w:r w:rsidRPr="006378D2">
        <w:rPr>
          <w:lang w:eastAsia="en-AU"/>
        </w:rPr>
        <w:t xml:space="preserve">per </w:t>
      </w:r>
      <w:r w:rsidRPr="006378D2">
        <w:rPr>
          <w:color w:val="000000" w:themeColor="text1"/>
        </w:rPr>
        <w:t xml:space="preserve">100,000 standardised to the 2001 Australian population, by </w:t>
      </w:r>
      <w:r w:rsidR="008439C8">
        <w:rPr>
          <w:color w:val="000000" w:themeColor="text1"/>
        </w:rPr>
        <w:t>ICS</w:t>
      </w:r>
      <w:r w:rsidRPr="006378D2">
        <w:t xml:space="preserve"> </w:t>
      </w:r>
      <w:r w:rsidR="0031077F">
        <w:t xml:space="preserve">and </w:t>
      </w:r>
      <w:r>
        <w:t xml:space="preserve">year, </w:t>
      </w:r>
      <w:r w:rsidRPr="006378D2">
        <w:t>20</w:t>
      </w:r>
      <w:r>
        <w:t>1</w:t>
      </w:r>
      <w:r w:rsidR="002A04B9">
        <w:t>4</w:t>
      </w:r>
      <w:r>
        <w:t xml:space="preserve"> and 2017</w:t>
      </w:r>
      <w:bookmarkEnd w:id="204"/>
      <w:bookmarkEnd w:id="205"/>
      <w:bookmarkEnd w:id="206"/>
      <w:bookmarkEnd w:id="207"/>
      <w:bookmarkEnd w:id="208"/>
    </w:p>
    <w:p w14:paraId="57F0A535" w14:textId="1796CAE9" w:rsidR="002A04B9" w:rsidRPr="002A04B9" w:rsidRDefault="005C68DF" w:rsidP="002A04B9">
      <w:pPr>
        <w:pStyle w:val="DHHSbody"/>
      </w:pPr>
      <w:r>
        <w:rPr>
          <w:noProof/>
        </w:rPr>
        <w:drawing>
          <wp:inline distT="0" distB="0" distL="0" distR="0" wp14:anchorId="46B884A9" wp14:editId="230E4E05">
            <wp:extent cx="6760845" cy="3523615"/>
            <wp:effectExtent l="0" t="0" r="1905" b="635"/>
            <wp:docPr id="218" name="Picture 218" descr="This figure (bar graph) presents the incidence of liver cancer in Victoria by Integrated Cancer Service for 2014 and 2017.  Data labels have been included i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60845" cy="3523615"/>
                    </a:xfrm>
                    <a:prstGeom prst="rect">
                      <a:avLst/>
                    </a:prstGeom>
                    <a:noFill/>
                  </pic:spPr>
                </pic:pic>
              </a:graphicData>
            </a:graphic>
          </wp:inline>
        </w:drawing>
      </w:r>
    </w:p>
    <w:p w14:paraId="70FC7991" w14:textId="1046ED93" w:rsidR="00B1404A" w:rsidRDefault="00B1404A" w:rsidP="00036AD7">
      <w:pPr>
        <w:pStyle w:val="DHHSfigurecaption"/>
      </w:pPr>
      <w:bookmarkStart w:id="209" w:name="_Toc19008023"/>
      <w:bookmarkStart w:id="210" w:name="_Toc19008278"/>
      <w:bookmarkStart w:id="211" w:name="_Toc19008425"/>
      <w:bookmarkStart w:id="212" w:name="_Toc19008572"/>
      <w:bookmarkStart w:id="213" w:name="_Toc27414275"/>
      <w:r>
        <w:t>Figure 1.8.2</w:t>
      </w:r>
      <w:r w:rsidR="00E634E9">
        <w:t>:</w:t>
      </w:r>
      <w:r w:rsidRPr="00AB6486">
        <w:t xml:space="preserve"> Incidence of </w:t>
      </w:r>
      <w:r>
        <w:t xml:space="preserve">liver </w:t>
      </w:r>
      <w:r w:rsidRPr="00AB6486">
        <w:t xml:space="preserve">cancer </w:t>
      </w:r>
      <w:r w:rsidR="003F5041">
        <w:t xml:space="preserve">(primary) </w:t>
      </w:r>
      <w:r>
        <w:t xml:space="preserve">in Victoria </w:t>
      </w:r>
      <w:r w:rsidRPr="00AB6486">
        <w:t xml:space="preserve">per 100,000 standardised to the 2001 Australian population, by Victorian </w:t>
      </w:r>
      <w:r w:rsidR="005D072A">
        <w:t>LGA</w:t>
      </w:r>
      <w:r>
        <w:t>, 201</w:t>
      </w:r>
      <w:bookmarkEnd w:id="209"/>
      <w:bookmarkEnd w:id="210"/>
      <w:bookmarkEnd w:id="211"/>
      <w:bookmarkEnd w:id="212"/>
      <w:r w:rsidR="00D333B0">
        <w:t>4</w:t>
      </w:r>
      <w:bookmarkEnd w:id="213"/>
    </w:p>
    <w:p w14:paraId="4844C4CB" w14:textId="0E87C492" w:rsidR="00377F27" w:rsidRPr="00D333B0" w:rsidRDefault="00D333B0" w:rsidP="00D333B0">
      <w:pPr>
        <w:pStyle w:val="DHHSbody"/>
      </w:pPr>
      <w:r>
        <w:rPr>
          <w:noProof/>
        </w:rPr>
        <w:drawing>
          <wp:inline distT="0" distB="0" distL="0" distR="0" wp14:anchorId="0F56ABB3" wp14:editId="1FAADD80">
            <wp:extent cx="6656832" cy="4419335"/>
            <wp:effectExtent l="0" t="0" r="0" b="635"/>
            <wp:docPr id="331" name="Picture 331" descr="This figure shows a map of Victoria showing the highest reported rate of liver cancer in 2014 is in the Wangaratta City Council and the lowest reported rate is in the Cardinia Shire Council. The data set is available under 'Measure 1.8 – Incidence of liver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easure 1.8 2014.PNG"/>
                    <pic:cNvPicPr/>
                  </pic:nvPicPr>
                  <pic:blipFill>
                    <a:blip r:embed="rId58"/>
                    <a:stretch>
                      <a:fillRect/>
                    </a:stretch>
                  </pic:blipFill>
                  <pic:spPr>
                    <a:xfrm>
                      <a:off x="0" y="0"/>
                      <a:ext cx="6662227" cy="4422916"/>
                    </a:xfrm>
                    <a:prstGeom prst="rect">
                      <a:avLst/>
                    </a:prstGeom>
                  </pic:spPr>
                </pic:pic>
              </a:graphicData>
            </a:graphic>
          </wp:inline>
        </w:drawing>
      </w:r>
      <w:r w:rsidR="00377F27">
        <w:rPr>
          <w:rFonts w:cs="Arial"/>
          <w:b/>
        </w:rPr>
        <w:br w:type="page"/>
      </w:r>
    </w:p>
    <w:p w14:paraId="0170D70F" w14:textId="14AEAAC8" w:rsidR="00B1404A" w:rsidRDefault="00B1404A" w:rsidP="00DF6BF5">
      <w:pPr>
        <w:pStyle w:val="DHHSfigurecaption"/>
      </w:pPr>
      <w:bookmarkStart w:id="214" w:name="_Toc19008024"/>
      <w:bookmarkStart w:id="215" w:name="_Toc19008279"/>
      <w:bookmarkStart w:id="216" w:name="_Toc19008426"/>
      <w:bookmarkStart w:id="217" w:name="_Toc19008573"/>
      <w:bookmarkStart w:id="218" w:name="_Toc27414276"/>
      <w:r>
        <w:lastRenderedPageBreak/>
        <w:t>Figure 1.8.3</w:t>
      </w:r>
      <w:r w:rsidR="00E634E9">
        <w:t>:</w:t>
      </w:r>
      <w:r w:rsidRPr="00AB6486">
        <w:t xml:space="preserve"> Incidence of </w:t>
      </w:r>
      <w:r>
        <w:t xml:space="preserve">liver </w:t>
      </w:r>
      <w:r w:rsidRPr="00AB6486">
        <w:t>cancer</w:t>
      </w:r>
      <w:r w:rsidR="003F5041">
        <w:t xml:space="preserve"> (primary)</w:t>
      </w:r>
      <w:r w:rsidRPr="00AB6486">
        <w:t xml:space="preserve"> </w:t>
      </w:r>
      <w:r>
        <w:t xml:space="preserve">in Victoria </w:t>
      </w:r>
      <w:r w:rsidRPr="00AB6486">
        <w:t xml:space="preserve">per 100,000 standardised to the 2001 Australian population, by Victorian </w:t>
      </w:r>
      <w:r w:rsidR="005D072A">
        <w:t>LGA</w:t>
      </w:r>
      <w:r>
        <w:t>, 2017</w:t>
      </w:r>
      <w:bookmarkEnd w:id="214"/>
      <w:bookmarkEnd w:id="215"/>
      <w:bookmarkEnd w:id="216"/>
      <w:bookmarkEnd w:id="217"/>
      <w:bookmarkEnd w:id="218"/>
    </w:p>
    <w:p w14:paraId="0BDA8284" w14:textId="349CA9F7" w:rsidR="00231924" w:rsidRPr="00231924" w:rsidRDefault="00231924" w:rsidP="00231924">
      <w:pPr>
        <w:pStyle w:val="DHHSbody"/>
      </w:pPr>
      <w:r>
        <w:rPr>
          <w:noProof/>
        </w:rPr>
        <w:drawing>
          <wp:inline distT="0" distB="0" distL="0" distR="0" wp14:anchorId="793129EA" wp14:editId="76EEEBEE">
            <wp:extent cx="6438900" cy="4461008"/>
            <wp:effectExtent l="0" t="0" r="0" b="0"/>
            <wp:docPr id="194" name="Picture 194" descr="This figure shows a map of Victoria showing the highest reported rate of liver cancer in 2017 is in the Strathbogie Shire Council and the lowest reported rate is in the Ballarat City Council. The data set is available under 'Measure 1.8 – Incidence of liver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443053" cy="4463885"/>
                    </a:xfrm>
                    <a:prstGeom prst="rect">
                      <a:avLst/>
                    </a:prstGeom>
                  </pic:spPr>
                </pic:pic>
              </a:graphicData>
            </a:graphic>
          </wp:inline>
        </w:drawing>
      </w:r>
    </w:p>
    <w:p w14:paraId="14FFD240" w14:textId="57861432" w:rsidR="00665D4B" w:rsidRPr="0078684F" w:rsidRDefault="00665D4B" w:rsidP="0078684F">
      <w:pPr>
        <w:pStyle w:val="Heading4"/>
      </w:pPr>
      <w:r w:rsidRPr="00E43803">
        <w:t>Measure assessment</w:t>
      </w:r>
    </w:p>
    <w:p w14:paraId="01807D70" w14:textId="4DC19A94" w:rsidR="003E5FD3" w:rsidRPr="0078684F" w:rsidRDefault="003E5FD3" w:rsidP="0078684F">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156156" w:rsidRPr="00EC3B7A">
        <w:rPr>
          <w:rFonts w:ascii="Arial" w:hAnsi="Arial" w:cs="Arial"/>
          <w:b/>
          <w:color w:val="C00000"/>
        </w:rPr>
        <w:t>Red</w:t>
      </w:r>
      <w:r w:rsidR="00EC3B7A">
        <w:rPr>
          <w:rFonts w:ascii="Arial" w:hAnsi="Arial" w:cs="Arial"/>
          <w:b/>
          <w:color w:val="C00000"/>
        </w:rPr>
        <w:t xml:space="preserve"> </w:t>
      </w:r>
      <w:r w:rsidR="00EC3B7A">
        <w:rPr>
          <w:rFonts w:ascii="Arial" w:hAnsi="Arial" w:cs="Arial"/>
          <w:color w:val="C00000"/>
        </w:rPr>
        <w:t>(result is of concern)</w:t>
      </w:r>
    </w:p>
    <w:p w14:paraId="21149CAD" w14:textId="1754067F" w:rsidR="003E5FD3" w:rsidRPr="003E5FD3" w:rsidRDefault="003E5FD3" w:rsidP="0078684F">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156156">
        <w:rPr>
          <w:rFonts w:ascii="Arial" w:hAnsi="Arial" w:cs="Arial"/>
        </w:rPr>
        <w:t>Static or unchanging</w:t>
      </w:r>
    </w:p>
    <w:p w14:paraId="3F99C78D" w14:textId="5B9AFCA0" w:rsidR="00CE123F" w:rsidRPr="00D60D68" w:rsidRDefault="003E5FD3" w:rsidP="0078684F">
      <w:pPr>
        <w:autoSpaceDE w:val="0"/>
        <w:autoSpaceDN w:val="0"/>
        <w:adjustRightInd w:val="0"/>
        <w:spacing w:after="120" w:line="270" w:lineRule="atLeast"/>
        <w:rPr>
          <w:rFonts w:ascii="Arial" w:hAnsi="Arial" w:cs="Arial"/>
        </w:rPr>
      </w:pPr>
      <w:r w:rsidRPr="00C80117">
        <w:rPr>
          <w:rFonts w:ascii="Arial" w:hAnsi="Arial" w:cs="Arial"/>
        </w:rPr>
        <w:t>Commentary:</w:t>
      </w:r>
      <w:r w:rsidR="00952FC7">
        <w:rPr>
          <w:rFonts w:ascii="Arial" w:hAnsi="Arial" w:cs="Arial"/>
        </w:rPr>
        <w:t xml:space="preserve"> </w:t>
      </w:r>
      <w:r w:rsidR="004E15D3" w:rsidRPr="00C80117">
        <w:rPr>
          <w:rFonts w:ascii="Arial" w:hAnsi="Arial" w:cs="Arial"/>
        </w:rPr>
        <w:t xml:space="preserve">Liver cancer can be divided into </w:t>
      </w:r>
      <w:r w:rsidR="00C80117" w:rsidRPr="00C80117">
        <w:rPr>
          <w:rFonts w:ascii="Arial" w:hAnsi="Arial" w:cs="Arial"/>
        </w:rPr>
        <w:t>two</w:t>
      </w:r>
      <w:r w:rsidR="004E15D3" w:rsidRPr="00C80117">
        <w:rPr>
          <w:rFonts w:ascii="Arial" w:hAnsi="Arial" w:cs="Arial"/>
        </w:rPr>
        <w:t xml:space="preserve"> types: primary liver cancer and secondary liver cancer</w:t>
      </w:r>
      <w:r w:rsidR="005517FA">
        <w:rPr>
          <w:rFonts w:ascii="Arial" w:hAnsi="Arial" w:cs="Arial"/>
        </w:rPr>
        <w:t xml:space="preserve"> </w:t>
      </w:r>
      <w:r w:rsidR="004E15D3" w:rsidRPr="00C80117">
        <w:rPr>
          <w:rFonts w:ascii="Arial" w:hAnsi="Arial" w:cs="Arial"/>
        </w:rPr>
        <w:t xml:space="preserve">(that is, </w:t>
      </w:r>
      <w:r w:rsidR="004E15D3" w:rsidRPr="00D60D68">
        <w:rPr>
          <w:rFonts w:ascii="Arial" w:hAnsi="Arial" w:cs="Arial"/>
        </w:rPr>
        <w:t xml:space="preserve">cancer that develops elsewhere in the body and spreads to the liver). </w:t>
      </w:r>
      <w:r w:rsidR="005E0DC3" w:rsidRPr="00D60D68">
        <w:rPr>
          <w:rFonts w:ascii="Arial" w:hAnsi="Arial" w:cs="Arial"/>
        </w:rPr>
        <w:t>Globally</w:t>
      </w:r>
      <w:r w:rsidR="00CC3513">
        <w:rPr>
          <w:rFonts w:ascii="Arial" w:hAnsi="Arial" w:cs="Arial"/>
        </w:rPr>
        <w:t xml:space="preserve"> primary</w:t>
      </w:r>
      <w:r w:rsidR="005E0DC3" w:rsidRPr="00D60D68">
        <w:rPr>
          <w:rFonts w:ascii="Arial" w:hAnsi="Arial" w:cs="Arial"/>
        </w:rPr>
        <w:t xml:space="preserve"> liver cancer is predicted to be</w:t>
      </w:r>
      <w:r w:rsidR="0051051D" w:rsidRPr="00D60D68">
        <w:rPr>
          <w:rFonts w:ascii="Arial" w:hAnsi="Arial" w:cs="Arial"/>
        </w:rPr>
        <w:t xml:space="preserve"> the sixth most commonly diagnosed cancer in 2018. </w:t>
      </w:r>
      <w:r w:rsidR="009666D0">
        <w:rPr>
          <w:rFonts w:ascii="Arial" w:hAnsi="Arial" w:cs="Arial"/>
        </w:rPr>
        <w:t>I</w:t>
      </w:r>
      <w:r w:rsidR="0051051D" w:rsidRPr="00D60D68">
        <w:rPr>
          <w:rFonts w:ascii="Arial" w:hAnsi="Arial" w:cs="Arial"/>
        </w:rPr>
        <w:t>ncidence</w:t>
      </w:r>
      <w:r w:rsidR="009666D0">
        <w:rPr>
          <w:rFonts w:ascii="Arial" w:hAnsi="Arial" w:cs="Arial"/>
        </w:rPr>
        <w:t xml:space="preserve"> rates of liver cancer</w:t>
      </w:r>
      <w:r w:rsidR="0051051D" w:rsidRPr="00D60D68">
        <w:rPr>
          <w:rFonts w:ascii="Arial" w:hAnsi="Arial" w:cs="Arial"/>
        </w:rPr>
        <w:t xml:space="preserve"> are </w:t>
      </w:r>
      <w:r w:rsidR="00903EBD">
        <w:rPr>
          <w:rFonts w:ascii="Arial" w:hAnsi="Arial" w:cs="Arial"/>
        </w:rPr>
        <w:t>two</w:t>
      </w:r>
      <w:r w:rsidR="0051051D" w:rsidRPr="00D60D68">
        <w:rPr>
          <w:rFonts w:ascii="Arial" w:hAnsi="Arial" w:cs="Arial"/>
        </w:rPr>
        <w:t xml:space="preserve"> to </w:t>
      </w:r>
      <w:r w:rsidR="00903EBD">
        <w:rPr>
          <w:rFonts w:ascii="Arial" w:hAnsi="Arial" w:cs="Arial"/>
        </w:rPr>
        <w:t>three</w:t>
      </w:r>
      <w:r w:rsidR="0051051D" w:rsidRPr="00D60D68">
        <w:rPr>
          <w:rFonts w:ascii="Arial" w:hAnsi="Arial" w:cs="Arial"/>
        </w:rPr>
        <w:t xml:space="preserve"> times higher among men in most world regions.</w:t>
      </w:r>
      <w:r w:rsidR="004A10E8" w:rsidRPr="00D60D68">
        <w:rPr>
          <w:rStyle w:val="FootnoteReference"/>
          <w:rFonts w:cs="Arial"/>
        </w:rPr>
        <w:footnoteReference w:id="31"/>
      </w:r>
      <w:r w:rsidR="0029123F" w:rsidRPr="00D60D68">
        <w:rPr>
          <w:rFonts w:ascii="Arial" w:hAnsi="Arial" w:cs="Arial"/>
        </w:rPr>
        <w:t xml:space="preserve"> </w:t>
      </w:r>
      <w:r w:rsidR="005517FA" w:rsidRPr="00D60D68">
        <w:rPr>
          <w:rFonts w:ascii="Arial" w:hAnsi="Arial" w:cs="Arial"/>
        </w:rPr>
        <w:t xml:space="preserve">In </w:t>
      </w:r>
      <w:r w:rsidR="00D62A91" w:rsidRPr="00D60D68">
        <w:rPr>
          <w:rFonts w:ascii="Arial" w:hAnsi="Arial" w:cs="Arial"/>
        </w:rPr>
        <w:t>2015</w:t>
      </w:r>
      <w:r w:rsidR="00F3272F" w:rsidRPr="00D60D68">
        <w:rPr>
          <w:rFonts w:ascii="Arial" w:hAnsi="Arial" w:cs="Arial"/>
        </w:rPr>
        <w:t>,</w:t>
      </w:r>
      <w:r w:rsidR="00D62A91" w:rsidRPr="00D60D68">
        <w:rPr>
          <w:rFonts w:ascii="Arial" w:hAnsi="Arial" w:cs="Arial"/>
        </w:rPr>
        <w:t xml:space="preserve"> </w:t>
      </w:r>
      <w:r w:rsidR="005517FA" w:rsidRPr="00D60D68">
        <w:rPr>
          <w:rFonts w:ascii="Arial" w:hAnsi="Arial" w:cs="Arial"/>
        </w:rPr>
        <w:t xml:space="preserve">liver cancer was identified as the </w:t>
      </w:r>
      <w:r w:rsidR="00B40166">
        <w:rPr>
          <w:rFonts w:ascii="Arial" w:hAnsi="Arial" w:cs="Arial"/>
        </w:rPr>
        <w:t>15</w:t>
      </w:r>
      <w:r w:rsidR="005517FA" w:rsidRPr="00D60D68">
        <w:rPr>
          <w:rFonts w:ascii="Arial" w:hAnsi="Arial" w:cs="Arial"/>
        </w:rPr>
        <w:t xml:space="preserve">th most commonly </w:t>
      </w:r>
      <w:r w:rsidR="00D62A91" w:rsidRPr="00D60D68">
        <w:rPr>
          <w:rFonts w:ascii="Arial" w:hAnsi="Arial" w:cs="Arial"/>
        </w:rPr>
        <w:t xml:space="preserve">diagnosed cancer in Australia. It is estimated that it will continue to remain the </w:t>
      </w:r>
      <w:r w:rsidR="00B40166">
        <w:rPr>
          <w:rFonts w:ascii="Arial" w:hAnsi="Arial" w:cs="Arial"/>
        </w:rPr>
        <w:t>15</w:t>
      </w:r>
      <w:r w:rsidR="00D62A91" w:rsidRPr="00D60D68">
        <w:rPr>
          <w:rFonts w:ascii="Arial" w:hAnsi="Arial" w:cs="Arial"/>
        </w:rPr>
        <w:t>th most commonly diagnosed cancer in 2019.</w:t>
      </w:r>
      <w:r w:rsidR="00D62A91" w:rsidRPr="00D60D68">
        <w:rPr>
          <w:rStyle w:val="FootnoteReference"/>
          <w:rFonts w:cs="Arial"/>
        </w:rPr>
        <w:footnoteReference w:id="32"/>
      </w:r>
      <w:r w:rsidR="00D62A91" w:rsidRPr="00D60D68">
        <w:rPr>
          <w:rFonts w:ascii="Arial" w:hAnsi="Arial" w:cs="Arial"/>
        </w:rPr>
        <w:t xml:space="preserve"> </w:t>
      </w:r>
      <w:r w:rsidR="00D62A91" w:rsidRPr="00D60D68">
        <w:rPr>
          <w:rFonts w:ascii="Arial" w:hAnsi="Arial" w:cs="Arial"/>
          <w:color w:val="000000"/>
          <w:lang w:val="en"/>
        </w:rPr>
        <w:t>In 2015, the age-standardised incidence rate was 7.6 cases per 100,000 population (12 for males and 3.9 for females).</w:t>
      </w:r>
      <w:r w:rsidR="00A72FE9" w:rsidRPr="00D60D68">
        <w:rPr>
          <w:rStyle w:val="FootnoteReference"/>
          <w:rFonts w:cs="Arial"/>
        </w:rPr>
        <w:footnoteReference w:id="33"/>
      </w:r>
      <w:r w:rsidR="00A72FE9" w:rsidRPr="00D60D68">
        <w:rPr>
          <w:rFonts w:ascii="Arial" w:hAnsi="Arial" w:cs="Arial"/>
        </w:rPr>
        <w:t xml:space="preserve"> </w:t>
      </w:r>
      <w:r w:rsidR="00D62A91" w:rsidRPr="00D60D68">
        <w:rPr>
          <w:rFonts w:ascii="Arial" w:hAnsi="Arial" w:cs="Arial"/>
          <w:color w:val="000000"/>
          <w:lang w:val="en"/>
        </w:rPr>
        <w:t xml:space="preserve">Victoria </w:t>
      </w:r>
      <w:r w:rsidR="00A72FE9">
        <w:rPr>
          <w:rFonts w:ascii="Arial" w:hAnsi="Arial" w:cs="Arial"/>
          <w:color w:val="000000"/>
          <w:lang w:val="en"/>
        </w:rPr>
        <w:t xml:space="preserve">was observed </w:t>
      </w:r>
      <w:r w:rsidR="00D62A91" w:rsidRPr="00D60D68">
        <w:rPr>
          <w:rFonts w:ascii="Arial" w:hAnsi="Arial" w:cs="Arial"/>
          <w:color w:val="000000"/>
          <w:lang w:val="en"/>
        </w:rPr>
        <w:t>to follow</w:t>
      </w:r>
      <w:r w:rsidR="00A72FE9">
        <w:rPr>
          <w:rFonts w:ascii="Arial" w:hAnsi="Arial" w:cs="Arial"/>
          <w:color w:val="000000"/>
          <w:lang w:val="en"/>
        </w:rPr>
        <w:t>ing</w:t>
      </w:r>
      <w:r w:rsidR="00D62A91" w:rsidRPr="00D60D68">
        <w:rPr>
          <w:rFonts w:ascii="Arial" w:hAnsi="Arial" w:cs="Arial"/>
          <w:color w:val="000000"/>
          <w:lang w:val="en"/>
        </w:rPr>
        <w:t xml:space="preserve"> a similar trend in that </w:t>
      </w:r>
      <w:r w:rsidR="00D62A91" w:rsidRPr="00D60D68">
        <w:rPr>
          <w:rFonts w:ascii="Arial" w:hAnsi="Arial" w:cs="Arial"/>
        </w:rPr>
        <w:t>the a</w:t>
      </w:r>
      <w:r w:rsidR="00C80117" w:rsidRPr="00D60D68">
        <w:rPr>
          <w:rFonts w:ascii="Arial" w:hAnsi="Arial" w:cs="Arial"/>
        </w:rPr>
        <w:t xml:space="preserve">ge-standardised incidence rate </w:t>
      </w:r>
      <w:r w:rsidR="00261D7C">
        <w:rPr>
          <w:rFonts w:ascii="Arial" w:hAnsi="Arial" w:cs="Arial"/>
        </w:rPr>
        <w:t xml:space="preserve">ranging </w:t>
      </w:r>
      <w:r w:rsidR="00C80117" w:rsidRPr="00D60D68">
        <w:rPr>
          <w:rFonts w:ascii="Arial" w:hAnsi="Arial" w:cs="Arial"/>
        </w:rPr>
        <w:t xml:space="preserve">from </w:t>
      </w:r>
      <w:r w:rsidR="00261D7C">
        <w:rPr>
          <w:rFonts w:ascii="Arial" w:hAnsi="Arial" w:cs="Arial"/>
        </w:rPr>
        <w:t>8.4</w:t>
      </w:r>
      <w:r w:rsidR="00C80117" w:rsidRPr="00D60D68">
        <w:rPr>
          <w:rFonts w:ascii="Arial" w:hAnsi="Arial" w:cs="Arial"/>
        </w:rPr>
        <w:t xml:space="preserve"> cases per 100,000</w:t>
      </w:r>
      <w:r w:rsidR="005028A5" w:rsidRPr="00D60D68">
        <w:rPr>
          <w:rFonts w:ascii="Arial" w:hAnsi="Arial" w:cs="Arial"/>
        </w:rPr>
        <w:t xml:space="preserve"> </w:t>
      </w:r>
      <w:r w:rsidR="00C80117" w:rsidRPr="00D60D68">
        <w:rPr>
          <w:rFonts w:ascii="Arial" w:hAnsi="Arial" w:cs="Arial"/>
        </w:rPr>
        <w:t>p</w:t>
      </w:r>
      <w:r w:rsidR="005028A5" w:rsidRPr="00D60D68">
        <w:rPr>
          <w:rFonts w:ascii="Arial" w:hAnsi="Arial" w:cs="Arial"/>
        </w:rPr>
        <w:t>opulation</w:t>
      </w:r>
      <w:r w:rsidR="0029123F" w:rsidRPr="00D60D68">
        <w:rPr>
          <w:rFonts w:ascii="Arial" w:hAnsi="Arial" w:cs="Arial"/>
        </w:rPr>
        <w:t xml:space="preserve"> in 201</w:t>
      </w:r>
      <w:r w:rsidR="00A72FE9">
        <w:rPr>
          <w:rFonts w:ascii="Arial" w:hAnsi="Arial" w:cs="Arial"/>
        </w:rPr>
        <w:t>4</w:t>
      </w:r>
      <w:r w:rsidR="00C80117" w:rsidRPr="00D60D68">
        <w:rPr>
          <w:rFonts w:ascii="Arial" w:hAnsi="Arial" w:cs="Arial"/>
        </w:rPr>
        <w:t xml:space="preserve"> to 7.6 per 100,000 </w:t>
      </w:r>
      <w:r w:rsidR="0029123F" w:rsidRPr="00D60D68">
        <w:rPr>
          <w:rFonts w:ascii="Arial" w:hAnsi="Arial" w:cs="Arial"/>
        </w:rPr>
        <w:t>population in 2017</w:t>
      </w:r>
      <w:r w:rsidR="005028A5" w:rsidRPr="00D60D68">
        <w:rPr>
          <w:rFonts w:ascii="Arial" w:hAnsi="Arial" w:cs="Arial"/>
        </w:rPr>
        <w:t>.</w:t>
      </w:r>
      <w:r w:rsidR="00952FC7">
        <w:rPr>
          <w:rFonts w:ascii="Arial" w:hAnsi="Arial" w:cs="Arial"/>
        </w:rPr>
        <w:t xml:space="preserve"> </w:t>
      </w:r>
      <w:r w:rsidR="00D150A2" w:rsidRPr="00D60D68">
        <w:rPr>
          <w:rFonts w:ascii="Arial" w:hAnsi="Arial" w:cs="Arial"/>
        </w:rPr>
        <w:t>In addition</w:t>
      </w:r>
      <w:r w:rsidR="00D62A91" w:rsidRPr="00D60D68">
        <w:rPr>
          <w:rFonts w:ascii="Arial" w:hAnsi="Arial" w:cs="Arial"/>
        </w:rPr>
        <w:t xml:space="preserve">, the incidence rate was </w:t>
      </w:r>
      <w:r w:rsidR="00D150A2" w:rsidRPr="00D60D68">
        <w:rPr>
          <w:rFonts w:ascii="Arial" w:hAnsi="Arial" w:cs="Arial"/>
        </w:rPr>
        <w:t xml:space="preserve">also </w:t>
      </w:r>
      <w:r w:rsidR="00D62A91" w:rsidRPr="00D60D68">
        <w:rPr>
          <w:rFonts w:ascii="Arial" w:hAnsi="Arial" w:cs="Arial"/>
        </w:rPr>
        <w:t>higher for males (1</w:t>
      </w:r>
      <w:r w:rsidR="00261D7C">
        <w:rPr>
          <w:rFonts w:ascii="Arial" w:hAnsi="Arial" w:cs="Arial"/>
        </w:rPr>
        <w:t>3.4</w:t>
      </w:r>
      <w:r w:rsidR="00D62A91" w:rsidRPr="00D60D68">
        <w:rPr>
          <w:rFonts w:ascii="Arial" w:hAnsi="Arial" w:cs="Arial"/>
        </w:rPr>
        <w:t xml:space="preserve"> per 100,00</w:t>
      </w:r>
      <w:r w:rsidR="00760F67" w:rsidRPr="00D60D68">
        <w:rPr>
          <w:rFonts w:ascii="Arial" w:hAnsi="Arial" w:cs="Arial"/>
        </w:rPr>
        <w:t>0</w:t>
      </w:r>
      <w:r w:rsidR="00D62A91" w:rsidRPr="00D60D68">
        <w:rPr>
          <w:rFonts w:ascii="Arial" w:hAnsi="Arial" w:cs="Arial"/>
        </w:rPr>
        <w:t xml:space="preserve"> population in 201</w:t>
      </w:r>
      <w:r w:rsidR="00261D7C">
        <w:rPr>
          <w:rFonts w:ascii="Arial" w:hAnsi="Arial" w:cs="Arial"/>
        </w:rPr>
        <w:t>4</w:t>
      </w:r>
      <w:r w:rsidR="00D62A91" w:rsidRPr="00D60D68">
        <w:rPr>
          <w:rFonts w:ascii="Arial" w:hAnsi="Arial" w:cs="Arial"/>
        </w:rPr>
        <w:t xml:space="preserve"> </w:t>
      </w:r>
      <w:r w:rsidR="00261D7C">
        <w:rPr>
          <w:rFonts w:ascii="Arial" w:hAnsi="Arial" w:cs="Arial"/>
        </w:rPr>
        <w:t>falling</w:t>
      </w:r>
      <w:r w:rsidR="00D62A91" w:rsidRPr="00D60D68">
        <w:rPr>
          <w:rFonts w:ascii="Arial" w:hAnsi="Arial" w:cs="Arial"/>
        </w:rPr>
        <w:t xml:space="preserve"> to 11 per 100,000 population in 2017)</w:t>
      </w:r>
      <w:r w:rsidR="00D150A2" w:rsidRPr="00D60D68">
        <w:rPr>
          <w:rFonts w:ascii="Arial" w:hAnsi="Arial" w:cs="Arial"/>
        </w:rPr>
        <w:t xml:space="preserve"> compared </w:t>
      </w:r>
      <w:r w:rsidR="001B50BF">
        <w:rPr>
          <w:rFonts w:ascii="Arial" w:hAnsi="Arial" w:cs="Arial"/>
        </w:rPr>
        <w:t>with</w:t>
      </w:r>
      <w:r w:rsidR="001B50BF" w:rsidRPr="00D60D68">
        <w:rPr>
          <w:rFonts w:ascii="Arial" w:hAnsi="Arial" w:cs="Arial"/>
        </w:rPr>
        <w:t xml:space="preserve"> </w:t>
      </w:r>
      <w:r w:rsidR="00D150A2" w:rsidRPr="00D60D68">
        <w:rPr>
          <w:rFonts w:ascii="Arial" w:hAnsi="Arial" w:cs="Arial"/>
        </w:rPr>
        <w:t>females (</w:t>
      </w:r>
      <w:r w:rsidR="00261D7C">
        <w:rPr>
          <w:rFonts w:ascii="Arial" w:hAnsi="Arial" w:cs="Arial"/>
        </w:rPr>
        <w:t>3.9</w:t>
      </w:r>
      <w:r w:rsidR="00D150A2" w:rsidRPr="00D60D68">
        <w:rPr>
          <w:rFonts w:ascii="Arial" w:hAnsi="Arial" w:cs="Arial"/>
        </w:rPr>
        <w:t xml:space="preserve"> per 100,000 population in 201</w:t>
      </w:r>
      <w:r w:rsidR="00261D7C">
        <w:rPr>
          <w:rFonts w:ascii="Arial" w:hAnsi="Arial" w:cs="Arial"/>
        </w:rPr>
        <w:t>4</w:t>
      </w:r>
      <w:r w:rsidR="00D150A2" w:rsidRPr="00D60D68">
        <w:rPr>
          <w:rFonts w:ascii="Arial" w:hAnsi="Arial" w:cs="Arial"/>
        </w:rPr>
        <w:t xml:space="preserve"> rising to </w:t>
      </w:r>
      <w:r w:rsidR="00261D7C">
        <w:rPr>
          <w:rFonts w:ascii="Arial" w:hAnsi="Arial" w:cs="Arial"/>
        </w:rPr>
        <w:t>4.3</w:t>
      </w:r>
      <w:r w:rsidR="00D150A2" w:rsidRPr="00D60D68">
        <w:rPr>
          <w:rFonts w:ascii="Arial" w:hAnsi="Arial" w:cs="Arial"/>
        </w:rPr>
        <w:t xml:space="preserve"> per 100,000 population in 2017).</w:t>
      </w:r>
    </w:p>
    <w:p w14:paraId="672A8042" w14:textId="1C497BC7" w:rsidR="004E15D3" w:rsidRPr="001E6097" w:rsidRDefault="00875980" w:rsidP="0077718B">
      <w:pPr>
        <w:autoSpaceDE w:val="0"/>
        <w:autoSpaceDN w:val="0"/>
        <w:adjustRightInd w:val="0"/>
        <w:spacing w:after="120" w:line="270" w:lineRule="atLeast"/>
        <w:rPr>
          <w:rFonts w:ascii="Arial" w:hAnsi="Arial" w:cs="Arial"/>
        </w:rPr>
      </w:pPr>
      <w:r w:rsidRPr="00D60D68">
        <w:rPr>
          <w:rFonts w:ascii="Arial" w:hAnsi="Arial" w:cs="Arial"/>
        </w:rPr>
        <w:t xml:space="preserve">For </w:t>
      </w:r>
      <w:r w:rsidR="00E640C6" w:rsidRPr="00D60D68">
        <w:rPr>
          <w:rFonts w:ascii="Arial" w:hAnsi="Arial" w:cs="Arial"/>
        </w:rPr>
        <w:t>Aboriginal and Torres Strait Islander</w:t>
      </w:r>
      <w:r w:rsidR="00236B3E">
        <w:rPr>
          <w:rFonts w:ascii="Arial" w:hAnsi="Arial" w:cs="Arial"/>
        </w:rPr>
        <w:t xml:space="preserve"> Victorians</w:t>
      </w:r>
      <w:r w:rsidRPr="00D60D68">
        <w:rPr>
          <w:rFonts w:ascii="Arial" w:hAnsi="Arial" w:cs="Arial"/>
        </w:rPr>
        <w:t>, the age-standardised incidence rates for liver cancer have varied over time. A</w:t>
      </w:r>
      <w:r w:rsidR="009666D0">
        <w:rPr>
          <w:rFonts w:ascii="Arial" w:hAnsi="Arial" w:cs="Arial"/>
        </w:rPr>
        <w:t>n</w:t>
      </w:r>
      <w:r w:rsidRPr="00D60D68">
        <w:rPr>
          <w:rFonts w:ascii="Arial" w:hAnsi="Arial" w:cs="Arial"/>
        </w:rPr>
        <w:t xml:space="preserve"> increasing trend was observed in the liver cancer</w:t>
      </w:r>
      <w:r w:rsidR="00CC7FBA" w:rsidRPr="00D60D68">
        <w:rPr>
          <w:rFonts w:ascii="Arial" w:hAnsi="Arial" w:cs="Arial"/>
        </w:rPr>
        <w:t xml:space="preserve"> age-standardised</w:t>
      </w:r>
      <w:r w:rsidRPr="00D60D68">
        <w:rPr>
          <w:rFonts w:ascii="Arial" w:hAnsi="Arial" w:cs="Arial"/>
        </w:rPr>
        <w:t xml:space="preserve"> incidence rate for Aboriginal Victorians.</w:t>
      </w:r>
      <w:r w:rsidR="00952FC7">
        <w:rPr>
          <w:rFonts w:ascii="Arial" w:hAnsi="Arial" w:cs="Arial"/>
        </w:rPr>
        <w:t xml:space="preserve"> </w:t>
      </w:r>
      <w:r w:rsidR="00156156" w:rsidRPr="00D60D68">
        <w:rPr>
          <w:rFonts w:ascii="Arial" w:hAnsi="Arial" w:cs="Arial"/>
        </w:rPr>
        <w:t>However</w:t>
      </w:r>
      <w:r w:rsidR="00B02FA2" w:rsidRPr="00D60D68">
        <w:rPr>
          <w:rFonts w:ascii="Arial" w:hAnsi="Arial" w:cs="Arial"/>
        </w:rPr>
        <w:t>,</w:t>
      </w:r>
      <w:r w:rsidR="00156156" w:rsidRPr="00D60D68">
        <w:rPr>
          <w:rFonts w:ascii="Arial" w:hAnsi="Arial" w:cs="Arial"/>
        </w:rPr>
        <w:t xml:space="preserve"> these results should be interpreted with caution</w:t>
      </w:r>
      <w:r w:rsidR="00156156">
        <w:rPr>
          <w:rFonts w:ascii="Arial" w:hAnsi="Arial" w:cs="Arial"/>
        </w:rPr>
        <w:t xml:space="preserve"> because</w:t>
      </w:r>
      <w:r w:rsidR="00243E9C">
        <w:rPr>
          <w:rFonts w:ascii="Arial" w:hAnsi="Arial" w:cs="Arial"/>
        </w:rPr>
        <w:t>,</w:t>
      </w:r>
      <w:r w:rsidR="00156156">
        <w:rPr>
          <w:rFonts w:ascii="Arial" w:hAnsi="Arial" w:cs="Arial"/>
        </w:rPr>
        <w:t xml:space="preserve"> while incidence appears to have </w:t>
      </w:r>
      <w:r w:rsidR="00156156">
        <w:rPr>
          <w:rFonts w:ascii="Arial" w:hAnsi="Arial" w:cs="Arial"/>
        </w:rPr>
        <w:lastRenderedPageBreak/>
        <w:t xml:space="preserve">increased from </w:t>
      </w:r>
      <w:r w:rsidR="00261D7C">
        <w:rPr>
          <w:rFonts w:ascii="Arial" w:hAnsi="Arial" w:cs="Arial"/>
        </w:rPr>
        <w:t>28.6</w:t>
      </w:r>
      <w:r w:rsidR="00156156">
        <w:rPr>
          <w:rFonts w:ascii="Arial" w:hAnsi="Arial" w:cs="Arial"/>
        </w:rPr>
        <w:t xml:space="preserve"> per 100,000 population in 201</w:t>
      </w:r>
      <w:r w:rsidR="00261D7C">
        <w:rPr>
          <w:rFonts w:ascii="Arial" w:hAnsi="Arial" w:cs="Arial"/>
        </w:rPr>
        <w:t>4</w:t>
      </w:r>
      <w:r w:rsidR="00156156">
        <w:rPr>
          <w:rFonts w:ascii="Arial" w:hAnsi="Arial" w:cs="Arial"/>
        </w:rPr>
        <w:t xml:space="preserve"> to 35</w:t>
      </w:r>
      <w:r w:rsidR="00261D7C">
        <w:rPr>
          <w:rFonts w:ascii="Arial" w:hAnsi="Arial" w:cs="Arial"/>
        </w:rPr>
        <w:t>.4</w:t>
      </w:r>
      <w:r w:rsidR="00156156">
        <w:rPr>
          <w:rFonts w:ascii="Arial" w:hAnsi="Arial" w:cs="Arial"/>
        </w:rPr>
        <w:t xml:space="preserve"> per 100,000 population in 2017, the 95</w:t>
      </w:r>
      <w:r w:rsidR="00903EBD">
        <w:rPr>
          <w:rFonts w:ascii="Arial" w:hAnsi="Arial" w:cs="Arial"/>
        </w:rPr>
        <w:t xml:space="preserve"> per cent</w:t>
      </w:r>
      <w:r w:rsidR="00156156">
        <w:rPr>
          <w:rFonts w:ascii="Arial" w:hAnsi="Arial" w:cs="Arial"/>
        </w:rPr>
        <w:t xml:space="preserve"> confidence intervals are very wide and overlap</w:t>
      </w:r>
      <w:r w:rsidR="009666D0">
        <w:rPr>
          <w:rFonts w:ascii="Arial" w:hAnsi="Arial" w:cs="Arial"/>
        </w:rPr>
        <w:t xml:space="preserve"> (Figure 1.8).</w:t>
      </w:r>
    </w:p>
    <w:p w14:paraId="3899B034" w14:textId="7AA3E236" w:rsidR="004E15D3" w:rsidRDefault="00CC7FBA" w:rsidP="0077718B">
      <w:pPr>
        <w:pStyle w:val="DHHSbody"/>
        <w:rPr>
          <w:rFonts w:cs="Arial"/>
          <w:lang w:eastAsia="en-AU"/>
        </w:rPr>
      </w:pPr>
      <w:r w:rsidRPr="001E6097">
        <w:rPr>
          <w:rFonts w:cs="Arial"/>
          <w:lang w:eastAsia="en-AU"/>
        </w:rPr>
        <w:t xml:space="preserve">Age-standardised incidence rates for liver cancer were highest in the lowest socioeconomic </w:t>
      </w:r>
      <w:r w:rsidR="00E67019">
        <w:rPr>
          <w:rFonts w:cs="Arial"/>
          <w:lang w:eastAsia="en-AU"/>
        </w:rPr>
        <w:t>quintile (SES 1</w:t>
      </w:r>
      <w:r w:rsidRPr="001E6097">
        <w:rPr>
          <w:rFonts w:cs="Arial"/>
          <w:lang w:eastAsia="en-AU"/>
        </w:rPr>
        <w:t>) between 201</w:t>
      </w:r>
      <w:r w:rsidR="00261D7C">
        <w:rPr>
          <w:rFonts w:cs="Arial"/>
          <w:lang w:eastAsia="en-AU"/>
        </w:rPr>
        <w:t>4</w:t>
      </w:r>
      <w:r w:rsidRPr="001E6097">
        <w:rPr>
          <w:rFonts w:cs="Arial"/>
          <w:lang w:eastAsia="en-AU"/>
        </w:rPr>
        <w:t xml:space="preserve"> and 2017.</w:t>
      </w:r>
      <w:r w:rsidR="00952FC7">
        <w:rPr>
          <w:rFonts w:cs="Arial"/>
          <w:lang w:eastAsia="en-AU"/>
        </w:rPr>
        <w:t xml:space="preserve"> </w:t>
      </w:r>
      <w:r w:rsidRPr="001E6097">
        <w:rPr>
          <w:rFonts w:cs="Arial"/>
          <w:lang w:eastAsia="en-AU"/>
        </w:rPr>
        <w:t>Similarly, age</w:t>
      </w:r>
      <w:r w:rsidR="00243E9C">
        <w:rPr>
          <w:rFonts w:cs="Arial"/>
          <w:lang w:eastAsia="en-AU"/>
        </w:rPr>
        <w:t>-</w:t>
      </w:r>
      <w:r w:rsidRPr="001E6097">
        <w:rPr>
          <w:rFonts w:cs="Arial"/>
          <w:lang w:eastAsia="en-AU"/>
        </w:rPr>
        <w:t xml:space="preserve">standardised rates for liver cancer were generally higher in </w:t>
      </w:r>
      <w:r w:rsidR="00236B3E">
        <w:rPr>
          <w:rFonts w:cs="Arial"/>
          <w:lang w:eastAsia="en-AU"/>
        </w:rPr>
        <w:t>m</w:t>
      </w:r>
      <w:r w:rsidRPr="001E6097">
        <w:rPr>
          <w:rFonts w:cs="Arial"/>
          <w:lang w:eastAsia="en-AU"/>
        </w:rPr>
        <w:t>ajor cities</w:t>
      </w:r>
      <w:r w:rsidR="003F1C3D" w:rsidRPr="001E6097">
        <w:rPr>
          <w:rFonts w:cs="Arial"/>
          <w:lang w:eastAsia="en-AU"/>
        </w:rPr>
        <w:t xml:space="preserve"> (</w:t>
      </w:r>
      <w:r w:rsidR="00261D7C">
        <w:rPr>
          <w:rFonts w:cs="Arial"/>
          <w:lang w:eastAsia="en-AU"/>
        </w:rPr>
        <w:t>8.8</w:t>
      </w:r>
      <w:r w:rsidR="003F1C3D" w:rsidRPr="001E6097">
        <w:rPr>
          <w:rFonts w:cs="Arial"/>
          <w:lang w:eastAsia="en-AU"/>
        </w:rPr>
        <w:t xml:space="preserve"> per 100,000 population in 201</w:t>
      </w:r>
      <w:r w:rsidR="00261D7C">
        <w:rPr>
          <w:rFonts w:cs="Arial"/>
          <w:lang w:eastAsia="en-AU"/>
        </w:rPr>
        <w:t>4</w:t>
      </w:r>
      <w:r w:rsidR="003F1C3D" w:rsidRPr="001E6097">
        <w:rPr>
          <w:rFonts w:cs="Arial"/>
          <w:lang w:eastAsia="en-AU"/>
        </w:rPr>
        <w:t xml:space="preserve">, </w:t>
      </w:r>
      <w:r w:rsidR="00261D7C">
        <w:rPr>
          <w:rFonts w:cs="Arial"/>
          <w:lang w:eastAsia="en-AU"/>
        </w:rPr>
        <w:t>fall</w:t>
      </w:r>
      <w:r w:rsidR="003F1C3D" w:rsidRPr="001E6097">
        <w:rPr>
          <w:rFonts w:cs="Arial"/>
          <w:lang w:eastAsia="en-AU"/>
        </w:rPr>
        <w:t xml:space="preserve">ing to </w:t>
      </w:r>
      <w:r w:rsidR="00261D7C">
        <w:rPr>
          <w:rFonts w:cs="Arial"/>
          <w:lang w:eastAsia="en-AU"/>
        </w:rPr>
        <w:t>7.5</w:t>
      </w:r>
      <w:r w:rsidR="003F1C3D" w:rsidRPr="001E6097">
        <w:rPr>
          <w:rFonts w:cs="Arial"/>
          <w:lang w:eastAsia="en-AU"/>
        </w:rPr>
        <w:t xml:space="preserve"> per 100,000 in 2017) compared with areas outside major cities (Figure 1.8).</w:t>
      </w:r>
      <w:r w:rsidR="00952FC7">
        <w:rPr>
          <w:rFonts w:cs="Arial"/>
          <w:lang w:eastAsia="en-AU"/>
        </w:rPr>
        <w:t xml:space="preserve"> </w:t>
      </w:r>
      <w:r w:rsidR="003F1C3D" w:rsidRPr="001E6097">
        <w:rPr>
          <w:rFonts w:cs="Arial"/>
          <w:lang w:eastAsia="en-AU"/>
        </w:rPr>
        <w:t xml:space="preserve">This </w:t>
      </w:r>
      <w:r w:rsidR="00261D7C">
        <w:rPr>
          <w:rFonts w:cs="Arial"/>
          <w:lang w:eastAsia="en-AU"/>
        </w:rPr>
        <w:t>trend</w:t>
      </w:r>
      <w:r w:rsidR="003F1C3D" w:rsidRPr="001E6097">
        <w:rPr>
          <w:rFonts w:cs="Arial"/>
          <w:lang w:eastAsia="en-AU"/>
        </w:rPr>
        <w:t xml:space="preserve"> may be related to increases in migration to Victoria from hepatitis B and C endemic areas such as the Asia-Pacific region and sub-Saharan Africa.</w:t>
      </w:r>
      <w:r w:rsidR="003F1C3D" w:rsidRPr="001E6097">
        <w:rPr>
          <w:rStyle w:val="FootnoteReference"/>
          <w:rFonts w:cs="Arial"/>
          <w:lang w:eastAsia="en-AU"/>
        </w:rPr>
        <w:footnoteReference w:id="34"/>
      </w:r>
      <w:r w:rsidR="00952FC7">
        <w:rPr>
          <w:rFonts w:cs="Arial"/>
          <w:lang w:eastAsia="en-AU"/>
        </w:rPr>
        <w:t xml:space="preserve"> </w:t>
      </w:r>
      <w:r w:rsidR="00294AD4">
        <w:rPr>
          <w:rFonts w:cs="Arial"/>
          <w:lang w:eastAsia="en-AU"/>
        </w:rPr>
        <w:t>Figure 1.8.1 shows variation between all the Victorian ICSs</w:t>
      </w:r>
      <w:r w:rsidR="00361A81">
        <w:rPr>
          <w:rFonts w:cs="Arial"/>
          <w:lang w:eastAsia="en-AU"/>
        </w:rPr>
        <w:t>,</w:t>
      </w:r>
      <w:r w:rsidR="00294AD4">
        <w:rPr>
          <w:rFonts w:cs="Arial"/>
          <w:lang w:eastAsia="en-AU"/>
        </w:rPr>
        <w:t xml:space="preserve"> although the low numbers may account for the wide confidence </w:t>
      </w:r>
      <w:r w:rsidR="00587037">
        <w:rPr>
          <w:rFonts w:cs="Arial"/>
          <w:lang w:eastAsia="en-AU"/>
        </w:rPr>
        <w:t>intervals,</w:t>
      </w:r>
      <w:r w:rsidR="00294AD4">
        <w:rPr>
          <w:rFonts w:cs="Arial"/>
          <w:lang w:eastAsia="en-AU"/>
        </w:rPr>
        <w:t xml:space="preserve"> so they should be interpreted with caution.</w:t>
      </w:r>
    </w:p>
    <w:p w14:paraId="69C2F435" w14:textId="3FF08178" w:rsidR="000F22EF" w:rsidRDefault="00251E7C" w:rsidP="000F22EF">
      <w:pPr>
        <w:pStyle w:val="DHHSbody"/>
        <w:rPr>
          <w:rFonts w:cs="Arial"/>
          <w:color w:val="000000" w:themeColor="text1"/>
          <w:lang w:eastAsia="en-AU"/>
        </w:rPr>
      </w:pPr>
      <w:r>
        <w:rPr>
          <w:rFonts w:cs="Arial"/>
          <w:lang w:eastAsia="en-AU"/>
        </w:rPr>
        <w:t>The spatial variation of incidence rate</w:t>
      </w:r>
      <w:r w:rsidR="006877B6">
        <w:rPr>
          <w:rFonts w:cs="Arial"/>
          <w:lang w:eastAsia="en-AU"/>
        </w:rPr>
        <w:t>s</w:t>
      </w:r>
      <w:r>
        <w:rPr>
          <w:rFonts w:cs="Arial"/>
          <w:lang w:eastAsia="en-AU"/>
        </w:rPr>
        <w:t xml:space="preserve"> of liver cancer by LGA are shown in Figures 1.8.2 and 1.8.3</w:t>
      </w:r>
      <w:r w:rsidR="006877B6">
        <w:rPr>
          <w:rFonts w:cs="Arial"/>
          <w:lang w:eastAsia="en-AU"/>
        </w:rPr>
        <w:t xml:space="preserve">. </w:t>
      </w:r>
      <w:r w:rsidR="00AC2482">
        <w:rPr>
          <w:rFonts w:cs="Arial"/>
          <w:lang w:eastAsia="en-AU"/>
        </w:rPr>
        <w:t>Sixty</w:t>
      </w:r>
      <w:r w:rsidR="006877B6">
        <w:rPr>
          <w:rFonts w:cs="Arial"/>
          <w:lang w:eastAsia="en-AU"/>
        </w:rPr>
        <w:t>-</w:t>
      </w:r>
      <w:r w:rsidR="00AC2482">
        <w:rPr>
          <w:rFonts w:cs="Arial"/>
          <w:lang w:eastAsia="en-AU"/>
        </w:rPr>
        <w:t>five</w:t>
      </w:r>
      <w:r w:rsidR="006877B6">
        <w:rPr>
          <w:rFonts w:cs="Arial"/>
          <w:lang w:eastAsia="en-AU"/>
        </w:rPr>
        <w:t xml:space="preserve"> per cent of the 79 LGAs had higher incidence rates of liver cancer than the overall rate (6 per 100,000 population) in 201</w:t>
      </w:r>
      <w:r w:rsidR="00AC2482">
        <w:rPr>
          <w:rFonts w:cs="Arial"/>
          <w:lang w:eastAsia="en-AU"/>
        </w:rPr>
        <w:t>4</w:t>
      </w:r>
      <w:r w:rsidR="006877B6">
        <w:rPr>
          <w:rFonts w:cs="Arial"/>
          <w:lang w:eastAsia="en-AU"/>
        </w:rPr>
        <w:t>.</w:t>
      </w:r>
      <w:r>
        <w:rPr>
          <w:rFonts w:cs="Arial"/>
          <w:lang w:eastAsia="en-AU"/>
        </w:rPr>
        <w:t xml:space="preserve"> </w:t>
      </w:r>
      <w:r w:rsidR="00AC2482">
        <w:rPr>
          <w:rFonts w:cs="Arial"/>
          <w:lang w:eastAsia="en-AU"/>
        </w:rPr>
        <w:t>Wangaratta</w:t>
      </w:r>
      <w:r w:rsidR="006877B6">
        <w:rPr>
          <w:rFonts w:cs="Arial"/>
          <w:lang w:eastAsia="en-AU"/>
        </w:rPr>
        <w:t xml:space="preserve"> Rural City LGA reported the highest incidence rate (</w:t>
      </w:r>
      <w:r w:rsidR="00AC2482">
        <w:rPr>
          <w:rFonts w:cs="Arial"/>
          <w:lang w:eastAsia="en-AU"/>
        </w:rPr>
        <w:t>18</w:t>
      </w:r>
      <w:r w:rsidR="006877B6">
        <w:rPr>
          <w:rFonts w:cs="Arial"/>
          <w:lang w:eastAsia="en-AU"/>
        </w:rPr>
        <w:t xml:space="preserve"> per 100,000 population) and Cardina Shire LGA the lowest incidence rate (</w:t>
      </w:r>
      <w:r w:rsidR="00361A81">
        <w:rPr>
          <w:rFonts w:cs="Arial"/>
          <w:lang w:eastAsia="en-AU"/>
        </w:rPr>
        <w:t>one</w:t>
      </w:r>
      <w:r w:rsidR="006877B6">
        <w:rPr>
          <w:rFonts w:cs="Arial"/>
          <w:lang w:eastAsia="en-AU"/>
        </w:rPr>
        <w:t xml:space="preserve"> per 100,000 population) in 201</w:t>
      </w:r>
      <w:r w:rsidR="00AC2482">
        <w:rPr>
          <w:rFonts w:cs="Arial"/>
          <w:lang w:eastAsia="en-AU"/>
        </w:rPr>
        <w:t>4</w:t>
      </w:r>
      <w:r w:rsidR="00C33CEE">
        <w:rPr>
          <w:rFonts w:cs="Arial"/>
          <w:lang w:eastAsia="en-AU"/>
        </w:rPr>
        <w:t xml:space="preserve"> (Figure 1.8.2).</w:t>
      </w:r>
      <w:r w:rsidR="00952FC7">
        <w:rPr>
          <w:rFonts w:cs="Arial"/>
          <w:lang w:eastAsia="en-AU"/>
        </w:rPr>
        <w:t xml:space="preserve"> </w:t>
      </w:r>
      <w:r w:rsidR="00C33CEE">
        <w:rPr>
          <w:rFonts w:cs="Arial"/>
          <w:lang w:eastAsia="en-AU"/>
        </w:rPr>
        <w:t xml:space="preserve">However, </w:t>
      </w:r>
      <w:r w:rsidR="00AC2482">
        <w:rPr>
          <w:rFonts w:cs="Arial"/>
          <w:lang w:eastAsia="en-AU"/>
        </w:rPr>
        <w:t>6</w:t>
      </w:r>
      <w:r w:rsidR="00C33CEE">
        <w:rPr>
          <w:rFonts w:cs="Arial"/>
          <w:lang w:eastAsia="en-AU"/>
        </w:rPr>
        <w:t xml:space="preserve"> LGAs reported </w:t>
      </w:r>
      <w:r w:rsidR="00082929">
        <w:rPr>
          <w:rFonts w:cs="Arial"/>
          <w:lang w:eastAsia="en-AU"/>
        </w:rPr>
        <w:t>zero</w:t>
      </w:r>
      <w:r w:rsidR="00C33CEE">
        <w:rPr>
          <w:rFonts w:cs="Arial"/>
          <w:lang w:eastAsia="en-AU"/>
        </w:rPr>
        <w:t xml:space="preserve"> incidence rates in 201</w:t>
      </w:r>
      <w:r w:rsidR="00AC2482">
        <w:rPr>
          <w:rFonts w:cs="Arial"/>
          <w:lang w:eastAsia="en-AU"/>
        </w:rPr>
        <w:t>4</w:t>
      </w:r>
      <w:r w:rsidR="00C33CEE">
        <w:rPr>
          <w:rFonts w:cs="Arial"/>
          <w:lang w:eastAsia="en-AU"/>
        </w:rPr>
        <w:t xml:space="preserve">. By comparison, 42 per cent </w:t>
      </w:r>
      <w:r w:rsidR="00C33CEE" w:rsidRPr="00BC56E0">
        <w:rPr>
          <w:rFonts w:cs="Arial"/>
          <w:color w:val="000000" w:themeColor="text1"/>
          <w:lang w:eastAsia="en-AU"/>
        </w:rPr>
        <w:t>of the 79 LGAs had high</w:t>
      </w:r>
      <w:r w:rsidR="00B55FF0">
        <w:rPr>
          <w:rFonts w:cs="Arial"/>
          <w:color w:val="000000" w:themeColor="text1"/>
          <w:lang w:eastAsia="en-AU"/>
        </w:rPr>
        <w:t>er</w:t>
      </w:r>
      <w:r w:rsidR="00C33CEE" w:rsidRPr="00BC56E0">
        <w:rPr>
          <w:rFonts w:cs="Arial"/>
          <w:color w:val="000000" w:themeColor="text1"/>
          <w:lang w:eastAsia="en-AU"/>
        </w:rPr>
        <w:t xml:space="preserve"> incidence rates </w:t>
      </w:r>
      <w:r w:rsidR="00CB5383">
        <w:rPr>
          <w:rFonts w:cs="Arial"/>
          <w:color w:val="000000" w:themeColor="text1"/>
          <w:lang w:eastAsia="en-AU"/>
        </w:rPr>
        <w:t xml:space="preserve">of liver </w:t>
      </w:r>
      <w:r w:rsidR="00C33CEE" w:rsidRPr="00BC56E0">
        <w:rPr>
          <w:rFonts w:cs="Arial"/>
          <w:color w:val="000000" w:themeColor="text1"/>
          <w:lang w:eastAsia="en-AU"/>
        </w:rPr>
        <w:t>cancer than the overall rate (</w:t>
      </w:r>
      <w:r w:rsidR="00C33CEE">
        <w:rPr>
          <w:rFonts w:cs="Arial"/>
          <w:color w:val="000000" w:themeColor="text1"/>
          <w:lang w:eastAsia="en-AU"/>
        </w:rPr>
        <w:t>7.5</w:t>
      </w:r>
      <w:r w:rsidR="00C33CEE" w:rsidRPr="00BC56E0">
        <w:rPr>
          <w:rFonts w:cs="Arial"/>
          <w:color w:val="000000" w:themeColor="text1"/>
          <w:lang w:eastAsia="en-AU"/>
        </w:rPr>
        <w:t xml:space="preserve"> per 100,000 population) for Victoria in 2017</w:t>
      </w:r>
      <w:r w:rsidR="00C33CEE">
        <w:rPr>
          <w:rFonts w:cs="Arial"/>
          <w:color w:val="000000" w:themeColor="text1"/>
          <w:lang w:eastAsia="en-AU"/>
        </w:rPr>
        <w:t>.</w:t>
      </w:r>
      <w:r w:rsidR="00952FC7">
        <w:rPr>
          <w:rFonts w:cs="Arial"/>
          <w:color w:val="000000" w:themeColor="text1"/>
          <w:lang w:eastAsia="en-AU"/>
        </w:rPr>
        <w:t xml:space="preserve"> </w:t>
      </w:r>
      <w:r w:rsidR="00C11FF5">
        <w:rPr>
          <w:rFonts w:cs="Arial"/>
          <w:color w:val="000000" w:themeColor="text1"/>
          <w:lang w:eastAsia="en-AU"/>
        </w:rPr>
        <w:t>Strathbogie S</w:t>
      </w:r>
      <w:r w:rsidR="00E75FF7">
        <w:rPr>
          <w:rFonts w:cs="Arial"/>
          <w:color w:val="000000" w:themeColor="text1"/>
          <w:lang w:eastAsia="en-AU"/>
        </w:rPr>
        <w:t>h</w:t>
      </w:r>
      <w:r w:rsidR="00C11FF5">
        <w:rPr>
          <w:rFonts w:cs="Arial"/>
          <w:color w:val="000000" w:themeColor="text1"/>
          <w:lang w:eastAsia="en-AU"/>
        </w:rPr>
        <w:t xml:space="preserve">ire LGA reported the highest incidence rate (18 per 100,000 population) and </w:t>
      </w:r>
      <w:r w:rsidR="00545870">
        <w:rPr>
          <w:rFonts w:cs="Arial"/>
          <w:color w:val="000000" w:themeColor="text1"/>
          <w:lang w:eastAsia="en-AU"/>
        </w:rPr>
        <w:t>Ballarat City LGA the lowest (</w:t>
      </w:r>
      <w:r w:rsidR="00361A81">
        <w:rPr>
          <w:rFonts w:cs="Arial"/>
          <w:color w:val="000000" w:themeColor="text1"/>
          <w:lang w:eastAsia="en-AU"/>
        </w:rPr>
        <w:t>one</w:t>
      </w:r>
      <w:r w:rsidR="00545870">
        <w:rPr>
          <w:rFonts w:cs="Arial"/>
          <w:color w:val="000000" w:themeColor="text1"/>
          <w:lang w:eastAsia="en-AU"/>
        </w:rPr>
        <w:t xml:space="preserve"> per 100,000 population) in 2017</w:t>
      </w:r>
      <w:r w:rsidR="00082929">
        <w:rPr>
          <w:rFonts w:cs="Arial"/>
          <w:color w:val="000000" w:themeColor="text1"/>
          <w:lang w:eastAsia="en-AU"/>
        </w:rPr>
        <w:t xml:space="preserve"> (Figure 1.8</w:t>
      </w:r>
      <w:r w:rsidR="00545870">
        <w:rPr>
          <w:rFonts w:cs="Arial"/>
          <w:color w:val="000000" w:themeColor="text1"/>
          <w:lang w:eastAsia="en-AU"/>
        </w:rPr>
        <w:t>.</w:t>
      </w:r>
      <w:r w:rsidR="00082929">
        <w:rPr>
          <w:rFonts w:cs="Arial"/>
          <w:color w:val="000000" w:themeColor="text1"/>
          <w:lang w:eastAsia="en-AU"/>
        </w:rPr>
        <w:t xml:space="preserve">3). However, there were </w:t>
      </w:r>
      <w:r w:rsidR="00BA57CF">
        <w:rPr>
          <w:rFonts w:cs="Arial"/>
          <w:color w:val="000000" w:themeColor="text1"/>
          <w:lang w:eastAsia="en-AU"/>
        </w:rPr>
        <w:t>three</w:t>
      </w:r>
      <w:r w:rsidR="00082929">
        <w:rPr>
          <w:rFonts w:cs="Arial"/>
          <w:color w:val="000000" w:themeColor="text1"/>
          <w:lang w:eastAsia="en-AU"/>
        </w:rPr>
        <w:t xml:space="preserve"> LGAs (</w:t>
      </w:r>
      <w:r w:rsidR="00BA57CF">
        <w:rPr>
          <w:rFonts w:cs="Arial"/>
          <w:color w:val="000000" w:themeColor="text1"/>
          <w:lang w:eastAsia="en-AU"/>
        </w:rPr>
        <w:t>Benalla</w:t>
      </w:r>
      <w:r w:rsidR="00082929">
        <w:rPr>
          <w:rFonts w:cs="Arial"/>
          <w:color w:val="000000" w:themeColor="text1"/>
          <w:lang w:eastAsia="en-AU"/>
        </w:rPr>
        <w:t xml:space="preserve"> Rural City, </w:t>
      </w:r>
      <w:r w:rsidR="00BA57CF">
        <w:rPr>
          <w:rFonts w:cs="Arial"/>
          <w:color w:val="000000" w:themeColor="text1"/>
          <w:lang w:eastAsia="en-AU"/>
        </w:rPr>
        <w:t>Pyrenees</w:t>
      </w:r>
      <w:r w:rsidR="00082929">
        <w:rPr>
          <w:rFonts w:cs="Arial"/>
          <w:color w:val="000000" w:themeColor="text1"/>
          <w:lang w:eastAsia="en-AU"/>
        </w:rPr>
        <w:t xml:space="preserve"> Shire, West Wimmera Shire) </w:t>
      </w:r>
      <w:r w:rsidR="00A10CD1">
        <w:rPr>
          <w:rFonts w:cs="Arial"/>
          <w:color w:val="000000" w:themeColor="text1"/>
          <w:lang w:eastAsia="en-AU"/>
        </w:rPr>
        <w:t xml:space="preserve">that </w:t>
      </w:r>
      <w:r w:rsidR="00082929">
        <w:rPr>
          <w:rFonts w:cs="Arial"/>
          <w:color w:val="000000" w:themeColor="text1"/>
          <w:lang w:eastAsia="en-AU"/>
        </w:rPr>
        <w:t>reported zero incidence rates for both 2010 and 2017.</w:t>
      </w:r>
      <w:r w:rsidR="00545870">
        <w:rPr>
          <w:rFonts w:cs="Arial"/>
          <w:color w:val="000000" w:themeColor="text1"/>
          <w:lang w:eastAsia="en-AU"/>
        </w:rPr>
        <w:t xml:space="preserve"> </w:t>
      </w:r>
      <w:r w:rsidR="00C33CEE">
        <w:rPr>
          <w:rFonts w:cs="Arial"/>
          <w:color w:val="000000" w:themeColor="text1"/>
          <w:lang w:eastAsia="en-AU"/>
        </w:rPr>
        <w:t xml:space="preserve">Overall, </w:t>
      </w:r>
      <w:r w:rsidR="00C33CEE" w:rsidRPr="00AB4A70">
        <w:rPr>
          <w:rFonts w:cs="Arial"/>
          <w:color w:val="000000" w:themeColor="text1"/>
          <w:lang w:eastAsia="en-AU"/>
        </w:rPr>
        <w:t xml:space="preserve">most of the 79 LGAs reported </w:t>
      </w:r>
      <w:r w:rsidR="00C33CEE">
        <w:rPr>
          <w:rFonts w:cs="Arial"/>
          <w:color w:val="000000" w:themeColor="text1"/>
          <w:lang w:eastAsia="en-AU"/>
        </w:rPr>
        <w:t>very little variation in the incidence rate dur</w:t>
      </w:r>
      <w:r w:rsidR="00222435">
        <w:rPr>
          <w:rFonts w:cs="Arial"/>
          <w:color w:val="000000" w:themeColor="text1"/>
          <w:lang w:eastAsia="en-AU"/>
        </w:rPr>
        <w:t xml:space="preserve">ing the reporting period </w:t>
      </w:r>
      <w:r w:rsidR="00C33CEE">
        <w:rPr>
          <w:rFonts w:cs="Arial"/>
          <w:color w:val="000000" w:themeColor="text1"/>
          <w:lang w:eastAsia="en-AU"/>
        </w:rPr>
        <w:t>due</w:t>
      </w:r>
      <w:r w:rsidR="00222435">
        <w:rPr>
          <w:rFonts w:cs="Arial"/>
          <w:color w:val="000000" w:themeColor="text1"/>
          <w:lang w:eastAsia="en-AU"/>
        </w:rPr>
        <w:t xml:space="preserve"> likely</w:t>
      </w:r>
      <w:r w:rsidR="00C33CEE">
        <w:rPr>
          <w:rFonts w:cs="Arial"/>
          <w:color w:val="000000" w:themeColor="text1"/>
          <w:lang w:eastAsia="en-AU"/>
        </w:rPr>
        <w:t xml:space="preserve"> to the low number of cases. </w:t>
      </w:r>
    </w:p>
    <w:p w14:paraId="1432CB64" w14:textId="26B430DA" w:rsidR="006624DA" w:rsidRPr="000F22EF" w:rsidRDefault="00136D74" w:rsidP="000F22EF">
      <w:pPr>
        <w:pStyle w:val="DHHSbody"/>
        <w:rPr>
          <w:rFonts w:cs="Arial"/>
          <w:color w:val="000000" w:themeColor="text1"/>
          <w:lang w:eastAsia="en-AU"/>
        </w:rPr>
      </w:pPr>
      <w:r w:rsidRPr="000F22EF">
        <w:rPr>
          <w:rStyle w:val="DHHSbodyChar"/>
        </w:rPr>
        <w:t>No target has been set for this measure</w:t>
      </w:r>
      <w:r w:rsidR="00B40166" w:rsidRPr="000F22EF">
        <w:rPr>
          <w:rStyle w:val="DHHSbodyChar"/>
        </w:rPr>
        <w:t>;</w:t>
      </w:r>
      <w:r w:rsidR="00E640C6" w:rsidRPr="000F22EF">
        <w:rPr>
          <w:rStyle w:val="DHHSbodyChar"/>
        </w:rPr>
        <w:t xml:space="preserve"> however</w:t>
      </w:r>
      <w:r w:rsidR="00B40166" w:rsidRPr="000F22EF">
        <w:rPr>
          <w:rStyle w:val="DHHSbodyChar"/>
        </w:rPr>
        <w:t>,</w:t>
      </w:r>
      <w:r w:rsidR="00E640C6" w:rsidRPr="000F22EF">
        <w:rPr>
          <w:rStyle w:val="DHHSbodyChar"/>
        </w:rPr>
        <w:t xml:space="preserve"> the higher incidence rates in Aboriginal and Torres Strait Islander</w:t>
      </w:r>
      <w:r w:rsidR="00236B3E" w:rsidRPr="000F22EF">
        <w:rPr>
          <w:rStyle w:val="DHHSbodyChar"/>
        </w:rPr>
        <w:t xml:space="preserve"> Victorians</w:t>
      </w:r>
      <w:r w:rsidR="00E640C6" w:rsidRPr="000F22EF">
        <w:rPr>
          <w:rStyle w:val="DHHSbodyChar"/>
        </w:rPr>
        <w:t xml:space="preserve"> suggests that this subpopulation is </w:t>
      </w:r>
      <w:r w:rsidR="00CC7FBA" w:rsidRPr="000F22EF">
        <w:rPr>
          <w:rStyle w:val="DHHSbodyChar"/>
        </w:rPr>
        <w:t xml:space="preserve">still </w:t>
      </w:r>
      <w:r w:rsidR="00E640C6" w:rsidRPr="000F22EF">
        <w:rPr>
          <w:rStyle w:val="DHHSbodyChar"/>
        </w:rPr>
        <w:t>a major group among which hepatitis B virus is endemic and hepatitis C is disproportionately common</w:t>
      </w:r>
      <w:r w:rsidR="0027160E" w:rsidRPr="000F22EF">
        <w:rPr>
          <w:rStyle w:val="DHHSbodyChar"/>
        </w:rPr>
        <w:t xml:space="preserve"> </w:t>
      </w:r>
      <w:r w:rsidR="00903EBD" w:rsidRPr="000F22EF">
        <w:rPr>
          <w:rStyle w:val="DHHSbodyChar"/>
        </w:rPr>
        <w:t>–</w:t>
      </w:r>
      <w:r w:rsidR="00E640C6" w:rsidRPr="000F22EF">
        <w:rPr>
          <w:rStyle w:val="DHHSbodyChar"/>
        </w:rPr>
        <w:t xml:space="preserve"> </w:t>
      </w:r>
      <w:r w:rsidR="0027160E" w:rsidRPr="000F22EF">
        <w:rPr>
          <w:rStyle w:val="DHHSbodyChar"/>
        </w:rPr>
        <w:t xml:space="preserve">both chronic </w:t>
      </w:r>
      <w:r w:rsidR="00A10CD1" w:rsidRPr="000F22EF">
        <w:rPr>
          <w:rStyle w:val="DHHSbodyChar"/>
        </w:rPr>
        <w:t>hepatitis B and C,</w:t>
      </w:r>
      <w:r w:rsidR="0027160E" w:rsidRPr="000F22EF">
        <w:rPr>
          <w:rStyle w:val="DHHSbodyChar"/>
        </w:rPr>
        <w:t xml:space="preserve"> if left untreated</w:t>
      </w:r>
      <w:r w:rsidR="00A10CD1" w:rsidRPr="000F22EF">
        <w:rPr>
          <w:rStyle w:val="DHHSbodyChar"/>
        </w:rPr>
        <w:t>,</w:t>
      </w:r>
      <w:r w:rsidR="0027160E" w:rsidRPr="000F22EF">
        <w:rPr>
          <w:rStyle w:val="DHHSbodyChar"/>
        </w:rPr>
        <w:t xml:space="preserve"> are a leading cause of </w:t>
      </w:r>
      <w:r w:rsidR="00E640C6" w:rsidRPr="000F22EF">
        <w:rPr>
          <w:rStyle w:val="DHHSbodyChar"/>
        </w:rPr>
        <w:t>liver cancer.</w:t>
      </w:r>
      <w:r w:rsidR="0027160E" w:rsidRPr="000F22EF">
        <w:rPr>
          <w:rStyle w:val="DHHSbodyChar"/>
        </w:rPr>
        <w:t xml:space="preserve"> The Victorian hepatitis B strategy and Victorian hepatitis C strategy 2016</w:t>
      </w:r>
      <w:r w:rsidR="00690CD3" w:rsidRPr="000F22EF">
        <w:rPr>
          <w:rStyle w:val="DHHSbodyChar"/>
        </w:rPr>
        <w:t>–</w:t>
      </w:r>
      <w:r w:rsidR="0027160E" w:rsidRPr="000F22EF">
        <w:rPr>
          <w:rStyle w:val="DHHSbodyChar"/>
        </w:rPr>
        <w:t>20 address the significant public health burden from hepatitis B and hepatitis C (viral hepatitis)</w:t>
      </w:r>
      <w:r w:rsidR="001E6097" w:rsidRPr="000F22EF">
        <w:rPr>
          <w:rStyle w:val="DHHSbodyChar"/>
        </w:rPr>
        <w:t xml:space="preserve"> including at risk population groups</w:t>
      </w:r>
      <w:r w:rsidR="0027160E" w:rsidRPr="001E6097">
        <w:rPr>
          <w:rFonts w:cs="Arial"/>
        </w:rPr>
        <w:t>.</w:t>
      </w:r>
      <w:r w:rsidR="00BC2194" w:rsidRPr="001E6097">
        <w:rPr>
          <w:rFonts w:cs="Arial"/>
        </w:rPr>
        <w:br w:type="page"/>
      </w:r>
      <w:r w:rsidR="006624DA" w:rsidRPr="000F22EF">
        <w:rPr>
          <w:rStyle w:val="Heading2Char"/>
        </w:rPr>
        <w:lastRenderedPageBreak/>
        <w:t xml:space="preserve">Key result: </w:t>
      </w:r>
      <w:r w:rsidR="001936B4" w:rsidRPr="000F22EF">
        <w:rPr>
          <w:rStyle w:val="Heading2Char"/>
        </w:rPr>
        <w:t xml:space="preserve">Decrease </w:t>
      </w:r>
      <w:r w:rsidR="006624DA" w:rsidRPr="000F22EF">
        <w:rPr>
          <w:rStyle w:val="Heading2Char"/>
        </w:rPr>
        <w:t>deaths due to cancer</w:t>
      </w:r>
    </w:p>
    <w:p w14:paraId="7BB17445" w14:textId="582B112F" w:rsidR="00BC2194" w:rsidRDefault="006624DA" w:rsidP="00AA08E8">
      <w:pPr>
        <w:pStyle w:val="Heading3"/>
        <w:rPr>
          <w:lang w:eastAsia="en-AU"/>
        </w:rPr>
      </w:pPr>
      <w:bookmarkStart w:id="219" w:name="_Measure_2.1_–"/>
      <w:bookmarkStart w:id="220" w:name="_Toc19008025"/>
      <w:bookmarkEnd w:id="219"/>
      <w:r>
        <w:rPr>
          <w:lang w:eastAsia="en-AU"/>
        </w:rPr>
        <w:t>Measure 2.1 – Death rate due to cancer</w:t>
      </w:r>
      <w:bookmarkEnd w:id="220"/>
    </w:p>
    <w:p w14:paraId="785CAEB9" w14:textId="7F4286BF" w:rsidR="00455234" w:rsidRPr="0000669D" w:rsidRDefault="003B5A76" w:rsidP="00DF6BF5">
      <w:pPr>
        <w:pStyle w:val="DHHSfigurecaption"/>
        <w:rPr>
          <w:lang w:eastAsia="en-AU"/>
        </w:rPr>
      </w:pPr>
      <w:bookmarkStart w:id="221" w:name="_Toc19008026"/>
      <w:bookmarkStart w:id="222" w:name="_Toc19008280"/>
      <w:bookmarkStart w:id="223" w:name="_Toc19008427"/>
      <w:bookmarkStart w:id="224" w:name="_Toc19008574"/>
      <w:bookmarkStart w:id="225" w:name="_Toc27414277"/>
      <w:r>
        <w:rPr>
          <w:lang w:val="en"/>
        </w:rPr>
        <w:t>Figure 2.1</w:t>
      </w:r>
      <w:r w:rsidR="00E634E9">
        <w:rPr>
          <w:lang w:val="en"/>
        </w:rPr>
        <w:t>:</w:t>
      </w:r>
      <w:r w:rsidRPr="00C17490">
        <w:rPr>
          <w:lang w:val="en"/>
        </w:rPr>
        <w:t xml:space="preserve"> </w:t>
      </w:r>
      <w:r w:rsidR="002840C5">
        <w:rPr>
          <w:lang w:val="en"/>
        </w:rPr>
        <w:t xml:space="preserve">Global </w:t>
      </w:r>
      <w:r w:rsidR="0000669D">
        <w:rPr>
          <w:lang w:val="en"/>
        </w:rPr>
        <w:t>c</w:t>
      </w:r>
      <w:r>
        <w:rPr>
          <w:lang w:val="en"/>
        </w:rPr>
        <w:t>ancer death rate</w:t>
      </w:r>
      <w:r w:rsidR="0000669D">
        <w:rPr>
          <w:lang w:val="en"/>
        </w:rPr>
        <w:t xml:space="preserve"> from all cancers </w:t>
      </w:r>
      <w:r w:rsidR="00A77C5A">
        <w:rPr>
          <w:lang w:val="en"/>
        </w:rPr>
        <w:t xml:space="preserve">combined </w:t>
      </w:r>
      <w:r w:rsidR="0000669D">
        <w:rPr>
          <w:lang w:val="en"/>
        </w:rPr>
        <w:t>per 100,000 population</w:t>
      </w:r>
      <w:r>
        <w:rPr>
          <w:lang w:val="en"/>
        </w:rPr>
        <w:t xml:space="preserve"> </w:t>
      </w:r>
      <w:r w:rsidRPr="00C17490">
        <w:rPr>
          <w:lang w:val="en"/>
        </w:rPr>
        <w:t xml:space="preserve">for </w:t>
      </w:r>
      <w:r w:rsidR="0000669D">
        <w:rPr>
          <w:lang w:val="en"/>
        </w:rPr>
        <w:t>b</w:t>
      </w:r>
      <w:r w:rsidRPr="00C17490">
        <w:rPr>
          <w:lang w:val="en"/>
        </w:rPr>
        <w:t xml:space="preserve">oth </w:t>
      </w:r>
      <w:r w:rsidR="0000669D">
        <w:rPr>
          <w:lang w:val="en"/>
        </w:rPr>
        <w:t>s</w:t>
      </w:r>
      <w:r w:rsidRPr="00C17490">
        <w:rPr>
          <w:lang w:val="en"/>
        </w:rPr>
        <w:t>exes</w:t>
      </w:r>
      <w:r w:rsidR="0000669D">
        <w:rPr>
          <w:lang w:val="en"/>
        </w:rPr>
        <w:t>, 2016</w:t>
      </w:r>
      <w:bookmarkEnd w:id="221"/>
      <w:bookmarkEnd w:id="222"/>
      <w:bookmarkEnd w:id="223"/>
      <w:bookmarkEnd w:id="224"/>
      <w:bookmarkEnd w:id="225"/>
    </w:p>
    <w:p w14:paraId="62A87AB4" w14:textId="556DA502" w:rsidR="007029AA" w:rsidRPr="0010700D" w:rsidRDefault="003B5A76" w:rsidP="00182E9B">
      <w:pPr>
        <w:pStyle w:val="DHHSbody"/>
        <w:jc w:val="center"/>
        <w:rPr>
          <w:lang w:eastAsia="en-AU"/>
        </w:rPr>
      </w:pPr>
      <w:r w:rsidRPr="003B5A76">
        <w:rPr>
          <w:noProof/>
          <w:lang w:val="en-NZ" w:eastAsia="en-NZ"/>
        </w:rPr>
        <w:drawing>
          <wp:inline distT="0" distB="0" distL="0" distR="0" wp14:anchorId="632033A3" wp14:editId="5E255459">
            <wp:extent cx="5832389" cy="3553704"/>
            <wp:effectExtent l="0" t="0" r="0" b="8890"/>
            <wp:docPr id="88" name="Picture 88" descr="This figure shows a map of the global cancer death rate (ranging from 0 to 500 plus) from all cancers combined for both sexes in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68979" cy="3575999"/>
                    </a:xfrm>
                    <a:prstGeom prst="rect">
                      <a:avLst/>
                    </a:prstGeom>
                    <a:noFill/>
                    <a:ln>
                      <a:noFill/>
                    </a:ln>
                  </pic:spPr>
                </pic:pic>
              </a:graphicData>
            </a:graphic>
          </wp:inline>
        </w:drawing>
      </w:r>
    </w:p>
    <w:p w14:paraId="663BD96D" w14:textId="0A010846" w:rsidR="002840C5" w:rsidRDefault="000D0262" w:rsidP="000D0262">
      <w:pPr>
        <w:pStyle w:val="DHHSbody"/>
        <w:rPr>
          <w:rFonts w:eastAsia="Times New Roman" w:cs="Arial"/>
          <w:sz w:val="18"/>
          <w:szCs w:val="18"/>
        </w:rPr>
      </w:pPr>
      <w:r w:rsidRPr="00DF651B">
        <w:rPr>
          <w:rFonts w:cs="Arial"/>
          <w:i/>
          <w:sz w:val="18"/>
          <w:szCs w:val="18"/>
          <w:lang w:val="en"/>
        </w:rPr>
        <w:t xml:space="preserve">Source: </w:t>
      </w:r>
      <w:r w:rsidR="002840C5" w:rsidRPr="00DF651B">
        <w:rPr>
          <w:rFonts w:eastAsia="Times New Roman" w:cs="Arial"/>
          <w:i/>
          <w:sz w:val="18"/>
          <w:szCs w:val="18"/>
        </w:rPr>
        <w:t xml:space="preserve">Roser </w:t>
      </w:r>
      <w:r w:rsidR="00A10CD1">
        <w:rPr>
          <w:rFonts w:eastAsia="Times New Roman" w:cs="Arial"/>
          <w:i/>
          <w:sz w:val="18"/>
          <w:szCs w:val="18"/>
        </w:rPr>
        <w:t xml:space="preserve">M, </w:t>
      </w:r>
      <w:r w:rsidR="002840C5" w:rsidRPr="00DF651B">
        <w:rPr>
          <w:rFonts w:eastAsia="Times New Roman" w:cs="Arial"/>
          <w:i/>
          <w:sz w:val="18"/>
          <w:szCs w:val="18"/>
        </w:rPr>
        <w:t xml:space="preserve">Ritchie </w:t>
      </w:r>
      <w:r w:rsidR="00A10CD1">
        <w:rPr>
          <w:rFonts w:eastAsia="Times New Roman" w:cs="Arial"/>
          <w:i/>
          <w:sz w:val="18"/>
          <w:szCs w:val="18"/>
        </w:rPr>
        <w:t xml:space="preserve">H </w:t>
      </w:r>
      <w:r w:rsidR="002840C5" w:rsidRPr="00DF651B">
        <w:rPr>
          <w:rFonts w:eastAsia="Times New Roman" w:cs="Arial"/>
          <w:i/>
          <w:sz w:val="18"/>
          <w:szCs w:val="18"/>
        </w:rPr>
        <w:t>2019</w:t>
      </w:r>
      <w:r w:rsidR="00A10CD1">
        <w:rPr>
          <w:rFonts w:eastAsia="Times New Roman" w:cs="Arial"/>
          <w:i/>
          <w:sz w:val="18"/>
          <w:szCs w:val="18"/>
        </w:rPr>
        <w:t>,</w:t>
      </w:r>
      <w:r w:rsidR="002840C5" w:rsidRPr="00DF651B">
        <w:rPr>
          <w:rFonts w:eastAsia="Times New Roman" w:cs="Arial"/>
          <w:i/>
          <w:sz w:val="18"/>
          <w:szCs w:val="18"/>
        </w:rPr>
        <w:t xml:space="preserve"> </w:t>
      </w:r>
      <w:r w:rsidR="00BB150E">
        <w:rPr>
          <w:rFonts w:eastAsia="Times New Roman" w:cs="Arial"/>
          <w:i/>
          <w:sz w:val="18"/>
          <w:szCs w:val="18"/>
        </w:rPr>
        <w:t>‘</w:t>
      </w:r>
      <w:r w:rsidR="002840C5" w:rsidRPr="00DF651B">
        <w:rPr>
          <w:rFonts w:eastAsia="Times New Roman" w:cs="Arial"/>
          <w:i/>
          <w:sz w:val="18"/>
          <w:szCs w:val="18"/>
        </w:rPr>
        <w:t>Cancer</w:t>
      </w:r>
      <w:r w:rsidR="00BB150E">
        <w:rPr>
          <w:rFonts w:eastAsia="Times New Roman" w:cs="Arial"/>
          <w:i/>
          <w:sz w:val="18"/>
          <w:szCs w:val="18"/>
        </w:rPr>
        <w:t>’</w:t>
      </w:r>
      <w:r w:rsidR="002840C5" w:rsidRPr="00DF651B">
        <w:rPr>
          <w:rFonts w:eastAsia="Times New Roman" w:cs="Arial"/>
          <w:i/>
          <w:sz w:val="18"/>
          <w:szCs w:val="18"/>
        </w:rPr>
        <w:t xml:space="preserve">. </w:t>
      </w:r>
      <w:r w:rsidR="002840C5" w:rsidRPr="00DF651B">
        <w:rPr>
          <w:rFonts w:eastAsia="Times New Roman" w:cs="Arial"/>
          <w:i/>
          <w:iCs/>
          <w:sz w:val="18"/>
          <w:szCs w:val="18"/>
        </w:rPr>
        <w:t>Published online at OurWorldInData.org.</w:t>
      </w:r>
      <w:r w:rsidR="002840C5" w:rsidRPr="00DF651B">
        <w:rPr>
          <w:rFonts w:eastAsia="Times New Roman" w:cs="Arial"/>
          <w:i/>
          <w:sz w:val="18"/>
          <w:szCs w:val="18"/>
        </w:rPr>
        <w:t xml:space="preserve"> </w:t>
      </w:r>
      <w:r w:rsidR="0010332B">
        <w:rPr>
          <w:rFonts w:eastAsia="Times New Roman" w:cs="Arial"/>
          <w:i/>
          <w:sz w:val="18"/>
          <w:szCs w:val="18"/>
        </w:rPr>
        <w:t>Available</w:t>
      </w:r>
      <w:r w:rsidR="0010332B" w:rsidRPr="00DF651B">
        <w:rPr>
          <w:rFonts w:eastAsia="Times New Roman" w:cs="Arial"/>
          <w:i/>
          <w:sz w:val="18"/>
          <w:szCs w:val="18"/>
        </w:rPr>
        <w:t xml:space="preserve"> </w:t>
      </w:r>
      <w:r w:rsidR="002840C5" w:rsidRPr="00DF651B">
        <w:rPr>
          <w:rFonts w:eastAsia="Times New Roman" w:cs="Arial"/>
          <w:i/>
          <w:sz w:val="18"/>
          <w:szCs w:val="18"/>
        </w:rPr>
        <w:t>from: https://ourworldindata.org/cancer</w:t>
      </w:r>
    </w:p>
    <w:p w14:paraId="475DA513" w14:textId="68D38529" w:rsidR="00182E9B" w:rsidRPr="00182E9B" w:rsidRDefault="00182E9B" w:rsidP="001A17B2">
      <w:pPr>
        <w:pStyle w:val="DHHSfigurecaption"/>
        <w:rPr>
          <w:lang w:val="en"/>
        </w:rPr>
      </w:pPr>
      <w:bookmarkStart w:id="226" w:name="_Toc19008027"/>
      <w:bookmarkStart w:id="227" w:name="_Toc19008281"/>
      <w:bookmarkStart w:id="228" w:name="_Toc19008428"/>
      <w:bookmarkStart w:id="229" w:name="_Toc19008575"/>
      <w:bookmarkStart w:id="230" w:name="_Toc27414278"/>
      <w:r w:rsidRPr="00182E9B">
        <w:t>Figure 2.1.1</w:t>
      </w:r>
      <w:r w:rsidR="00BB150E">
        <w:t>:</w:t>
      </w:r>
      <w:r w:rsidRPr="00182E9B">
        <w:t xml:space="preserve"> Victorian death rate for all cancers combined</w:t>
      </w:r>
      <w:r w:rsidR="00A10CD1">
        <w:t>,</w:t>
      </w:r>
      <w:r w:rsidRPr="00182E9B">
        <w:t xml:space="preserve"> by </w:t>
      </w:r>
      <w:r w:rsidR="00266EC2">
        <w:t xml:space="preserve">sex and </w:t>
      </w:r>
      <w:r w:rsidRPr="00182E9B">
        <w:t>year, 201</w:t>
      </w:r>
      <w:r w:rsidR="00184925">
        <w:t>0</w:t>
      </w:r>
      <w:r w:rsidR="00BB150E">
        <w:t>–</w:t>
      </w:r>
      <w:r w:rsidRPr="00182E9B">
        <w:t>2017</w:t>
      </w:r>
      <w:bookmarkEnd w:id="226"/>
      <w:bookmarkEnd w:id="227"/>
      <w:bookmarkEnd w:id="228"/>
      <w:bookmarkEnd w:id="229"/>
      <w:bookmarkEnd w:id="230"/>
    </w:p>
    <w:p w14:paraId="558E68AC" w14:textId="7CCC73F9" w:rsidR="007029AA" w:rsidRPr="00504AF7" w:rsidRDefault="005C68DF" w:rsidP="000D0262">
      <w:pPr>
        <w:pStyle w:val="DHHSbody"/>
        <w:rPr>
          <w:rFonts w:cs="Arial"/>
          <w:sz w:val="18"/>
          <w:szCs w:val="18"/>
          <w:lang w:eastAsia="en-AU"/>
        </w:rPr>
      </w:pPr>
      <w:r>
        <w:rPr>
          <w:rFonts w:cs="Arial"/>
          <w:noProof/>
          <w:sz w:val="18"/>
          <w:szCs w:val="18"/>
          <w:lang w:eastAsia="en-AU"/>
        </w:rPr>
        <w:drawing>
          <wp:inline distT="0" distB="0" distL="0" distR="0" wp14:anchorId="271BF17E" wp14:editId="0FD3288A">
            <wp:extent cx="6730365" cy="3243580"/>
            <wp:effectExtent l="0" t="0" r="0" b="0"/>
            <wp:docPr id="219" name="Picture 219" descr="This figure presents data via a bar graph of the Victorian death rate for all cancers combined by sex and year, 2010 to 2017.  The data set is available under 'Measure 2.1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30365" cy="3243580"/>
                    </a:xfrm>
                    <a:prstGeom prst="rect">
                      <a:avLst/>
                    </a:prstGeom>
                    <a:noFill/>
                  </pic:spPr>
                </pic:pic>
              </a:graphicData>
            </a:graphic>
          </wp:inline>
        </w:drawing>
      </w:r>
    </w:p>
    <w:p w14:paraId="1E4DC17B" w14:textId="1E2178D0" w:rsidR="00DF6BF5" w:rsidRPr="00AE63BA" w:rsidRDefault="00496989" w:rsidP="00AE63BA">
      <w:pPr>
        <w:pStyle w:val="DHHSbody"/>
        <w:rPr>
          <w:i/>
          <w:noProof/>
          <w:sz w:val="18"/>
          <w:szCs w:val="18"/>
        </w:rPr>
      </w:pPr>
      <w:r w:rsidRPr="00496989">
        <w:rPr>
          <w:i/>
          <w:noProof/>
          <w:sz w:val="18"/>
          <w:szCs w:val="18"/>
        </w:rPr>
        <w:t xml:space="preserve">Note: </w:t>
      </w:r>
      <w:r w:rsidR="0010332B">
        <w:rPr>
          <w:i/>
          <w:noProof/>
          <w:sz w:val="18"/>
          <w:szCs w:val="18"/>
        </w:rPr>
        <w:t>D</w:t>
      </w:r>
      <w:r w:rsidRPr="00496989">
        <w:rPr>
          <w:i/>
          <w:noProof/>
          <w:sz w:val="18"/>
          <w:szCs w:val="18"/>
        </w:rPr>
        <w:t>irect age-standardised rate per 100,000 popula</w:t>
      </w:r>
      <w:r w:rsidR="00FA343A">
        <w:rPr>
          <w:i/>
          <w:noProof/>
          <w:sz w:val="18"/>
          <w:szCs w:val="18"/>
        </w:rPr>
        <w:t>ti</w:t>
      </w:r>
      <w:r w:rsidRPr="00496989">
        <w:rPr>
          <w:i/>
          <w:noProof/>
          <w:sz w:val="18"/>
          <w:szCs w:val="18"/>
        </w:rPr>
        <w:t>on, standardised to the 2001 population of Australia</w:t>
      </w:r>
      <w:r w:rsidR="00DF6BF5">
        <w:rPr>
          <w:b/>
          <w:noProof/>
        </w:rPr>
        <w:br w:type="page"/>
      </w:r>
    </w:p>
    <w:p w14:paraId="25E44FED" w14:textId="4775F7F2" w:rsidR="00986443" w:rsidRPr="00116C63" w:rsidRDefault="004A50CC" w:rsidP="00116C63">
      <w:pPr>
        <w:pStyle w:val="DHHStablecaption"/>
      </w:pPr>
      <w:bookmarkStart w:id="231" w:name="_Toc18908719"/>
      <w:bookmarkStart w:id="232" w:name="_Toc27414398"/>
      <w:r w:rsidRPr="00116C63">
        <w:lastRenderedPageBreak/>
        <w:t>Table 2.1</w:t>
      </w:r>
      <w:r w:rsidR="00E634E9" w:rsidRPr="00116C63">
        <w:t>:</w:t>
      </w:r>
      <w:r w:rsidRPr="00116C63">
        <w:t xml:space="preserve"> Victorian death rate for all cancers combined by sex and year, 201</w:t>
      </w:r>
      <w:r w:rsidR="00DF2A3F" w:rsidRPr="00116C63">
        <w:t>0</w:t>
      </w:r>
      <w:r w:rsidR="00BB150E" w:rsidRPr="00116C63">
        <w:t>–</w:t>
      </w:r>
      <w:r w:rsidRPr="00116C63">
        <w:t>2017</w:t>
      </w:r>
      <w:bookmarkEnd w:id="231"/>
      <w:bookmarkEnd w:id="232"/>
    </w:p>
    <w:tbl>
      <w:tblPr>
        <w:tblW w:w="10575"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1652"/>
        <w:gridCol w:w="1108"/>
        <w:gridCol w:w="1108"/>
        <w:gridCol w:w="1108"/>
        <w:gridCol w:w="1108"/>
        <w:gridCol w:w="1108"/>
        <w:gridCol w:w="1108"/>
        <w:gridCol w:w="1140"/>
        <w:gridCol w:w="1135"/>
      </w:tblGrid>
      <w:tr w:rsidR="004A50CC" w14:paraId="3457A832" w14:textId="77777777" w:rsidTr="00F35D57">
        <w:trPr>
          <w:trHeight w:val="295"/>
        </w:trPr>
        <w:tc>
          <w:tcPr>
            <w:tcW w:w="1652" w:type="dxa"/>
            <w:shd w:val="clear" w:color="auto" w:fill="EDCDCF"/>
          </w:tcPr>
          <w:p w14:paraId="0BC6CCA3" w14:textId="5EAE9341" w:rsidR="004A50CC" w:rsidRPr="00F35D57" w:rsidRDefault="009F127E" w:rsidP="009F127E">
            <w:pPr>
              <w:pStyle w:val="DHHStablecolhead"/>
              <w:rPr>
                <w:sz w:val="18"/>
                <w:szCs w:val="18"/>
              </w:rPr>
            </w:pPr>
            <w:r w:rsidRPr="00F35D57">
              <w:rPr>
                <w:sz w:val="18"/>
                <w:szCs w:val="18"/>
              </w:rPr>
              <w:t>Sex</w:t>
            </w:r>
          </w:p>
        </w:tc>
        <w:tc>
          <w:tcPr>
            <w:tcW w:w="1108" w:type="dxa"/>
            <w:shd w:val="clear" w:color="auto" w:fill="EDCDCF"/>
          </w:tcPr>
          <w:p w14:paraId="686A90EE" w14:textId="64B31898" w:rsidR="004A50CC" w:rsidRPr="00F35D57" w:rsidRDefault="004A50CC" w:rsidP="009F127E">
            <w:pPr>
              <w:pStyle w:val="DHHStablecolhead"/>
              <w:rPr>
                <w:sz w:val="18"/>
                <w:szCs w:val="18"/>
              </w:rPr>
            </w:pPr>
            <w:r w:rsidRPr="00F35D57">
              <w:rPr>
                <w:sz w:val="18"/>
                <w:szCs w:val="18"/>
              </w:rPr>
              <w:t>2010</w:t>
            </w:r>
          </w:p>
        </w:tc>
        <w:tc>
          <w:tcPr>
            <w:tcW w:w="1108" w:type="dxa"/>
            <w:shd w:val="clear" w:color="auto" w:fill="EDCDCF"/>
          </w:tcPr>
          <w:p w14:paraId="64A52FA7" w14:textId="3C717A38" w:rsidR="004A50CC" w:rsidRPr="00F35D57" w:rsidRDefault="004A50CC" w:rsidP="009F127E">
            <w:pPr>
              <w:pStyle w:val="DHHStablecolhead"/>
              <w:rPr>
                <w:sz w:val="18"/>
                <w:szCs w:val="18"/>
              </w:rPr>
            </w:pPr>
            <w:r w:rsidRPr="00F35D57">
              <w:rPr>
                <w:sz w:val="18"/>
                <w:szCs w:val="18"/>
              </w:rPr>
              <w:t>2011</w:t>
            </w:r>
          </w:p>
        </w:tc>
        <w:tc>
          <w:tcPr>
            <w:tcW w:w="1108" w:type="dxa"/>
            <w:shd w:val="clear" w:color="auto" w:fill="EDCDCF"/>
          </w:tcPr>
          <w:p w14:paraId="3021FA7A" w14:textId="77777777" w:rsidR="004A50CC" w:rsidRPr="00F35D57" w:rsidRDefault="004A50CC" w:rsidP="009F127E">
            <w:pPr>
              <w:pStyle w:val="DHHStablecolhead"/>
              <w:rPr>
                <w:sz w:val="18"/>
                <w:szCs w:val="18"/>
              </w:rPr>
            </w:pPr>
            <w:r w:rsidRPr="00F35D57">
              <w:rPr>
                <w:sz w:val="18"/>
                <w:szCs w:val="18"/>
              </w:rPr>
              <w:t>2012</w:t>
            </w:r>
          </w:p>
        </w:tc>
        <w:tc>
          <w:tcPr>
            <w:tcW w:w="1108" w:type="dxa"/>
            <w:shd w:val="clear" w:color="auto" w:fill="EDCDCF"/>
          </w:tcPr>
          <w:p w14:paraId="2292E7E0" w14:textId="77777777" w:rsidR="004A50CC" w:rsidRPr="00F35D57" w:rsidRDefault="004A50CC" w:rsidP="009F127E">
            <w:pPr>
              <w:pStyle w:val="DHHStablecolhead"/>
              <w:rPr>
                <w:sz w:val="18"/>
                <w:szCs w:val="18"/>
              </w:rPr>
            </w:pPr>
            <w:r w:rsidRPr="00F35D57">
              <w:rPr>
                <w:sz w:val="18"/>
                <w:szCs w:val="18"/>
              </w:rPr>
              <w:t>2013</w:t>
            </w:r>
          </w:p>
        </w:tc>
        <w:tc>
          <w:tcPr>
            <w:tcW w:w="1108" w:type="dxa"/>
            <w:shd w:val="clear" w:color="auto" w:fill="EDCDCF"/>
          </w:tcPr>
          <w:p w14:paraId="78D62FC6" w14:textId="77777777" w:rsidR="004A50CC" w:rsidRPr="00F35D57" w:rsidRDefault="004A50CC" w:rsidP="009F127E">
            <w:pPr>
              <w:pStyle w:val="DHHStablecolhead"/>
              <w:rPr>
                <w:sz w:val="18"/>
                <w:szCs w:val="18"/>
              </w:rPr>
            </w:pPr>
            <w:r w:rsidRPr="00F35D57">
              <w:rPr>
                <w:sz w:val="18"/>
                <w:szCs w:val="18"/>
              </w:rPr>
              <w:t>2014</w:t>
            </w:r>
          </w:p>
        </w:tc>
        <w:tc>
          <w:tcPr>
            <w:tcW w:w="1108" w:type="dxa"/>
            <w:shd w:val="clear" w:color="auto" w:fill="EDCDCF"/>
          </w:tcPr>
          <w:p w14:paraId="4BF3AFFF" w14:textId="77777777" w:rsidR="004A50CC" w:rsidRPr="00F35D57" w:rsidRDefault="004A50CC" w:rsidP="009F127E">
            <w:pPr>
              <w:pStyle w:val="DHHStablecolhead"/>
              <w:rPr>
                <w:sz w:val="18"/>
                <w:szCs w:val="18"/>
              </w:rPr>
            </w:pPr>
            <w:r w:rsidRPr="00F35D57">
              <w:rPr>
                <w:sz w:val="18"/>
                <w:szCs w:val="18"/>
              </w:rPr>
              <w:t>2015</w:t>
            </w:r>
          </w:p>
        </w:tc>
        <w:tc>
          <w:tcPr>
            <w:tcW w:w="1140" w:type="dxa"/>
            <w:shd w:val="clear" w:color="auto" w:fill="EDCDCF"/>
          </w:tcPr>
          <w:p w14:paraId="5EB3A738" w14:textId="77777777" w:rsidR="004A50CC" w:rsidRPr="00F35D57" w:rsidRDefault="004A50CC" w:rsidP="009F127E">
            <w:pPr>
              <w:pStyle w:val="DHHStablecolhead"/>
              <w:rPr>
                <w:sz w:val="18"/>
                <w:szCs w:val="18"/>
              </w:rPr>
            </w:pPr>
            <w:r w:rsidRPr="00F35D57">
              <w:rPr>
                <w:sz w:val="18"/>
                <w:szCs w:val="18"/>
              </w:rPr>
              <w:t>2016</w:t>
            </w:r>
          </w:p>
        </w:tc>
        <w:tc>
          <w:tcPr>
            <w:tcW w:w="1135" w:type="dxa"/>
            <w:shd w:val="clear" w:color="auto" w:fill="EDCDCF"/>
          </w:tcPr>
          <w:p w14:paraId="2D230A87" w14:textId="24894CF3" w:rsidR="004A50CC" w:rsidRPr="00F35D57" w:rsidRDefault="004A50CC" w:rsidP="009F127E">
            <w:pPr>
              <w:pStyle w:val="DHHStablecolhead"/>
              <w:rPr>
                <w:sz w:val="18"/>
                <w:szCs w:val="18"/>
              </w:rPr>
            </w:pPr>
            <w:r w:rsidRPr="00F35D57">
              <w:rPr>
                <w:sz w:val="18"/>
                <w:szCs w:val="18"/>
              </w:rPr>
              <w:t>2017</w:t>
            </w:r>
          </w:p>
        </w:tc>
      </w:tr>
      <w:tr w:rsidR="004A50CC" w14:paraId="22BF8D9C" w14:textId="77777777" w:rsidTr="00F35D57">
        <w:trPr>
          <w:trHeight w:val="374"/>
        </w:trPr>
        <w:tc>
          <w:tcPr>
            <w:tcW w:w="1652" w:type="dxa"/>
            <w:shd w:val="clear" w:color="auto" w:fill="auto"/>
            <w:vAlign w:val="center"/>
          </w:tcPr>
          <w:p w14:paraId="21DC6720" w14:textId="77777777" w:rsidR="004A50CC" w:rsidRPr="00F35D57" w:rsidRDefault="004A50CC" w:rsidP="009F127E">
            <w:pPr>
              <w:pStyle w:val="DHHStabletext"/>
              <w:rPr>
                <w:sz w:val="18"/>
                <w:szCs w:val="18"/>
              </w:rPr>
            </w:pPr>
            <w:r w:rsidRPr="00F35D57">
              <w:rPr>
                <w:sz w:val="18"/>
                <w:szCs w:val="18"/>
              </w:rPr>
              <w:t>Males (ASR)</w:t>
            </w:r>
          </w:p>
        </w:tc>
        <w:tc>
          <w:tcPr>
            <w:tcW w:w="1108" w:type="dxa"/>
            <w:shd w:val="clear" w:color="auto" w:fill="auto"/>
            <w:vAlign w:val="center"/>
          </w:tcPr>
          <w:p w14:paraId="4AC397AF" w14:textId="4572BB5E" w:rsidR="004A50CC" w:rsidRPr="00F35D57" w:rsidRDefault="00184925" w:rsidP="009F127E">
            <w:pPr>
              <w:pStyle w:val="DHHStabletext"/>
              <w:rPr>
                <w:sz w:val="18"/>
                <w:szCs w:val="18"/>
              </w:rPr>
            </w:pPr>
            <w:r w:rsidRPr="00F35D57">
              <w:rPr>
                <w:sz w:val="18"/>
                <w:szCs w:val="18"/>
              </w:rPr>
              <w:t>218</w:t>
            </w:r>
          </w:p>
        </w:tc>
        <w:tc>
          <w:tcPr>
            <w:tcW w:w="1108" w:type="dxa"/>
            <w:shd w:val="clear" w:color="auto" w:fill="auto"/>
            <w:vAlign w:val="center"/>
          </w:tcPr>
          <w:p w14:paraId="1F6CEBC0" w14:textId="5B46EB74" w:rsidR="004A50CC" w:rsidRPr="00F35D57" w:rsidRDefault="004A50CC" w:rsidP="009F127E">
            <w:pPr>
              <w:pStyle w:val="DHHStabletext"/>
              <w:rPr>
                <w:sz w:val="18"/>
                <w:szCs w:val="18"/>
              </w:rPr>
            </w:pPr>
            <w:r w:rsidRPr="00F35D57">
              <w:rPr>
                <w:sz w:val="18"/>
                <w:szCs w:val="18"/>
              </w:rPr>
              <w:t>210</w:t>
            </w:r>
          </w:p>
        </w:tc>
        <w:tc>
          <w:tcPr>
            <w:tcW w:w="1108" w:type="dxa"/>
            <w:shd w:val="clear" w:color="auto" w:fill="auto"/>
            <w:vAlign w:val="center"/>
          </w:tcPr>
          <w:p w14:paraId="309CF646" w14:textId="718CD3CD" w:rsidR="004A50CC" w:rsidRPr="00F35D57" w:rsidRDefault="004A50CC" w:rsidP="009F127E">
            <w:pPr>
              <w:pStyle w:val="DHHStabletext"/>
              <w:rPr>
                <w:sz w:val="18"/>
                <w:szCs w:val="18"/>
              </w:rPr>
            </w:pPr>
            <w:r w:rsidRPr="00F35D57">
              <w:rPr>
                <w:sz w:val="18"/>
                <w:szCs w:val="18"/>
              </w:rPr>
              <w:t>205</w:t>
            </w:r>
          </w:p>
        </w:tc>
        <w:tc>
          <w:tcPr>
            <w:tcW w:w="1108" w:type="dxa"/>
            <w:shd w:val="clear" w:color="auto" w:fill="auto"/>
            <w:vAlign w:val="center"/>
          </w:tcPr>
          <w:p w14:paraId="10A0A6E3" w14:textId="3FC81F00" w:rsidR="004A50CC" w:rsidRPr="00F35D57" w:rsidRDefault="004A50CC" w:rsidP="009F127E">
            <w:pPr>
              <w:pStyle w:val="DHHStabletext"/>
              <w:rPr>
                <w:sz w:val="18"/>
                <w:szCs w:val="18"/>
              </w:rPr>
            </w:pPr>
            <w:r w:rsidRPr="00F35D57">
              <w:rPr>
                <w:sz w:val="18"/>
                <w:szCs w:val="18"/>
              </w:rPr>
              <w:t>204</w:t>
            </w:r>
          </w:p>
        </w:tc>
        <w:tc>
          <w:tcPr>
            <w:tcW w:w="1108" w:type="dxa"/>
            <w:shd w:val="clear" w:color="auto" w:fill="auto"/>
            <w:vAlign w:val="center"/>
          </w:tcPr>
          <w:p w14:paraId="7E2F0291" w14:textId="7691F2C7" w:rsidR="004A50CC" w:rsidRPr="00F35D57" w:rsidRDefault="004A50CC" w:rsidP="009F127E">
            <w:pPr>
              <w:pStyle w:val="DHHStabletext"/>
              <w:rPr>
                <w:sz w:val="18"/>
                <w:szCs w:val="18"/>
              </w:rPr>
            </w:pPr>
            <w:r w:rsidRPr="00F35D57">
              <w:rPr>
                <w:sz w:val="18"/>
                <w:szCs w:val="18"/>
              </w:rPr>
              <w:t>190</w:t>
            </w:r>
          </w:p>
        </w:tc>
        <w:tc>
          <w:tcPr>
            <w:tcW w:w="1108" w:type="dxa"/>
            <w:shd w:val="clear" w:color="auto" w:fill="auto"/>
            <w:vAlign w:val="center"/>
          </w:tcPr>
          <w:p w14:paraId="6C82660A" w14:textId="52C67204" w:rsidR="004A50CC" w:rsidRPr="00F35D57" w:rsidRDefault="004A50CC" w:rsidP="009F127E">
            <w:pPr>
              <w:pStyle w:val="DHHStabletext"/>
              <w:rPr>
                <w:sz w:val="18"/>
                <w:szCs w:val="18"/>
              </w:rPr>
            </w:pPr>
            <w:r w:rsidRPr="00F35D57">
              <w:rPr>
                <w:sz w:val="18"/>
                <w:szCs w:val="18"/>
              </w:rPr>
              <w:t>193</w:t>
            </w:r>
          </w:p>
        </w:tc>
        <w:tc>
          <w:tcPr>
            <w:tcW w:w="1140" w:type="dxa"/>
            <w:shd w:val="clear" w:color="auto" w:fill="auto"/>
            <w:vAlign w:val="center"/>
          </w:tcPr>
          <w:p w14:paraId="61918717" w14:textId="306C6F1A" w:rsidR="004A50CC" w:rsidRPr="00F35D57" w:rsidRDefault="004A50CC" w:rsidP="009F127E">
            <w:pPr>
              <w:pStyle w:val="DHHStabletext"/>
              <w:rPr>
                <w:sz w:val="18"/>
                <w:szCs w:val="18"/>
              </w:rPr>
            </w:pPr>
            <w:r w:rsidRPr="00F35D57">
              <w:rPr>
                <w:sz w:val="18"/>
                <w:szCs w:val="18"/>
              </w:rPr>
              <w:t>188</w:t>
            </w:r>
          </w:p>
        </w:tc>
        <w:tc>
          <w:tcPr>
            <w:tcW w:w="1135" w:type="dxa"/>
            <w:shd w:val="clear" w:color="auto" w:fill="auto"/>
            <w:vAlign w:val="center"/>
          </w:tcPr>
          <w:p w14:paraId="26F86821" w14:textId="5504D0CE" w:rsidR="004A50CC" w:rsidRPr="00F35D57" w:rsidRDefault="004A50CC" w:rsidP="009F127E">
            <w:pPr>
              <w:pStyle w:val="DHHStabletext"/>
              <w:rPr>
                <w:sz w:val="18"/>
                <w:szCs w:val="18"/>
              </w:rPr>
            </w:pPr>
            <w:r w:rsidRPr="00F35D57">
              <w:rPr>
                <w:sz w:val="18"/>
                <w:szCs w:val="18"/>
              </w:rPr>
              <w:t>175</w:t>
            </w:r>
          </w:p>
        </w:tc>
      </w:tr>
      <w:tr w:rsidR="004A50CC" w14:paraId="762ECA46" w14:textId="77777777" w:rsidTr="00F35D57">
        <w:trPr>
          <w:trHeight w:val="374"/>
        </w:trPr>
        <w:tc>
          <w:tcPr>
            <w:tcW w:w="1652" w:type="dxa"/>
            <w:shd w:val="clear" w:color="auto" w:fill="auto"/>
            <w:vAlign w:val="center"/>
          </w:tcPr>
          <w:p w14:paraId="7D5CB4AC" w14:textId="72B89E3B" w:rsidR="004A50CC" w:rsidRPr="00F35D57" w:rsidRDefault="004A50CC" w:rsidP="009F127E">
            <w:pPr>
              <w:pStyle w:val="DHHStabletext"/>
              <w:rPr>
                <w:sz w:val="18"/>
                <w:szCs w:val="18"/>
              </w:rPr>
            </w:pPr>
            <w:r w:rsidRPr="00F35D57">
              <w:rPr>
                <w:sz w:val="18"/>
                <w:szCs w:val="18"/>
              </w:rPr>
              <w:t>(95% CI)</w:t>
            </w:r>
          </w:p>
        </w:tc>
        <w:tc>
          <w:tcPr>
            <w:tcW w:w="1108" w:type="dxa"/>
            <w:shd w:val="clear" w:color="auto" w:fill="auto"/>
            <w:vAlign w:val="center"/>
          </w:tcPr>
          <w:p w14:paraId="06FF57C3" w14:textId="03F22E42" w:rsidR="004A50CC" w:rsidRPr="00F35D57" w:rsidRDefault="00184925" w:rsidP="009F127E">
            <w:pPr>
              <w:pStyle w:val="DHHStabletext"/>
              <w:rPr>
                <w:sz w:val="18"/>
                <w:szCs w:val="18"/>
              </w:rPr>
            </w:pPr>
            <w:r w:rsidRPr="00F35D57">
              <w:rPr>
                <w:sz w:val="18"/>
                <w:szCs w:val="18"/>
              </w:rPr>
              <w:t>(213</w:t>
            </w:r>
            <w:r w:rsidR="00C17266" w:rsidRPr="00F35D57">
              <w:rPr>
                <w:sz w:val="18"/>
                <w:szCs w:val="18"/>
              </w:rPr>
              <w:t>–</w:t>
            </w:r>
            <w:r w:rsidRPr="00F35D57">
              <w:rPr>
                <w:sz w:val="18"/>
                <w:szCs w:val="18"/>
              </w:rPr>
              <w:t>224)</w:t>
            </w:r>
          </w:p>
        </w:tc>
        <w:tc>
          <w:tcPr>
            <w:tcW w:w="1108" w:type="dxa"/>
            <w:shd w:val="clear" w:color="auto" w:fill="auto"/>
            <w:vAlign w:val="center"/>
          </w:tcPr>
          <w:p w14:paraId="688C2511" w14:textId="5C063998" w:rsidR="004A50CC" w:rsidRPr="00F35D57" w:rsidRDefault="004A50CC" w:rsidP="009F127E">
            <w:pPr>
              <w:pStyle w:val="DHHStabletext"/>
              <w:rPr>
                <w:sz w:val="18"/>
                <w:szCs w:val="18"/>
              </w:rPr>
            </w:pPr>
            <w:r w:rsidRPr="00F35D57">
              <w:rPr>
                <w:sz w:val="18"/>
                <w:szCs w:val="18"/>
              </w:rPr>
              <w:t>(205</w:t>
            </w:r>
            <w:r w:rsidR="00C17266" w:rsidRPr="00F35D57">
              <w:rPr>
                <w:sz w:val="18"/>
                <w:szCs w:val="18"/>
              </w:rPr>
              <w:t>–</w:t>
            </w:r>
            <w:r w:rsidRPr="00F35D57">
              <w:rPr>
                <w:sz w:val="18"/>
                <w:szCs w:val="18"/>
              </w:rPr>
              <w:t>216)</w:t>
            </w:r>
          </w:p>
        </w:tc>
        <w:tc>
          <w:tcPr>
            <w:tcW w:w="1108" w:type="dxa"/>
            <w:shd w:val="clear" w:color="auto" w:fill="auto"/>
            <w:vAlign w:val="center"/>
          </w:tcPr>
          <w:p w14:paraId="6376DD4F" w14:textId="75DC56CE" w:rsidR="004A50CC" w:rsidRPr="00F35D57" w:rsidRDefault="004A50CC" w:rsidP="009F127E">
            <w:pPr>
              <w:pStyle w:val="DHHStabletext"/>
              <w:rPr>
                <w:sz w:val="18"/>
                <w:szCs w:val="18"/>
              </w:rPr>
            </w:pPr>
            <w:r w:rsidRPr="00F35D57">
              <w:rPr>
                <w:sz w:val="18"/>
                <w:szCs w:val="18"/>
              </w:rPr>
              <w:t>(200</w:t>
            </w:r>
            <w:r w:rsidR="00C17266" w:rsidRPr="00F35D57">
              <w:rPr>
                <w:sz w:val="18"/>
                <w:szCs w:val="18"/>
              </w:rPr>
              <w:t>–</w:t>
            </w:r>
            <w:r w:rsidRPr="00F35D57">
              <w:rPr>
                <w:sz w:val="18"/>
                <w:szCs w:val="18"/>
              </w:rPr>
              <w:t>210)</w:t>
            </w:r>
          </w:p>
        </w:tc>
        <w:tc>
          <w:tcPr>
            <w:tcW w:w="1108" w:type="dxa"/>
            <w:shd w:val="clear" w:color="auto" w:fill="auto"/>
            <w:vAlign w:val="center"/>
          </w:tcPr>
          <w:p w14:paraId="6214FB43" w14:textId="261185D7" w:rsidR="004A50CC" w:rsidRPr="00F35D57" w:rsidRDefault="004A50CC" w:rsidP="009F127E">
            <w:pPr>
              <w:pStyle w:val="DHHStabletext"/>
              <w:rPr>
                <w:sz w:val="18"/>
                <w:szCs w:val="18"/>
              </w:rPr>
            </w:pPr>
            <w:r w:rsidRPr="00F35D57">
              <w:rPr>
                <w:sz w:val="18"/>
                <w:szCs w:val="18"/>
              </w:rPr>
              <w:t>(199</w:t>
            </w:r>
            <w:r w:rsidR="00C17266" w:rsidRPr="00F35D57">
              <w:rPr>
                <w:sz w:val="18"/>
                <w:szCs w:val="18"/>
              </w:rPr>
              <w:t>–</w:t>
            </w:r>
            <w:r w:rsidRPr="00F35D57">
              <w:rPr>
                <w:sz w:val="18"/>
                <w:szCs w:val="18"/>
              </w:rPr>
              <w:t>209)</w:t>
            </w:r>
          </w:p>
        </w:tc>
        <w:tc>
          <w:tcPr>
            <w:tcW w:w="1108" w:type="dxa"/>
            <w:shd w:val="clear" w:color="auto" w:fill="auto"/>
            <w:vAlign w:val="center"/>
          </w:tcPr>
          <w:p w14:paraId="59F811D4" w14:textId="09483EC2" w:rsidR="004A50CC" w:rsidRPr="00F35D57" w:rsidRDefault="004A50CC" w:rsidP="009F127E">
            <w:pPr>
              <w:pStyle w:val="DHHStabletext"/>
              <w:rPr>
                <w:sz w:val="18"/>
                <w:szCs w:val="18"/>
              </w:rPr>
            </w:pPr>
            <w:r w:rsidRPr="00F35D57">
              <w:rPr>
                <w:sz w:val="18"/>
                <w:szCs w:val="18"/>
              </w:rPr>
              <w:t>(186</w:t>
            </w:r>
            <w:r w:rsidR="00C17266" w:rsidRPr="00F35D57">
              <w:rPr>
                <w:sz w:val="18"/>
                <w:szCs w:val="18"/>
              </w:rPr>
              <w:t>–</w:t>
            </w:r>
            <w:r w:rsidRPr="00F35D57">
              <w:rPr>
                <w:sz w:val="18"/>
                <w:szCs w:val="18"/>
              </w:rPr>
              <w:t>195)</w:t>
            </w:r>
          </w:p>
        </w:tc>
        <w:tc>
          <w:tcPr>
            <w:tcW w:w="1108" w:type="dxa"/>
            <w:shd w:val="clear" w:color="auto" w:fill="auto"/>
            <w:vAlign w:val="center"/>
          </w:tcPr>
          <w:p w14:paraId="1CD0DFB7" w14:textId="339C4E0D" w:rsidR="004A50CC" w:rsidRPr="00F35D57" w:rsidRDefault="004A50CC" w:rsidP="009F127E">
            <w:pPr>
              <w:pStyle w:val="DHHStabletext"/>
              <w:rPr>
                <w:sz w:val="18"/>
                <w:szCs w:val="18"/>
              </w:rPr>
            </w:pPr>
            <w:r w:rsidRPr="00F35D57">
              <w:rPr>
                <w:sz w:val="18"/>
                <w:szCs w:val="18"/>
              </w:rPr>
              <w:t>(189</w:t>
            </w:r>
            <w:r w:rsidR="00C17266" w:rsidRPr="00F35D57">
              <w:rPr>
                <w:sz w:val="18"/>
                <w:szCs w:val="18"/>
              </w:rPr>
              <w:t>–</w:t>
            </w:r>
            <w:r w:rsidRPr="00F35D57">
              <w:rPr>
                <w:sz w:val="18"/>
                <w:szCs w:val="18"/>
              </w:rPr>
              <w:t>198)</w:t>
            </w:r>
          </w:p>
        </w:tc>
        <w:tc>
          <w:tcPr>
            <w:tcW w:w="1140" w:type="dxa"/>
            <w:shd w:val="clear" w:color="auto" w:fill="auto"/>
            <w:vAlign w:val="center"/>
          </w:tcPr>
          <w:p w14:paraId="14231FF6" w14:textId="038E702E" w:rsidR="004A50CC" w:rsidRPr="00F35D57" w:rsidRDefault="004A50CC" w:rsidP="009F127E">
            <w:pPr>
              <w:pStyle w:val="DHHStabletext"/>
              <w:rPr>
                <w:sz w:val="18"/>
                <w:szCs w:val="18"/>
              </w:rPr>
            </w:pPr>
            <w:r w:rsidRPr="00F35D57">
              <w:rPr>
                <w:sz w:val="18"/>
                <w:szCs w:val="18"/>
              </w:rPr>
              <w:t>(183</w:t>
            </w:r>
            <w:r w:rsidR="00C17266" w:rsidRPr="00F35D57">
              <w:rPr>
                <w:sz w:val="18"/>
                <w:szCs w:val="18"/>
              </w:rPr>
              <w:t>–</w:t>
            </w:r>
            <w:r w:rsidRPr="00F35D57">
              <w:rPr>
                <w:sz w:val="18"/>
                <w:szCs w:val="18"/>
              </w:rPr>
              <w:t>192)</w:t>
            </w:r>
          </w:p>
        </w:tc>
        <w:tc>
          <w:tcPr>
            <w:tcW w:w="1135" w:type="dxa"/>
            <w:shd w:val="clear" w:color="auto" w:fill="auto"/>
            <w:vAlign w:val="center"/>
          </w:tcPr>
          <w:p w14:paraId="3904549D" w14:textId="0A723FCC" w:rsidR="004A50CC" w:rsidRPr="00F35D57" w:rsidRDefault="004A50CC" w:rsidP="009F127E">
            <w:pPr>
              <w:pStyle w:val="DHHStabletext"/>
              <w:rPr>
                <w:sz w:val="18"/>
                <w:szCs w:val="18"/>
              </w:rPr>
            </w:pPr>
            <w:r w:rsidRPr="00F35D57">
              <w:rPr>
                <w:sz w:val="18"/>
                <w:szCs w:val="18"/>
              </w:rPr>
              <w:t>(170</w:t>
            </w:r>
            <w:r w:rsidR="00C17266" w:rsidRPr="00F35D57">
              <w:rPr>
                <w:sz w:val="18"/>
                <w:szCs w:val="18"/>
              </w:rPr>
              <w:t>–</w:t>
            </w:r>
            <w:r w:rsidRPr="00F35D57">
              <w:rPr>
                <w:sz w:val="18"/>
                <w:szCs w:val="18"/>
              </w:rPr>
              <w:t>179)</w:t>
            </w:r>
          </w:p>
        </w:tc>
      </w:tr>
      <w:tr w:rsidR="004A50CC" w14:paraId="324817BC" w14:textId="77777777" w:rsidTr="00F35D57">
        <w:trPr>
          <w:trHeight w:val="284"/>
        </w:trPr>
        <w:tc>
          <w:tcPr>
            <w:tcW w:w="1652" w:type="dxa"/>
            <w:shd w:val="clear" w:color="auto" w:fill="auto"/>
            <w:vAlign w:val="center"/>
          </w:tcPr>
          <w:p w14:paraId="29A8686C" w14:textId="77777777" w:rsidR="004A50CC" w:rsidRPr="00F35D57" w:rsidRDefault="004A50CC" w:rsidP="009F127E">
            <w:pPr>
              <w:pStyle w:val="DHHStabletext"/>
              <w:rPr>
                <w:sz w:val="18"/>
                <w:szCs w:val="18"/>
              </w:rPr>
            </w:pPr>
            <w:r w:rsidRPr="00F35D57">
              <w:rPr>
                <w:sz w:val="18"/>
                <w:szCs w:val="18"/>
              </w:rPr>
              <w:t>Females (ASR)</w:t>
            </w:r>
          </w:p>
        </w:tc>
        <w:tc>
          <w:tcPr>
            <w:tcW w:w="1108" w:type="dxa"/>
            <w:shd w:val="clear" w:color="auto" w:fill="auto"/>
            <w:vAlign w:val="center"/>
          </w:tcPr>
          <w:p w14:paraId="1E9BCE62" w14:textId="41D3B3D8" w:rsidR="004A50CC" w:rsidRPr="00F35D57" w:rsidRDefault="00184925" w:rsidP="009F127E">
            <w:pPr>
              <w:pStyle w:val="DHHStabletext"/>
              <w:rPr>
                <w:sz w:val="18"/>
                <w:szCs w:val="18"/>
              </w:rPr>
            </w:pPr>
            <w:r w:rsidRPr="00F35D57">
              <w:rPr>
                <w:sz w:val="18"/>
                <w:szCs w:val="18"/>
              </w:rPr>
              <w:t>137</w:t>
            </w:r>
          </w:p>
        </w:tc>
        <w:tc>
          <w:tcPr>
            <w:tcW w:w="1108" w:type="dxa"/>
            <w:shd w:val="clear" w:color="auto" w:fill="auto"/>
            <w:vAlign w:val="center"/>
          </w:tcPr>
          <w:p w14:paraId="3CBACD67" w14:textId="0CD69196" w:rsidR="004A50CC" w:rsidRPr="00F35D57" w:rsidRDefault="004A50CC" w:rsidP="009F127E">
            <w:pPr>
              <w:pStyle w:val="DHHStabletext"/>
              <w:rPr>
                <w:sz w:val="18"/>
                <w:szCs w:val="18"/>
              </w:rPr>
            </w:pPr>
            <w:r w:rsidRPr="00F35D57">
              <w:rPr>
                <w:sz w:val="18"/>
                <w:szCs w:val="18"/>
              </w:rPr>
              <w:t>136</w:t>
            </w:r>
          </w:p>
        </w:tc>
        <w:tc>
          <w:tcPr>
            <w:tcW w:w="1108" w:type="dxa"/>
            <w:shd w:val="clear" w:color="auto" w:fill="auto"/>
            <w:vAlign w:val="center"/>
          </w:tcPr>
          <w:p w14:paraId="6566BDE9" w14:textId="58DF1A94" w:rsidR="004A50CC" w:rsidRPr="00F35D57" w:rsidRDefault="004A50CC" w:rsidP="009F127E">
            <w:pPr>
              <w:pStyle w:val="DHHStabletext"/>
              <w:rPr>
                <w:sz w:val="18"/>
                <w:szCs w:val="18"/>
              </w:rPr>
            </w:pPr>
            <w:r w:rsidRPr="00F35D57">
              <w:rPr>
                <w:sz w:val="18"/>
                <w:szCs w:val="18"/>
              </w:rPr>
              <w:t>133</w:t>
            </w:r>
          </w:p>
        </w:tc>
        <w:tc>
          <w:tcPr>
            <w:tcW w:w="1108" w:type="dxa"/>
            <w:shd w:val="clear" w:color="auto" w:fill="auto"/>
            <w:vAlign w:val="center"/>
          </w:tcPr>
          <w:p w14:paraId="31907727" w14:textId="48A1187E" w:rsidR="004A50CC" w:rsidRPr="00F35D57" w:rsidRDefault="004A50CC" w:rsidP="009F127E">
            <w:pPr>
              <w:pStyle w:val="DHHStabletext"/>
              <w:rPr>
                <w:sz w:val="18"/>
                <w:szCs w:val="18"/>
              </w:rPr>
            </w:pPr>
            <w:r w:rsidRPr="00F35D57">
              <w:rPr>
                <w:sz w:val="18"/>
                <w:szCs w:val="18"/>
              </w:rPr>
              <w:t>131</w:t>
            </w:r>
          </w:p>
        </w:tc>
        <w:tc>
          <w:tcPr>
            <w:tcW w:w="1108" w:type="dxa"/>
            <w:shd w:val="clear" w:color="auto" w:fill="auto"/>
            <w:vAlign w:val="center"/>
          </w:tcPr>
          <w:p w14:paraId="0E37CF0A" w14:textId="3A4DA4E0" w:rsidR="004A50CC" w:rsidRPr="00F35D57" w:rsidRDefault="004A50CC" w:rsidP="009F127E">
            <w:pPr>
              <w:pStyle w:val="DHHStabletext"/>
              <w:rPr>
                <w:sz w:val="18"/>
                <w:szCs w:val="18"/>
              </w:rPr>
            </w:pPr>
            <w:r w:rsidRPr="00F35D57">
              <w:rPr>
                <w:sz w:val="18"/>
                <w:szCs w:val="18"/>
              </w:rPr>
              <w:t>127</w:t>
            </w:r>
          </w:p>
        </w:tc>
        <w:tc>
          <w:tcPr>
            <w:tcW w:w="1108" w:type="dxa"/>
            <w:shd w:val="clear" w:color="auto" w:fill="auto"/>
            <w:vAlign w:val="center"/>
          </w:tcPr>
          <w:p w14:paraId="0E0E6B22" w14:textId="526DC335" w:rsidR="004A50CC" w:rsidRPr="00F35D57" w:rsidRDefault="004A50CC" w:rsidP="009F127E">
            <w:pPr>
              <w:pStyle w:val="DHHStabletext"/>
              <w:rPr>
                <w:sz w:val="18"/>
                <w:szCs w:val="18"/>
              </w:rPr>
            </w:pPr>
            <w:r w:rsidRPr="00F35D57">
              <w:rPr>
                <w:sz w:val="18"/>
                <w:szCs w:val="18"/>
              </w:rPr>
              <w:t>127</w:t>
            </w:r>
          </w:p>
        </w:tc>
        <w:tc>
          <w:tcPr>
            <w:tcW w:w="1140" w:type="dxa"/>
            <w:shd w:val="clear" w:color="auto" w:fill="auto"/>
            <w:vAlign w:val="center"/>
          </w:tcPr>
          <w:p w14:paraId="5A30A92D" w14:textId="3C272AE6" w:rsidR="004A50CC" w:rsidRPr="00F35D57" w:rsidRDefault="004A50CC" w:rsidP="009F127E">
            <w:pPr>
              <w:pStyle w:val="DHHStabletext"/>
              <w:rPr>
                <w:sz w:val="18"/>
                <w:szCs w:val="18"/>
              </w:rPr>
            </w:pPr>
            <w:r w:rsidRPr="00F35D57">
              <w:rPr>
                <w:sz w:val="18"/>
                <w:szCs w:val="18"/>
              </w:rPr>
              <w:t>128</w:t>
            </w:r>
          </w:p>
        </w:tc>
        <w:tc>
          <w:tcPr>
            <w:tcW w:w="1135" w:type="dxa"/>
            <w:shd w:val="clear" w:color="auto" w:fill="auto"/>
            <w:vAlign w:val="center"/>
          </w:tcPr>
          <w:p w14:paraId="17D71B89" w14:textId="54DC3645" w:rsidR="004A50CC" w:rsidRPr="00F35D57" w:rsidRDefault="004A50CC" w:rsidP="009F127E">
            <w:pPr>
              <w:pStyle w:val="DHHStabletext"/>
              <w:rPr>
                <w:sz w:val="18"/>
                <w:szCs w:val="18"/>
              </w:rPr>
            </w:pPr>
            <w:r w:rsidRPr="00F35D57">
              <w:rPr>
                <w:sz w:val="18"/>
                <w:szCs w:val="18"/>
              </w:rPr>
              <w:t>121</w:t>
            </w:r>
          </w:p>
        </w:tc>
      </w:tr>
      <w:tr w:rsidR="004A50CC" w14:paraId="3A3BC42F" w14:textId="77777777" w:rsidTr="00F35D57">
        <w:trPr>
          <w:trHeight w:val="284"/>
        </w:trPr>
        <w:tc>
          <w:tcPr>
            <w:tcW w:w="1652" w:type="dxa"/>
            <w:shd w:val="clear" w:color="auto" w:fill="auto"/>
            <w:vAlign w:val="center"/>
          </w:tcPr>
          <w:p w14:paraId="7A6C0DD7" w14:textId="15973C22" w:rsidR="004A50CC" w:rsidRPr="00F35D57" w:rsidRDefault="004A50CC" w:rsidP="009F127E">
            <w:pPr>
              <w:pStyle w:val="DHHStabletext"/>
              <w:rPr>
                <w:sz w:val="18"/>
                <w:szCs w:val="18"/>
              </w:rPr>
            </w:pPr>
            <w:r w:rsidRPr="00F35D57">
              <w:rPr>
                <w:sz w:val="18"/>
                <w:szCs w:val="18"/>
              </w:rPr>
              <w:t>(95% CI)</w:t>
            </w:r>
          </w:p>
        </w:tc>
        <w:tc>
          <w:tcPr>
            <w:tcW w:w="1108" w:type="dxa"/>
            <w:shd w:val="clear" w:color="auto" w:fill="auto"/>
            <w:vAlign w:val="center"/>
          </w:tcPr>
          <w:p w14:paraId="47AF13F6" w14:textId="60AE9EDE" w:rsidR="004A50CC" w:rsidRPr="00F35D57" w:rsidRDefault="00184925" w:rsidP="009F127E">
            <w:pPr>
              <w:pStyle w:val="DHHStabletext"/>
              <w:rPr>
                <w:sz w:val="18"/>
                <w:szCs w:val="18"/>
              </w:rPr>
            </w:pPr>
            <w:r w:rsidRPr="00F35D57">
              <w:rPr>
                <w:sz w:val="18"/>
                <w:szCs w:val="18"/>
              </w:rPr>
              <w:t>(133</w:t>
            </w:r>
            <w:r w:rsidR="00C17266" w:rsidRPr="00F35D57">
              <w:rPr>
                <w:sz w:val="18"/>
                <w:szCs w:val="18"/>
              </w:rPr>
              <w:t>–</w:t>
            </w:r>
            <w:r w:rsidRPr="00F35D57">
              <w:rPr>
                <w:sz w:val="18"/>
                <w:szCs w:val="18"/>
              </w:rPr>
              <w:t>141)</w:t>
            </w:r>
          </w:p>
        </w:tc>
        <w:tc>
          <w:tcPr>
            <w:tcW w:w="1108" w:type="dxa"/>
            <w:shd w:val="clear" w:color="auto" w:fill="auto"/>
            <w:vAlign w:val="center"/>
          </w:tcPr>
          <w:p w14:paraId="1E5BEEB0" w14:textId="0A0EC3ED" w:rsidR="004A50CC" w:rsidRPr="00F35D57" w:rsidRDefault="004A50CC" w:rsidP="009F127E">
            <w:pPr>
              <w:pStyle w:val="DHHStabletext"/>
              <w:rPr>
                <w:sz w:val="18"/>
                <w:szCs w:val="18"/>
              </w:rPr>
            </w:pPr>
            <w:r w:rsidRPr="00F35D57">
              <w:rPr>
                <w:sz w:val="18"/>
                <w:szCs w:val="18"/>
              </w:rPr>
              <w:t>(132</w:t>
            </w:r>
            <w:r w:rsidR="00C17266" w:rsidRPr="00F35D57">
              <w:rPr>
                <w:sz w:val="18"/>
                <w:szCs w:val="18"/>
              </w:rPr>
              <w:t>–</w:t>
            </w:r>
            <w:r w:rsidRPr="00F35D57">
              <w:rPr>
                <w:sz w:val="18"/>
                <w:szCs w:val="18"/>
              </w:rPr>
              <w:t>140)</w:t>
            </w:r>
          </w:p>
        </w:tc>
        <w:tc>
          <w:tcPr>
            <w:tcW w:w="1108" w:type="dxa"/>
            <w:shd w:val="clear" w:color="auto" w:fill="auto"/>
            <w:vAlign w:val="center"/>
          </w:tcPr>
          <w:p w14:paraId="47E099E6" w14:textId="7CE54B80" w:rsidR="004A50CC" w:rsidRPr="00F35D57" w:rsidRDefault="004A50CC" w:rsidP="009F127E">
            <w:pPr>
              <w:pStyle w:val="DHHStabletext"/>
              <w:rPr>
                <w:sz w:val="18"/>
                <w:szCs w:val="18"/>
              </w:rPr>
            </w:pPr>
            <w:r w:rsidRPr="00F35D57">
              <w:rPr>
                <w:sz w:val="18"/>
                <w:szCs w:val="18"/>
              </w:rPr>
              <w:t>(129</w:t>
            </w:r>
            <w:r w:rsidR="00C17266" w:rsidRPr="00F35D57">
              <w:rPr>
                <w:sz w:val="18"/>
                <w:szCs w:val="18"/>
              </w:rPr>
              <w:t>–</w:t>
            </w:r>
            <w:r w:rsidRPr="00F35D57">
              <w:rPr>
                <w:sz w:val="18"/>
                <w:szCs w:val="18"/>
              </w:rPr>
              <w:t>137)</w:t>
            </w:r>
          </w:p>
        </w:tc>
        <w:tc>
          <w:tcPr>
            <w:tcW w:w="1108" w:type="dxa"/>
            <w:shd w:val="clear" w:color="auto" w:fill="auto"/>
            <w:vAlign w:val="center"/>
          </w:tcPr>
          <w:p w14:paraId="0E7CDCBB" w14:textId="737F03A2" w:rsidR="004A50CC" w:rsidRPr="00F35D57" w:rsidRDefault="004A50CC" w:rsidP="009F127E">
            <w:pPr>
              <w:pStyle w:val="DHHStabletext"/>
              <w:rPr>
                <w:sz w:val="18"/>
                <w:szCs w:val="18"/>
              </w:rPr>
            </w:pPr>
            <w:r w:rsidRPr="00F35D57">
              <w:rPr>
                <w:sz w:val="18"/>
                <w:szCs w:val="18"/>
              </w:rPr>
              <w:t>(128</w:t>
            </w:r>
            <w:r w:rsidR="00C17266" w:rsidRPr="00F35D57">
              <w:rPr>
                <w:sz w:val="18"/>
                <w:szCs w:val="18"/>
              </w:rPr>
              <w:t>–</w:t>
            </w:r>
            <w:r w:rsidRPr="00F35D57">
              <w:rPr>
                <w:sz w:val="18"/>
                <w:szCs w:val="18"/>
              </w:rPr>
              <w:t>135)</w:t>
            </w:r>
          </w:p>
        </w:tc>
        <w:tc>
          <w:tcPr>
            <w:tcW w:w="1108" w:type="dxa"/>
            <w:shd w:val="clear" w:color="auto" w:fill="auto"/>
            <w:vAlign w:val="center"/>
          </w:tcPr>
          <w:p w14:paraId="672CB30B" w14:textId="0E6B1DB2" w:rsidR="004A50CC" w:rsidRPr="00F35D57" w:rsidRDefault="004A50CC" w:rsidP="009F127E">
            <w:pPr>
              <w:pStyle w:val="DHHStabletext"/>
              <w:rPr>
                <w:sz w:val="18"/>
                <w:szCs w:val="18"/>
              </w:rPr>
            </w:pPr>
            <w:r w:rsidRPr="00F35D57">
              <w:rPr>
                <w:sz w:val="18"/>
                <w:szCs w:val="18"/>
              </w:rPr>
              <w:t>(123</w:t>
            </w:r>
            <w:r w:rsidR="00C17266" w:rsidRPr="00F35D57">
              <w:rPr>
                <w:sz w:val="18"/>
                <w:szCs w:val="18"/>
              </w:rPr>
              <w:t>–</w:t>
            </w:r>
            <w:r w:rsidRPr="00F35D57">
              <w:rPr>
                <w:sz w:val="18"/>
                <w:szCs w:val="18"/>
              </w:rPr>
              <w:t>131)</w:t>
            </w:r>
          </w:p>
        </w:tc>
        <w:tc>
          <w:tcPr>
            <w:tcW w:w="1108" w:type="dxa"/>
            <w:shd w:val="clear" w:color="auto" w:fill="auto"/>
            <w:vAlign w:val="center"/>
          </w:tcPr>
          <w:p w14:paraId="38DDA748" w14:textId="3E5EE864" w:rsidR="004A50CC" w:rsidRPr="00F35D57" w:rsidRDefault="004A50CC" w:rsidP="009F127E">
            <w:pPr>
              <w:pStyle w:val="DHHStabletext"/>
              <w:rPr>
                <w:sz w:val="18"/>
                <w:szCs w:val="18"/>
              </w:rPr>
            </w:pPr>
            <w:r w:rsidRPr="00F35D57">
              <w:rPr>
                <w:sz w:val="18"/>
                <w:szCs w:val="18"/>
              </w:rPr>
              <w:t>(124</w:t>
            </w:r>
            <w:r w:rsidR="00C17266" w:rsidRPr="00F35D57">
              <w:rPr>
                <w:sz w:val="18"/>
                <w:szCs w:val="18"/>
              </w:rPr>
              <w:t>–</w:t>
            </w:r>
            <w:r w:rsidRPr="00F35D57">
              <w:rPr>
                <w:sz w:val="18"/>
                <w:szCs w:val="18"/>
              </w:rPr>
              <w:t>131)</w:t>
            </w:r>
          </w:p>
        </w:tc>
        <w:tc>
          <w:tcPr>
            <w:tcW w:w="1140" w:type="dxa"/>
            <w:shd w:val="clear" w:color="auto" w:fill="auto"/>
            <w:vAlign w:val="center"/>
          </w:tcPr>
          <w:p w14:paraId="2A67396B" w14:textId="5A061D0B" w:rsidR="004A50CC" w:rsidRPr="00F35D57" w:rsidRDefault="004A50CC" w:rsidP="009F127E">
            <w:pPr>
              <w:pStyle w:val="DHHStabletext"/>
              <w:rPr>
                <w:sz w:val="18"/>
                <w:szCs w:val="18"/>
              </w:rPr>
            </w:pPr>
            <w:r w:rsidRPr="00F35D57">
              <w:rPr>
                <w:sz w:val="18"/>
                <w:szCs w:val="18"/>
              </w:rPr>
              <w:t>(125</w:t>
            </w:r>
            <w:r w:rsidR="00C17266" w:rsidRPr="00F35D57">
              <w:rPr>
                <w:sz w:val="18"/>
                <w:szCs w:val="18"/>
              </w:rPr>
              <w:t>–</w:t>
            </w:r>
            <w:r w:rsidRPr="00F35D57">
              <w:rPr>
                <w:sz w:val="18"/>
                <w:szCs w:val="18"/>
              </w:rPr>
              <w:t>132)</w:t>
            </w:r>
          </w:p>
        </w:tc>
        <w:tc>
          <w:tcPr>
            <w:tcW w:w="1135" w:type="dxa"/>
            <w:shd w:val="clear" w:color="auto" w:fill="auto"/>
            <w:vAlign w:val="center"/>
          </w:tcPr>
          <w:p w14:paraId="424DB594" w14:textId="37950B3C" w:rsidR="004A50CC" w:rsidRPr="00F35D57" w:rsidRDefault="004A50CC" w:rsidP="009F127E">
            <w:pPr>
              <w:pStyle w:val="DHHStabletext"/>
              <w:rPr>
                <w:sz w:val="18"/>
                <w:szCs w:val="18"/>
              </w:rPr>
            </w:pPr>
            <w:r w:rsidRPr="00F35D57">
              <w:rPr>
                <w:sz w:val="18"/>
                <w:szCs w:val="18"/>
              </w:rPr>
              <w:t>(118</w:t>
            </w:r>
            <w:r w:rsidR="00C17266" w:rsidRPr="00F35D57">
              <w:rPr>
                <w:sz w:val="18"/>
                <w:szCs w:val="18"/>
              </w:rPr>
              <w:t>–</w:t>
            </w:r>
            <w:r w:rsidRPr="00F35D57">
              <w:rPr>
                <w:sz w:val="18"/>
                <w:szCs w:val="18"/>
              </w:rPr>
              <w:t>125)</w:t>
            </w:r>
          </w:p>
        </w:tc>
      </w:tr>
      <w:tr w:rsidR="004A50CC" w14:paraId="5EE18303" w14:textId="77777777" w:rsidTr="00F35D57">
        <w:trPr>
          <w:trHeight w:val="284"/>
        </w:trPr>
        <w:tc>
          <w:tcPr>
            <w:tcW w:w="1652" w:type="dxa"/>
            <w:shd w:val="clear" w:color="auto" w:fill="auto"/>
            <w:vAlign w:val="center"/>
          </w:tcPr>
          <w:p w14:paraId="12C34D48" w14:textId="6F608647" w:rsidR="004A50CC" w:rsidRPr="00F35D57" w:rsidRDefault="004A50CC" w:rsidP="009F127E">
            <w:pPr>
              <w:pStyle w:val="DHHStabletext"/>
              <w:rPr>
                <w:sz w:val="18"/>
                <w:szCs w:val="18"/>
              </w:rPr>
            </w:pPr>
            <w:r w:rsidRPr="00F35D57">
              <w:rPr>
                <w:sz w:val="18"/>
                <w:szCs w:val="18"/>
              </w:rPr>
              <w:t>Persons</w:t>
            </w:r>
            <w:r w:rsidR="00FD27AE" w:rsidRPr="00F35D57">
              <w:rPr>
                <w:sz w:val="18"/>
                <w:szCs w:val="18"/>
              </w:rPr>
              <w:t xml:space="preserve"> (ASR)</w:t>
            </w:r>
          </w:p>
        </w:tc>
        <w:tc>
          <w:tcPr>
            <w:tcW w:w="1108" w:type="dxa"/>
            <w:shd w:val="clear" w:color="auto" w:fill="auto"/>
            <w:vAlign w:val="center"/>
          </w:tcPr>
          <w:p w14:paraId="141E852E" w14:textId="5C901413" w:rsidR="004A50CC" w:rsidRPr="00F35D57" w:rsidRDefault="00184925" w:rsidP="009F127E">
            <w:pPr>
              <w:pStyle w:val="DHHStabletext"/>
              <w:rPr>
                <w:sz w:val="18"/>
                <w:szCs w:val="18"/>
              </w:rPr>
            </w:pPr>
            <w:r w:rsidRPr="00F35D57">
              <w:rPr>
                <w:sz w:val="18"/>
                <w:szCs w:val="18"/>
              </w:rPr>
              <w:t>172</w:t>
            </w:r>
          </w:p>
        </w:tc>
        <w:tc>
          <w:tcPr>
            <w:tcW w:w="1108" w:type="dxa"/>
            <w:shd w:val="clear" w:color="auto" w:fill="auto"/>
            <w:vAlign w:val="center"/>
          </w:tcPr>
          <w:p w14:paraId="69788FA8" w14:textId="229DA062" w:rsidR="004A50CC" w:rsidRPr="00F35D57" w:rsidRDefault="004A50CC" w:rsidP="009F127E">
            <w:pPr>
              <w:pStyle w:val="DHHStabletext"/>
              <w:rPr>
                <w:sz w:val="18"/>
                <w:szCs w:val="18"/>
              </w:rPr>
            </w:pPr>
            <w:r w:rsidRPr="00F35D57">
              <w:rPr>
                <w:sz w:val="18"/>
                <w:szCs w:val="18"/>
              </w:rPr>
              <w:t>168</w:t>
            </w:r>
          </w:p>
        </w:tc>
        <w:tc>
          <w:tcPr>
            <w:tcW w:w="1108" w:type="dxa"/>
            <w:shd w:val="clear" w:color="auto" w:fill="auto"/>
            <w:vAlign w:val="center"/>
          </w:tcPr>
          <w:p w14:paraId="512C0B54" w14:textId="071C4B7D" w:rsidR="004A50CC" w:rsidRPr="00F35D57" w:rsidRDefault="004A50CC" w:rsidP="009F127E">
            <w:pPr>
              <w:pStyle w:val="DHHStabletext"/>
              <w:rPr>
                <w:sz w:val="18"/>
                <w:szCs w:val="18"/>
              </w:rPr>
            </w:pPr>
            <w:r w:rsidRPr="00F35D57">
              <w:rPr>
                <w:sz w:val="18"/>
                <w:szCs w:val="18"/>
              </w:rPr>
              <w:t>164</w:t>
            </w:r>
          </w:p>
        </w:tc>
        <w:tc>
          <w:tcPr>
            <w:tcW w:w="1108" w:type="dxa"/>
            <w:shd w:val="clear" w:color="auto" w:fill="auto"/>
            <w:vAlign w:val="center"/>
          </w:tcPr>
          <w:p w14:paraId="21BB738E" w14:textId="0E1C0849" w:rsidR="004A50CC" w:rsidRPr="00F35D57" w:rsidRDefault="004A50CC" w:rsidP="009F127E">
            <w:pPr>
              <w:pStyle w:val="DHHStabletext"/>
              <w:rPr>
                <w:sz w:val="18"/>
                <w:szCs w:val="18"/>
              </w:rPr>
            </w:pPr>
            <w:r w:rsidRPr="00F35D57">
              <w:rPr>
                <w:sz w:val="18"/>
                <w:szCs w:val="18"/>
              </w:rPr>
              <w:t>163</w:t>
            </w:r>
          </w:p>
        </w:tc>
        <w:tc>
          <w:tcPr>
            <w:tcW w:w="1108" w:type="dxa"/>
            <w:shd w:val="clear" w:color="auto" w:fill="auto"/>
            <w:vAlign w:val="center"/>
          </w:tcPr>
          <w:p w14:paraId="2F4CC07D" w14:textId="488159D4" w:rsidR="004A50CC" w:rsidRPr="00F35D57" w:rsidRDefault="004A50CC" w:rsidP="009F127E">
            <w:pPr>
              <w:pStyle w:val="DHHStabletext"/>
              <w:rPr>
                <w:sz w:val="18"/>
                <w:szCs w:val="18"/>
              </w:rPr>
            </w:pPr>
            <w:r w:rsidRPr="00F35D57">
              <w:rPr>
                <w:sz w:val="18"/>
                <w:szCs w:val="18"/>
              </w:rPr>
              <w:t>155</w:t>
            </w:r>
          </w:p>
        </w:tc>
        <w:tc>
          <w:tcPr>
            <w:tcW w:w="1108" w:type="dxa"/>
            <w:shd w:val="clear" w:color="auto" w:fill="auto"/>
            <w:vAlign w:val="center"/>
          </w:tcPr>
          <w:p w14:paraId="2E815434" w14:textId="5F5BD7CD" w:rsidR="004A50CC" w:rsidRPr="00F35D57" w:rsidRDefault="004A50CC" w:rsidP="009F127E">
            <w:pPr>
              <w:pStyle w:val="DHHStabletext"/>
              <w:rPr>
                <w:sz w:val="18"/>
                <w:szCs w:val="18"/>
              </w:rPr>
            </w:pPr>
            <w:r w:rsidRPr="00F35D57">
              <w:rPr>
                <w:sz w:val="18"/>
                <w:szCs w:val="18"/>
              </w:rPr>
              <w:t>156</w:t>
            </w:r>
          </w:p>
        </w:tc>
        <w:tc>
          <w:tcPr>
            <w:tcW w:w="1140" w:type="dxa"/>
            <w:shd w:val="clear" w:color="auto" w:fill="auto"/>
            <w:vAlign w:val="center"/>
          </w:tcPr>
          <w:p w14:paraId="32880BBC" w14:textId="330D7E33" w:rsidR="004A50CC" w:rsidRPr="00F35D57" w:rsidRDefault="004A50CC" w:rsidP="009F127E">
            <w:pPr>
              <w:pStyle w:val="DHHStabletext"/>
              <w:rPr>
                <w:sz w:val="18"/>
                <w:szCs w:val="18"/>
              </w:rPr>
            </w:pPr>
            <w:r w:rsidRPr="00F35D57">
              <w:rPr>
                <w:sz w:val="18"/>
                <w:szCs w:val="18"/>
              </w:rPr>
              <w:t>154</w:t>
            </w:r>
          </w:p>
        </w:tc>
        <w:tc>
          <w:tcPr>
            <w:tcW w:w="1135" w:type="dxa"/>
            <w:shd w:val="clear" w:color="auto" w:fill="auto"/>
            <w:vAlign w:val="center"/>
          </w:tcPr>
          <w:p w14:paraId="2836F1A8" w14:textId="70F4DD91" w:rsidR="004A50CC" w:rsidRPr="00F35D57" w:rsidRDefault="004A50CC" w:rsidP="009F127E">
            <w:pPr>
              <w:pStyle w:val="DHHStabletext"/>
              <w:rPr>
                <w:sz w:val="18"/>
                <w:szCs w:val="18"/>
              </w:rPr>
            </w:pPr>
            <w:r w:rsidRPr="00F35D57">
              <w:rPr>
                <w:sz w:val="18"/>
                <w:szCs w:val="18"/>
              </w:rPr>
              <w:t>145</w:t>
            </w:r>
          </w:p>
        </w:tc>
      </w:tr>
      <w:tr w:rsidR="004A50CC" w14:paraId="2C317548" w14:textId="77777777" w:rsidTr="00F35D57">
        <w:trPr>
          <w:trHeight w:val="284"/>
        </w:trPr>
        <w:tc>
          <w:tcPr>
            <w:tcW w:w="1652" w:type="dxa"/>
            <w:shd w:val="clear" w:color="auto" w:fill="auto"/>
            <w:vAlign w:val="center"/>
          </w:tcPr>
          <w:p w14:paraId="58A8123C" w14:textId="76BCCE82" w:rsidR="004A50CC" w:rsidRPr="00F35D57" w:rsidRDefault="004A50CC" w:rsidP="009F127E">
            <w:pPr>
              <w:pStyle w:val="DHHStabletext"/>
              <w:rPr>
                <w:sz w:val="18"/>
                <w:szCs w:val="18"/>
              </w:rPr>
            </w:pPr>
            <w:r w:rsidRPr="00F35D57">
              <w:rPr>
                <w:sz w:val="18"/>
                <w:szCs w:val="18"/>
              </w:rPr>
              <w:t>(95% CI)</w:t>
            </w:r>
          </w:p>
        </w:tc>
        <w:tc>
          <w:tcPr>
            <w:tcW w:w="1108" w:type="dxa"/>
            <w:shd w:val="clear" w:color="auto" w:fill="auto"/>
            <w:vAlign w:val="center"/>
          </w:tcPr>
          <w:p w14:paraId="682ED083" w14:textId="20FB0DD4" w:rsidR="004A50CC" w:rsidRPr="00F35D57" w:rsidRDefault="00184925" w:rsidP="009F127E">
            <w:pPr>
              <w:pStyle w:val="DHHStabletext"/>
              <w:rPr>
                <w:sz w:val="18"/>
                <w:szCs w:val="18"/>
              </w:rPr>
            </w:pPr>
            <w:r w:rsidRPr="00F35D57">
              <w:rPr>
                <w:sz w:val="18"/>
                <w:szCs w:val="18"/>
              </w:rPr>
              <w:t>(168</w:t>
            </w:r>
            <w:r w:rsidR="00C17266" w:rsidRPr="00F35D57">
              <w:rPr>
                <w:sz w:val="18"/>
                <w:szCs w:val="18"/>
              </w:rPr>
              <w:t>–</w:t>
            </w:r>
            <w:r w:rsidRPr="00F35D57">
              <w:rPr>
                <w:sz w:val="18"/>
                <w:szCs w:val="18"/>
              </w:rPr>
              <w:t>175)</w:t>
            </w:r>
          </w:p>
        </w:tc>
        <w:tc>
          <w:tcPr>
            <w:tcW w:w="1108" w:type="dxa"/>
            <w:shd w:val="clear" w:color="auto" w:fill="auto"/>
            <w:vAlign w:val="center"/>
          </w:tcPr>
          <w:p w14:paraId="42D05CB1" w14:textId="5A4E548E" w:rsidR="004A50CC" w:rsidRPr="00F35D57" w:rsidRDefault="004A50CC" w:rsidP="009F127E">
            <w:pPr>
              <w:pStyle w:val="DHHStabletext"/>
              <w:rPr>
                <w:sz w:val="18"/>
                <w:szCs w:val="18"/>
              </w:rPr>
            </w:pPr>
            <w:r w:rsidRPr="00F35D57">
              <w:rPr>
                <w:sz w:val="18"/>
                <w:szCs w:val="18"/>
              </w:rPr>
              <w:t>(165</w:t>
            </w:r>
            <w:r w:rsidR="00C17266" w:rsidRPr="00F35D57">
              <w:rPr>
                <w:sz w:val="18"/>
                <w:szCs w:val="18"/>
              </w:rPr>
              <w:t>–</w:t>
            </w:r>
            <w:r w:rsidRPr="00F35D57">
              <w:rPr>
                <w:sz w:val="18"/>
                <w:szCs w:val="18"/>
              </w:rPr>
              <w:t>171)</w:t>
            </w:r>
          </w:p>
        </w:tc>
        <w:tc>
          <w:tcPr>
            <w:tcW w:w="1108" w:type="dxa"/>
            <w:shd w:val="clear" w:color="auto" w:fill="auto"/>
            <w:vAlign w:val="center"/>
          </w:tcPr>
          <w:p w14:paraId="4E80C46C" w14:textId="6ABB41F4" w:rsidR="004A50CC" w:rsidRPr="00F35D57" w:rsidRDefault="004A50CC" w:rsidP="009F127E">
            <w:pPr>
              <w:pStyle w:val="DHHStabletext"/>
              <w:rPr>
                <w:sz w:val="18"/>
                <w:szCs w:val="18"/>
              </w:rPr>
            </w:pPr>
            <w:r w:rsidRPr="00F35D57">
              <w:rPr>
                <w:sz w:val="18"/>
                <w:szCs w:val="18"/>
              </w:rPr>
              <w:t>(161</w:t>
            </w:r>
            <w:r w:rsidR="00C17266" w:rsidRPr="00F35D57">
              <w:rPr>
                <w:sz w:val="18"/>
                <w:szCs w:val="18"/>
              </w:rPr>
              <w:t>–</w:t>
            </w:r>
            <w:r w:rsidRPr="00F35D57">
              <w:rPr>
                <w:sz w:val="18"/>
                <w:szCs w:val="18"/>
              </w:rPr>
              <w:t>167)</w:t>
            </w:r>
          </w:p>
        </w:tc>
        <w:tc>
          <w:tcPr>
            <w:tcW w:w="1108" w:type="dxa"/>
            <w:shd w:val="clear" w:color="auto" w:fill="auto"/>
            <w:vAlign w:val="center"/>
          </w:tcPr>
          <w:p w14:paraId="3CFC4012" w14:textId="2CDE2142" w:rsidR="004A50CC" w:rsidRPr="00F35D57" w:rsidRDefault="004A50CC" w:rsidP="009F127E">
            <w:pPr>
              <w:pStyle w:val="DHHStabletext"/>
              <w:rPr>
                <w:sz w:val="18"/>
                <w:szCs w:val="18"/>
              </w:rPr>
            </w:pPr>
            <w:r w:rsidRPr="00F35D57">
              <w:rPr>
                <w:sz w:val="18"/>
                <w:szCs w:val="18"/>
              </w:rPr>
              <w:t>(160</w:t>
            </w:r>
            <w:r w:rsidR="00C17266" w:rsidRPr="00F35D57">
              <w:rPr>
                <w:sz w:val="18"/>
                <w:szCs w:val="18"/>
              </w:rPr>
              <w:t>–</w:t>
            </w:r>
            <w:r w:rsidRPr="00F35D57">
              <w:rPr>
                <w:sz w:val="18"/>
                <w:szCs w:val="18"/>
              </w:rPr>
              <w:t>166)</w:t>
            </w:r>
          </w:p>
        </w:tc>
        <w:tc>
          <w:tcPr>
            <w:tcW w:w="1108" w:type="dxa"/>
            <w:shd w:val="clear" w:color="auto" w:fill="auto"/>
            <w:vAlign w:val="center"/>
          </w:tcPr>
          <w:p w14:paraId="3432CE67" w14:textId="195B3107" w:rsidR="004A50CC" w:rsidRPr="00F35D57" w:rsidRDefault="004A50CC" w:rsidP="009F127E">
            <w:pPr>
              <w:pStyle w:val="DHHStabletext"/>
              <w:rPr>
                <w:sz w:val="18"/>
                <w:szCs w:val="18"/>
              </w:rPr>
            </w:pPr>
            <w:r w:rsidRPr="00F35D57">
              <w:rPr>
                <w:sz w:val="18"/>
                <w:szCs w:val="18"/>
              </w:rPr>
              <w:t>(152</w:t>
            </w:r>
            <w:r w:rsidR="00C17266" w:rsidRPr="00F35D57">
              <w:rPr>
                <w:sz w:val="18"/>
                <w:szCs w:val="18"/>
              </w:rPr>
              <w:t>–</w:t>
            </w:r>
            <w:r w:rsidRPr="00F35D57">
              <w:rPr>
                <w:sz w:val="18"/>
                <w:szCs w:val="18"/>
              </w:rPr>
              <w:t>158)</w:t>
            </w:r>
          </w:p>
        </w:tc>
        <w:tc>
          <w:tcPr>
            <w:tcW w:w="1108" w:type="dxa"/>
            <w:shd w:val="clear" w:color="auto" w:fill="auto"/>
            <w:vAlign w:val="center"/>
          </w:tcPr>
          <w:p w14:paraId="1C25136C" w14:textId="495F28C5" w:rsidR="004A50CC" w:rsidRPr="00F35D57" w:rsidRDefault="004A50CC" w:rsidP="009F127E">
            <w:pPr>
              <w:pStyle w:val="DHHStabletext"/>
              <w:rPr>
                <w:sz w:val="18"/>
                <w:szCs w:val="18"/>
              </w:rPr>
            </w:pPr>
            <w:r w:rsidRPr="00F35D57">
              <w:rPr>
                <w:sz w:val="18"/>
                <w:szCs w:val="18"/>
              </w:rPr>
              <w:t>(153</w:t>
            </w:r>
            <w:r w:rsidR="00C17266" w:rsidRPr="00F35D57">
              <w:rPr>
                <w:sz w:val="18"/>
                <w:szCs w:val="18"/>
              </w:rPr>
              <w:t>–</w:t>
            </w:r>
            <w:r w:rsidRPr="00F35D57">
              <w:rPr>
                <w:sz w:val="18"/>
                <w:szCs w:val="18"/>
              </w:rPr>
              <w:t>159)</w:t>
            </w:r>
          </w:p>
        </w:tc>
        <w:tc>
          <w:tcPr>
            <w:tcW w:w="1140" w:type="dxa"/>
            <w:shd w:val="clear" w:color="auto" w:fill="auto"/>
            <w:vAlign w:val="center"/>
          </w:tcPr>
          <w:p w14:paraId="5566CD15" w14:textId="62ABD7BE" w:rsidR="004A50CC" w:rsidRPr="00F35D57" w:rsidRDefault="004A50CC" w:rsidP="009F127E">
            <w:pPr>
              <w:pStyle w:val="DHHStabletext"/>
              <w:rPr>
                <w:sz w:val="18"/>
                <w:szCs w:val="18"/>
              </w:rPr>
            </w:pPr>
            <w:r w:rsidRPr="00F35D57">
              <w:rPr>
                <w:sz w:val="18"/>
                <w:szCs w:val="18"/>
              </w:rPr>
              <w:t>(152</w:t>
            </w:r>
            <w:r w:rsidR="00C17266" w:rsidRPr="00F35D57">
              <w:rPr>
                <w:sz w:val="18"/>
                <w:szCs w:val="18"/>
              </w:rPr>
              <w:t>–</w:t>
            </w:r>
            <w:r w:rsidRPr="00F35D57">
              <w:rPr>
                <w:sz w:val="18"/>
                <w:szCs w:val="18"/>
              </w:rPr>
              <w:t>157)</w:t>
            </w:r>
          </w:p>
        </w:tc>
        <w:tc>
          <w:tcPr>
            <w:tcW w:w="1135" w:type="dxa"/>
            <w:shd w:val="clear" w:color="auto" w:fill="auto"/>
            <w:vAlign w:val="center"/>
          </w:tcPr>
          <w:p w14:paraId="359EE7DA" w14:textId="75808D7B" w:rsidR="004A50CC" w:rsidRPr="00F35D57" w:rsidRDefault="004A50CC" w:rsidP="009F127E">
            <w:pPr>
              <w:pStyle w:val="DHHStabletext"/>
              <w:rPr>
                <w:sz w:val="18"/>
                <w:szCs w:val="18"/>
              </w:rPr>
            </w:pPr>
            <w:r w:rsidRPr="00F35D57">
              <w:rPr>
                <w:sz w:val="18"/>
                <w:szCs w:val="18"/>
              </w:rPr>
              <w:t>(142</w:t>
            </w:r>
            <w:r w:rsidR="00C17266" w:rsidRPr="00F35D57">
              <w:rPr>
                <w:sz w:val="18"/>
                <w:szCs w:val="18"/>
              </w:rPr>
              <w:t>–</w:t>
            </w:r>
            <w:r w:rsidRPr="00F35D57">
              <w:rPr>
                <w:sz w:val="18"/>
                <w:szCs w:val="18"/>
              </w:rPr>
              <w:t>148)</w:t>
            </w:r>
          </w:p>
        </w:tc>
      </w:tr>
    </w:tbl>
    <w:p w14:paraId="4E9F8723" w14:textId="03C3B291" w:rsidR="006E6C00" w:rsidRDefault="00BD7580" w:rsidP="00BD7580">
      <w:pPr>
        <w:pStyle w:val="DHHStablefigurenote"/>
      </w:pPr>
      <w:r>
        <w:t>ASR = age-standardised rate</w:t>
      </w:r>
    </w:p>
    <w:p w14:paraId="5D61570A" w14:textId="08CE21DF" w:rsidR="006E6C00" w:rsidRDefault="006E6C00" w:rsidP="00DF6BF5">
      <w:pPr>
        <w:pStyle w:val="DHHSfigurecaption"/>
      </w:pPr>
      <w:bookmarkStart w:id="233" w:name="_Toc19008028"/>
      <w:bookmarkStart w:id="234" w:name="_Toc19008282"/>
      <w:bookmarkStart w:id="235" w:name="_Toc19008429"/>
      <w:bookmarkStart w:id="236" w:name="_Toc19008576"/>
      <w:bookmarkStart w:id="237" w:name="_Toc27414279"/>
      <w:r w:rsidRPr="00DF6BF5">
        <w:t xml:space="preserve">Figure </w:t>
      </w:r>
      <w:r w:rsidR="009C627F" w:rsidRPr="00DF6BF5">
        <w:t>2.1.2</w:t>
      </w:r>
      <w:r w:rsidR="00C17266" w:rsidRPr="00DF6BF5">
        <w:t>:</w:t>
      </w:r>
      <w:r w:rsidR="009C627F" w:rsidRPr="00DF6BF5">
        <w:t xml:space="preserve"> </w:t>
      </w:r>
      <w:r w:rsidRPr="00DF6BF5">
        <w:t>Forest plots comparing the age-adjusted mortality</w:t>
      </w:r>
      <w:r w:rsidR="00266EC2" w:rsidRPr="00DF6BF5">
        <w:t xml:space="preserve"> (death)</w:t>
      </w:r>
      <w:r w:rsidRPr="00DF6BF5">
        <w:t xml:space="preserve"> rates (and 95% confidence intervals) for deaths by all cancers in the baseline year (2010) and the most recent year where mortality data is available (2017), standardised to the 2001 Australian population</w:t>
      </w:r>
      <w:bookmarkEnd w:id="233"/>
      <w:bookmarkEnd w:id="234"/>
      <w:bookmarkEnd w:id="235"/>
      <w:bookmarkEnd w:id="236"/>
      <w:bookmarkEnd w:id="237"/>
    </w:p>
    <w:p w14:paraId="66F61BEF" w14:textId="71D46B9C" w:rsidR="00826140" w:rsidRDefault="00826140" w:rsidP="00F35D57">
      <w:pPr>
        <w:pStyle w:val="DHHSbody"/>
        <w:ind w:hanging="142"/>
        <w:jc w:val="center"/>
      </w:pPr>
      <w:r>
        <w:rPr>
          <w:noProof/>
        </w:rPr>
        <w:drawing>
          <wp:inline distT="0" distB="0" distL="0" distR="0" wp14:anchorId="09BEC52B" wp14:editId="50AD0A16">
            <wp:extent cx="6496730" cy="5878285"/>
            <wp:effectExtent l="0" t="0" r="0" b="8255"/>
            <wp:docPr id="2" name="Picture 2" descr="This figure shows a data summary of 'Measure 2.1 – Death rate due to cancer'. The data set is available under 'Measure 2.1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11772" cy="5891895"/>
                    </a:xfrm>
                    <a:prstGeom prst="rect">
                      <a:avLst/>
                    </a:prstGeom>
                    <a:noFill/>
                    <a:ln>
                      <a:noFill/>
                    </a:ln>
                  </pic:spPr>
                </pic:pic>
              </a:graphicData>
            </a:graphic>
          </wp:inline>
        </w:drawing>
      </w:r>
    </w:p>
    <w:p w14:paraId="7D313E39" w14:textId="652D08F7" w:rsidR="0020440A" w:rsidRPr="00826140" w:rsidRDefault="0020440A" w:rsidP="0020440A">
      <w:pPr>
        <w:pStyle w:val="DHHStablefigurenote"/>
      </w:pPr>
      <w:r w:rsidRPr="00D53842">
        <w:t>Appendix 2 provides the dataset.</w:t>
      </w:r>
    </w:p>
    <w:p w14:paraId="72B6591D" w14:textId="7FB93894" w:rsidR="001D3FC9" w:rsidRDefault="001D3FC9" w:rsidP="00165441">
      <w:pPr>
        <w:pStyle w:val="DHHSfigurecaption"/>
      </w:pPr>
      <w:bookmarkStart w:id="238" w:name="_Toc27414280"/>
      <w:r>
        <w:lastRenderedPageBreak/>
        <w:t>Figure 2.1</w:t>
      </w:r>
      <w:r w:rsidR="006207F5">
        <w:t xml:space="preserve">.3: </w:t>
      </w:r>
      <w:r w:rsidR="00165441">
        <w:t>Victorian d</w:t>
      </w:r>
      <w:r w:rsidR="006207F5">
        <w:t>eath rate for all cancers</w:t>
      </w:r>
      <w:r w:rsidR="00165441">
        <w:t xml:space="preserve"> combined, by L</w:t>
      </w:r>
      <w:r w:rsidR="00A6119B">
        <w:t>GA</w:t>
      </w:r>
      <w:r w:rsidR="00165441">
        <w:t>, 2010</w:t>
      </w:r>
      <w:bookmarkEnd w:id="238"/>
    </w:p>
    <w:p w14:paraId="2B06F4FD" w14:textId="4EB740B7" w:rsidR="00165441" w:rsidRDefault="00165441" w:rsidP="00165441">
      <w:pPr>
        <w:pStyle w:val="DHHSbody"/>
        <w:jc w:val="center"/>
      </w:pPr>
      <w:r>
        <w:rPr>
          <w:noProof/>
        </w:rPr>
        <w:drawing>
          <wp:inline distT="0" distB="0" distL="0" distR="0" wp14:anchorId="6B2F92F2" wp14:editId="3EDC28B6">
            <wp:extent cx="5955665" cy="4267171"/>
            <wp:effectExtent l="0" t="0" r="6985" b="635"/>
            <wp:docPr id="4" name="Picture 4" descr="This figure shows a map of Victoria showing the highest reported death rate for all cancers combined in 2010 is in the Ararat Rural City Council and the lowest reported rate is in the Mansfield Shire Council. The data set is available under 'Measure 2.1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asure 2.1_2010.PNG"/>
                    <pic:cNvPicPr/>
                  </pic:nvPicPr>
                  <pic:blipFill>
                    <a:blip r:embed="rId63"/>
                    <a:stretch>
                      <a:fillRect/>
                    </a:stretch>
                  </pic:blipFill>
                  <pic:spPr>
                    <a:xfrm>
                      <a:off x="0" y="0"/>
                      <a:ext cx="5985614" cy="4288629"/>
                    </a:xfrm>
                    <a:prstGeom prst="rect">
                      <a:avLst/>
                    </a:prstGeom>
                  </pic:spPr>
                </pic:pic>
              </a:graphicData>
            </a:graphic>
          </wp:inline>
        </w:drawing>
      </w:r>
    </w:p>
    <w:p w14:paraId="6AA9D795" w14:textId="68919A9B" w:rsidR="00165441" w:rsidRDefault="00165441" w:rsidP="00165441">
      <w:pPr>
        <w:pStyle w:val="DHHSfigurecaption"/>
      </w:pPr>
      <w:bookmarkStart w:id="239" w:name="_Toc27414281"/>
      <w:r>
        <w:t>Figure 2.1.4: Victorian death rate for all cancers combined, by L</w:t>
      </w:r>
      <w:r w:rsidR="00A6119B">
        <w:t>GA</w:t>
      </w:r>
      <w:r>
        <w:t>, 2017</w:t>
      </w:r>
      <w:bookmarkEnd w:id="239"/>
    </w:p>
    <w:p w14:paraId="34E5089F" w14:textId="30E0B0F2" w:rsidR="00F5017D" w:rsidRPr="00F5017D" w:rsidRDefault="00F5017D" w:rsidP="002506D5">
      <w:pPr>
        <w:pStyle w:val="DHHSbody"/>
        <w:jc w:val="center"/>
      </w:pPr>
      <w:r>
        <w:rPr>
          <w:noProof/>
        </w:rPr>
        <w:drawing>
          <wp:inline distT="0" distB="0" distL="0" distR="0" wp14:anchorId="36F10330" wp14:editId="69707C8E">
            <wp:extent cx="5926020" cy="3946525"/>
            <wp:effectExtent l="0" t="0" r="0" b="0"/>
            <wp:docPr id="45" name="Picture 45" descr="This figure shows a map of Victoria showing the highest reported death rate for all cancers combined in 2017 is in the Hindmarsh Shire Council and the lowest reported rate is in the Queenscliffe Borough Council. The data set is available under 'Measure 2.1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7695" cy="3960960"/>
                    </a:xfrm>
                    <a:prstGeom prst="rect">
                      <a:avLst/>
                    </a:prstGeom>
                  </pic:spPr>
                </pic:pic>
              </a:graphicData>
            </a:graphic>
          </wp:inline>
        </w:drawing>
      </w:r>
    </w:p>
    <w:p w14:paraId="58396C37" w14:textId="64429DCA" w:rsidR="00EB5685" w:rsidRDefault="00EB5685" w:rsidP="00EB5685">
      <w:pPr>
        <w:pStyle w:val="DHHSfigurecaption"/>
      </w:pPr>
      <w:bookmarkStart w:id="240" w:name="_Toc27414282"/>
      <w:r>
        <w:lastRenderedPageBreak/>
        <w:t>Figure 2.1.5: Victorian death rate for all cancers combined, by ICS by year, 2010</w:t>
      </w:r>
      <w:r>
        <w:rPr>
          <w:lang w:eastAsia="en-AU"/>
        </w:rPr>
        <w:t>–</w:t>
      </w:r>
      <w:r>
        <w:t>2017</w:t>
      </w:r>
      <w:bookmarkEnd w:id="240"/>
    </w:p>
    <w:p w14:paraId="6AAC3D6D" w14:textId="7ACB7D7C" w:rsidR="005C68DF" w:rsidRPr="005C68DF" w:rsidRDefault="005C68DF" w:rsidP="005C68DF">
      <w:pPr>
        <w:pStyle w:val="DHHSbody"/>
      </w:pPr>
      <w:r>
        <w:rPr>
          <w:noProof/>
        </w:rPr>
        <w:drawing>
          <wp:inline distT="0" distB="0" distL="0" distR="0" wp14:anchorId="381045B0" wp14:editId="15EA1D43">
            <wp:extent cx="6730365" cy="3347085"/>
            <wp:effectExtent l="0" t="0" r="0" b="5715"/>
            <wp:docPr id="273" name="Picture 273" descr="This figure shows a data summary of 'Measure 2.1 – Death rate due to cancer' by way of Integrated Cancer Service for the years 2010 to 2017. The data set is available under 'Measure 2.1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730365" cy="3347085"/>
                    </a:xfrm>
                    <a:prstGeom prst="rect">
                      <a:avLst/>
                    </a:prstGeom>
                    <a:noFill/>
                  </pic:spPr>
                </pic:pic>
              </a:graphicData>
            </a:graphic>
          </wp:inline>
        </w:drawing>
      </w:r>
    </w:p>
    <w:p w14:paraId="27AD7A0D" w14:textId="7968EA09" w:rsidR="00266EC2" w:rsidRPr="00665D4B" w:rsidRDefault="00665D4B" w:rsidP="007C2FB4">
      <w:pPr>
        <w:pStyle w:val="Heading4"/>
      </w:pPr>
      <w:r w:rsidRPr="00E43803">
        <w:t>Measure assessment</w:t>
      </w:r>
    </w:p>
    <w:p w14:paraId="405F8DF1" w14:textId="3D4499B6" w:rsidR="00122CE4" w:rsidRPr="00E659D1" w:rsidRDefault="00122CE4" w:rsidP="00E659D1">
      <w:pPr>
        <w:autoSpaceDE w:val="0"/>
        <w:autoSpaceDN w:val="0"/>
        <w:adjustRightInd w:val="0"/>
        <w:spacing w:after="120" w:line="270" w:lineRule="atLeast"/>
        <w:rPr>
          <w:rFonts w:ascii="Arial" w:hAnsi="Arial" w:cs="Arial"/>
          <w:color w:val="00B050"/>
        </w:rPr>
      </w:pPr>
      <w:r w:rsidRPr="009F01B1">
        <w:rPr>
          <w:rFonts w:ascii="Arial" w:hAnsi="Arial" w:cs="Arial"/>
        </w:rPr>
        <w:t xml:space="preserve">Traffic light rating: </w:t>
      </w:r>
      <w:r w:rsidR="00266EC2" w:rsidRPr="00061321">
        <w:rPr>
          <w:rFonts w:ascii="Arial" w:hAnsi="Arial" w:cs="Arial"/>
          <w:b/>
          <w:color w:val="007B4B"/>
        </w:rPr>
        <w:t>Green</w:t>
      </w:r>
      <w:r w:rsidR="00061321">
        <w:rPr>
          <w:rFonts w:ascii="Arial" w:hAnsi="Arial" w:cs="Arial"/>
          <w:b/>
          <w:color w:val="007B4B"/>
        </w:rPr>
        <w:t xml:space="preserve"> </w:t>
      </w:r>
      <w:r w:rsidR="00061321" w:rsidRPr="00061321">
        <w:rPr>
          <w:rFonts w:ascii="Arial" w:hAnsi="Arial" w:cs="Arial"/>
          <w:color w:val="007B4B"/>
        </w:rPr>
        <w:t>(satisfactory result)</w:t>
      </w:r>
    </w:p>
    <w:p w14:paraId="266C32DC" w14:textId="0BC9B808" w:rsidR="006E6C00" w:rsidRPr="00F11FA2" w:rsidRDefault="00122CE4" w:rsidP="00E659D1">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456BDC">
        <w:rPr>
          <w:rFonts w:ascii="Arial" w:hAnsi="Arial" w:cs="Arial"/>
        </w:rPr>
        <w:t>Moving in the right direction</w:t>
      </w:r>
    </w:p>
    <w:p w14:paraId="1E68A21A" w14:textId="25B19B68" w:rsidR="005E206C" w:rsidRPr="00F11FA2" w:rsidRDefault="00122CE4" w:rsidP="00E659D1">
      <w:pPr>
        <w:autoSpaceDE w:val="0"/>
        <w:autoSpaceDN w:val="0"/>
        <w:adjustRightInd w:val="0"/>
        <w:spacing w:after="120" w:line="270" w:lineRule="atLeast"/>
        <w:rPr>
          <w:rFonts w:ascii="Arial" w:hAnsi="Arial" w:cs="Arial"/>
        </w:rPr>
      </w:pPr>
      <w:r w:rsidRPr="00F11FA2">
        <w:rPr>
          <w:rFonts w:ascii="Arial" w:hAnsi="Arial" w:cs="Arial"/>
        </w:rPr>
        <w:t xml:space="preserve">Commentary: </w:t>
      </w:r>
      <w:r w:rsidR="00AE4D81" w:rsidRPr="00F11FA2">
        <w:rPr>
          <w:rFonts w:ascii="Arial" w:hAnsi="Arial" w:cs="Arial"/>
        </w:rPr>
        <w:t>Cancer remains a</w:t>
      </w:r>
      <w:r w:rsidR="00094A7D" w:rsidRPr="00F11FA2">
        <w:rPr>
          <w:rFonts w:ascii="Arial" w:hAnsi="Arial" w:cs="Arial"/>
        </w:rPr>
        <w:t>mong the</w:t>
      </w:r>
      <w:r w:rsidR="00AE4D81" w:rsidRPr="00F11FA2">
        <w:rPr>
          <w:rFonts w:ascii="Arial" w:hAnsi="Arial" w:cs="Arial"/>
        </w:rPr>
        <w:t xml:space="preserve"> leading cause</w:t>
      </w:r>
      <w:r w:rsidR="00094A7D" w:rsidRPr="00F11FA2">
        <w:rPr>
          <w:rFonts w:ascii="Arial" w:hAnsi="Arial" w:cs="Arial"/>
        </w:rPr>
        <w:t>s</w:t>
      </w:r>
      <w:r w:rsidR="00AE4D81" w:rsidRPr="00F11FA2">
        <w:rPr>
          <w:rFonts w:ascii="Arial" w:hAnsi="Arial" w:cs="Arial"/>
        </w:rPr>
        <w:t xml:space="preserve"> of death worldwide. </w:t>
      </w:r>
      <w:r w:rsidR="009A5095" w:rsidRPr="00F11FA2">
        <w:rPr>
          <w:rFonts w:ascii="Arial" w:hAnsi="Arial" w:cs="Arial"/>
        </w:rPr>
        <w:t>Figure 2.1 presents the distribution of all-cancer death rates in 2016 according to world area for both sexes combined.</w:t>
      </w:r>
      <w:r w:rsidR="00952FC7">
        <w:rPr>
          <w:rFonts w:ascii="Arial" w:hAnsi="Arial" w:cs="Arial"/>
        </w:rPr>
        <w:t xml:space="preserve"> </w:t>
      </w:r>
      <w:r w:rsidR="009A5095" w:rsidRPr="00F11FA2">
        <w:rPr>
          <w:rFonts w:ascii="Arial" w:hAnsi="Arial" w:cs="Arial"/>
        </w:rPr>
        <w:t>On average, higher income countries tended to fall towards the upper range for death rates; across North America, Europe and Australasia (including Australia), rates in 2016 were typically close to 150 per 100,000 population</w:t>
      </w:r>
      <w:r w:rsidR="00BB150E">
        <w:rPr>
          <w:rFonts w:ascii="Arial" w:hAnsi="Arial" w:cs="Arial"/>
        </w:rPr>
        <w:t>.</w:t>
      </w:r>
      <w:r w:rsidR="00B23841">
        <w:rPr>
          <w:rStyle w:val="FootnoteReference"/>
          <w:rFonts w:cs="Arial"/>
        </w:rPr>
        <w:footnoteReference w:id="35"/>
      </w:r>
    </w:p>
    <w:p w14:paraId="3A3AD604" w14:textId="0DE7F660" w:rsidR="0014722B" w:rsidRDefault="00F11FA2" w:rsidP="00471C21">
      <w:pPr>
        <w:pStyle w:val="DHHSbody"/>
        <w:rPr>
          <w:rFonts w:cs="Arial"/>
        </w:rPr>
      </w:pPr>
      <w:r w:rsidRPr="00F11FA2">
        <w:rPr>
          <w:rFonts w:cs="Arial"/>
        </w:rPr>
        <w:t>Cancer is a leading cause of disease burden in Victoria</w:t>
      </w:r>
      <w:r w:rsidR="009F39A3">
        <w:rPr>
          <w:rFonts w:cs="Arial"/>
        </w:rPr>
        <w:t xml:space="preserve"> (and is broadly similar to </w:t>
      </w:r>
      <w:r w:rsidR="0014722B">
        <w:rPr>
          <w:rFonts w:cs="Arial"/>
        </w:rPr>
        <w:t xml:space="preserve">other Australian </w:t>
      </w:r>
      <w:r w:rsidR="002A6F3D">
        <w:rPr>
          <w:rFonts w:cs="Arial"/>
        </w:rPr>
        <w:t>s</w:t>
      </w:r>
      <w:r w:rsidR="0014722B">
        <w:rPr>
          <w:rFonts w:cs="Arial"/>
        </w:rPr>
        <w:t xml:space="preserve">tates and </w:t>
      </w:r>
      <w:r w:rsidR="002A6F3D">
        <w:rPr>
          <w:rFonts w:cs="Arial"/>
        </w:rPr>
        <w:t>t</w:t>
      </w:r>
      <w:r w:rsidR="0014722B">
        <w:rPr>
          <w:rFonts w:cs="Arial"/>
        </w:rPr>
        <w:t xml:space="preserve">erritories), </w:t>
      </w:r>
      <w:r w:rsidRPr="00F11FA2">
        <w:rPr>
          <w:rFonts w:cs="Arial"/>
        </w:rPr>
        <w:t>with almost 11,000 cancer</w:t>
      </w:r>
      <w:r w:rsidR="00CE3112">
        <w:rPr>
          <w:rFonts w:cs="Arial"/>
        </w:rPr>
        <w:t>-</w:t>
      </w:r>
      <w:r w:rsidRPr="00F11FA2">
        <w:rPr>
          <w:rFonts w:cs="Arial"/>
        </w:rPr>
        <w:t>related deaths in 2017.</w:t>
      </w:r>
      <w:r w:rsidRPr="00F11FA2">
        <w:rPr>
          <w:rStyle w:val="FootnoteReference"/>
          <w:rFonts w:cs="Arial"/>
          <w:lang w:eastAsia="en-AU"/>
        </w:rPr>
        <w:footnoteReference w:id="36"/>
      </w:r>
      <w:r w:rsidRPr="00F11FA2">
        <w:rPr>
          <w:rFonts w:cs="Arial"/>
        </w:rPr>
        <w:t xml:space="preserve"> </w:t>
      </w:r>
      <w:r w:rsidR="00094A7D" w:rsidRPr="00F11FA2">
        <w:rPr>
          <w:rFonts w:cs="Arial"/>
        </w:rPr>
        <w:t xml:space="preserve">From 2010 to 2017, the age-standardised death rate for all cancer combined </w:t>
      </w:r>
      <w:r w:rsidR="004B506E" w:rsidRPr="00F11FA2">
        <w:rPr>
          <w:rFonts w:cs="Arial"/>
        </w:rPr>
        <w:t xml:space="preserve">decreased from 172 </w:t>
      </w:r>
      <w:r w:rsidR="00B536F0" w:rsidRPr="00F11FA2">
        <w:rPr>
          <w:rFonts w:cs="Arial"/>
        </w:rPr>
        <w:t xml:space="preserve">(2010) </w:t>
      </w:r>
      <w:r w:rsidR="004B506E" w:rsidRPr="00F11FA2">
        <w:rPr>
          <w:rFonts w:cs="Arial"/>
        </w:rPr>
        <w:t>to 145</w:t>
      </w:r>
      <w:r w:rsidR="00B536F0" w:rsidRPr="00F11FA2">
        <w:rPr>
          <w:rFonts w:cs="Arial"/>
        </w:rPr>
        <w:t xml:space="preserve"> (2017)</w:t>
      </w:r>
      <w:r w:rsidR="004B506E" w:rsidRPr="00F11FA2">
        <w:rPr>
          <w:rFonts w:cs="Arial"/>
        </w:rPr>
        <w:t xml:space="preserve"> per 100,000 population. This pattern was slightly more pronounced in males than females (</w:t>
      </w:r>
      <w:r w:rsidR="00706F7D">
        <w:rPr>
          <w:rFonts w:cs="Arial"/>
        </w:rPr>
        <w:t>Tabl</w:t>
      </w:r>
      <w:r w:rsidR="004B506E" w:rsidRPr="00F11FA2">
        <w:rPr>
          <w:rFonts w:cs="Arial"/>
        </w:rPr>
        <w:t>e 2.1)</w:t>
      </w:r>
      <w:r w:rsidR="00840FDE" w:rsidRPr="00F11FA2">
        <w:rPr>
          <w:rFonts w:cs="Arial"/>
        </w:rPr>
        <w:t xml:space="preserve">. </w:t>
      </w:r>
      <w:r w:rsidR="0014722B">
        <w:rPr>
          <w:lang w:eastAsia="en-AU"/>
        </w:rPr>
        <w:t>The decline reflects earlier detection of cancers through screening, reductions in tobacco use (especially in males) and improvements in treatment.</w:t>
      </w:r>
      <w:r w:rsidR="0014722B">
        <w:rPr>
          <w:rStyle w:val="FootnoteReference"/>
          <w:lang w:eastAsia="en-AU"/>
        </w:rPr>
        <w:footnoteReference w:id="37"/>
      </w:r>
      <w:r w:rsidR="00952FC7">
        <w:rPr>
          <w:lang w:eastAsia="en-AU"/>
        </w:rPr>
        <w:t xml:space="preserve"> </w:t>
      </w:r>
      <w:r w:rsidR="0014722B">
        <w:rPr>
          <w:lang w:eastAsia="en-AU"/>
        </w:rPr>
        <w:t>However, by 2028</w:t>
      </w:r>
      <w:r w:rsidR="00BB150E">
        <w:rPr>
          <w:lang w:eastAsia="en-AU"/>
        </w:rPr>
        <w:t>–</w:t>
      </w:r>
      <w:r w:rsidR="0014722B">
        <w:rPr>
          <w:lang w:eastAsia="en-AU"/>
        </w:rPr>
        <w:t xml:space="preserve">2032, it is projected that deaths from cancers will increase to </w:t>
      </w:r>
      <w:r w:rsidR="00CE3112">
        <w:rPr>
          <w:lang w:eastAsia="en-AU"/>
        </w:rPr>
        <w:t xml:space="preserve">more than </w:t>
      </w:r>
      <w:r w:rsidR="0014722B">
        <w:rPr>
          <w:lang w:eastAsia="en-AU"/>
        </w:rPr>
        <w:t>13,000 per year.</w:t>
      </w:r>
      <w:r w:rsidR="00952FC7">
        <w:rPr>
          <w:lang w:eastAsia="en-AU"/>
        </w:rPr>
        <w:t xml:space="preserve"> </w:t>
      </w:r>
      <w:r w:rsidR="0014722B">
        <w:rPr>
          <w:lang w:eastAsia="en-AU"/>
        </w:rPr>
        <w:t>These increases are largely attributable to the growth and ageing of the Victorian population. This accounts for cancer being strongly related to age, with less tha</w:t>
      </w:r>
      <w:r w:rsidR="00501099">
        <w:rPr>
          <w:lang w:eastAsia="en-AU"/>
        </w:rPr>
        <w:t>n</w:t>
      </w:r>
      <w:r w:rsidR="0014722B">
        <w:rPr>
          <w:lang w:eastAsia="en-AU"/>
        </w:rPr>
        <w:t xml:space="preserve"> </w:t>
      </w:r>
      <w:r w:rsidR="00BB150E">
        <w:rPr>
          <w:lang w:eastAsia="en-AU"/>
        </w:rPr>
        <w:t>one</w:t>
      </w:r>
      <w:r w:rsidR="003E0542">
        <w:rPr>
          <w:lang w:eastAsia="en-AU"/>
        </w:rPr>
        <w:t xml:space="preserve"> per cent</w:t>
      </w:r>
      <w:r w:rsidR="0014722B">
        <w:rPr>
          <w:lang w:eastAsia="en-AU"/>
        </w:rPr>
        <w:t xml:space="preserve"> of tumours occurring before age 20 compared </w:t>
      </w:r>
      <w:r w:rsidR="001B50BF">
        <w:rPr>
          <w:lang w:eastAsia="en-AU"/>
        </w:rPr>
        <w:t xml:space="preserve">with </w:t>
      </w:r>
      <w:r w:rsidR="0014722B">
        <w:rPr>
          <w:lang w:eastAsia="en-AU"/>
        </w:rPr>
        <w:t>6</w:t>
      </w:r>
      <w:r w:rsidR="003E0542">
        <w:rPr>
          <w:lang w:eastAsia="en-AU"/>
        </w:rPr>
        <w:t>0 per cent</w:t>
      </w:r>
      <w:r w:rsidR="0014722B">
        <w:rPr>
          <w:lang w:eastAsia="en-AU"/>
        </w:rPr>
        <w:t xml:space="preserve"> occurring in </w:t>
      </w:r>
      <w:r w:rsidR="00DC7655">
        <w:rPr>
          <w:lang w:eastAsia="en-AU"/>
        </w:rPr>
        <w:t>people</w:t>
      </w:r>
      <w:r w:rsidR="0014722B">
        <w:rPr>
          <w:lang w:eastAsia="en-AU"/>
        </w:rPr>
        <w:t xml:space="preserve"> older than 65 years.</w:t>
      </w:r>
      <w:r w:rsidR="0014722B">
        <w:rPr>
          <w:rStyle w:val="FootnoteReference"/>
          <w:lang w:eastAsia="en-AU"/>
        </w:rPr>
        <w:footnoteReference w:id="38"/>
      </w:r>
    </w:p>
    <w:p w14:paraId="69F178B4" w14:textId="4AEA944E" w:rsidR="00094A7D" w:rsidRPr="005E206C" w:rsidRDefault="00840FDE" w:rsidP="003839A7">
      <w:pPr>
        <w:pStyle w:val="DHHSbody"/>
        <w:rPr>
          <w:lang w:val="en"/>
        </w:rPr>
      </w:pPr>
      <w:r w:rsidRPr="005E206C">
        <w:t>By comparison, the age</w:t>
      </w:r>
      <w:r w:rsidR="00CE3112">
        <w:t>-</w:t>
      </w:r>
      <w:r w:rsidRPr="005E206C">
        <w:t xml:space="preserve">standardised death rate </w:t>
      </w:r>
      <w:r w:rsidR="00BF6D8E" w:rsidRPr="005E206C">
        <w:t xml:space="preserve">for all cancers combined </w:t>
      </w:r>
      <w:r w:rsidRPr="005E206C">
        <w:t>in this period (2010</w:t>
      </w:r>
      <w:r w:rsidR="00BB150E">
        <w:t>–</w:t>
      </w:r>
      <w:r w:rsidRPr="005E206C">
        <w:t>2017)</w:t>
      </w:r>
      <w:r w:rsidR="00BF6D8E" w:rsidRPr="005E206C">
        <w:t xml:space="preserve"> was higher among </w:t>
      </w:r>
      <w:r w:rsidR="007C10D4" w:rsidRPr="005E206C">
        <w:t>Victorians</w:t>
      </w:r>
      <w:r w:rsidR="00BF6D8E" w:rsidRPr="005E206C">
        <w:t xml:space="preserve"> living in </w:t>
      </w:r>
      <w:r w:rsidR="00840304">
        <w:rPr>
          <w:lang w:val="en"/>
        </w:rPr>
        <w:t>i</w:t>
      </w:r>
      <w:r w:rsidR="00BF6D8E" w:rsidRPr="005E206C">
        <w:rPr>
          <w:lang w:val="en"/>
        </w:rPr>
        <w:t xml:space="preserve">nner </w:t>
      </w:r>
      <w:r w:rsidR="00840304">
        <w:rPr>
          <w:lang w:val="en"/>
        </w:rPr>
        <w:t>r</w:t>
      </w:r>
      <w:r w:rsidR="00BF6D8E" w:rsidRPr="005E206C">
        <w:rPr>
          <w:lang w:val="en"/>
        </w:rPr>
        <w:t xml:space="preserve">egional, </w:t>
      </w:r>
      <w:r w:rsidR="00840304">
        <w:rPr>
          <w:lang w:val="en"/>
        </w:rPr>
        <w:t>o</w:t>
      </w:r>
      <w:r w:rsidR="00BF6D8E" w:rsidRPr="005E206C">
        <w:rPr>
          <w:lang w:val="en"/>
        </w:rPr>
        <w:t xml:space="preserve">uter </w:t>
      </w:r>
      <w:r w:rsidR="00840304">
        <w:rPr>
          <w:lang w:val="en"/>
        </w:rPr>
        <w:t>r</w:t>
      </w:r>
      <w:r w:rsidR="00BF6D8E" w:rsidRPr="005E206C">
        <w:rPr>
          <w:lang w:val="en"/>
        </w:rPr>
        <w:t>egional</w:t>
      </w:r>
      <w:r w:rsidR="00CE3112">
        <w:rPr>
          <w:lang w:val="en"/>
        </w:rPr>
        <w:t xml:space="preserve"> and</w:t>
      </w:r>
      <w:r w:rsidR="00BF6D8E" w:rsidRPr="005E206C">
        <w:rPr>
          <w:lang w:val="en"/>
        </w:rPr>
        <w:t xml:space="preserve"> </w:t>
      </w:r>
      <w:r w:rsidR="00840304">
        <w:rPr>
          <w:lang w:val="en"/>
        </w:rPr>
        <w:t>r</w:t>
      </w:r>
      <w:r w:rsidR="00BF6D8E" w:rsidRPr="005E206C">
        <w:rPr>
          <w:lang w:val="en"/>
        </w:rPr>
        <w:t>emote areas</w:t>
      </w:r>
      <w:r w:rsidR="004B4666">
        <w:rPr>
          <w:lang w:val="en"/>
        </w:rPr>
        <w:t xml:space="preserve"> and rural local government areas (Figures 2.1.3 and 2.1.4)</w:t>
      </w:r>
      <w:r w:rsidR="00BF6D8E" w:rsidRPr="005E206C">
        <w:rPr>
          <w:lang w:val="en"/>
        </w:rPr>
        <w:t xml:space="preserve"> when compared </w:t>
      </w:r>
      <w:r w:rsidR="001B50BF">
        <w:rPr>
          <w:lang w:val="en"/>
        </w:rPr>
        <w:t>with</w:t>
      </w:r>
      <w:r w:rsidR="001B50BF" w:rsidRPr="005E206C">
        <w:rPr>
          <w:lang w:val="en"/>
        </w:rPr>
        <w:t xml:space="preserve"> </w:t>
      </w:r>
      <w:r w:rsidR="001B50BF">
        <w:rPr>
          <w:lang w:val="en"/>
        </w:rPr>
        <w:t>people</w:t>
      </w:r>
      <w:r w:rsidR="001B50BF" w:rsidRPr="005E206C">
        <w:rPr>
          <w:lang w:val="en"/>
        </w:rPr>
        <w:t xml:space="preserve"> </w:t>
      </w:r>
      <w:r w:rsidR="00BF6D8E" w:rsidRPr="005E206C">
        <w:rPr>
          <w:lang w:val="en"/>
        </w:rPr>
        <w:t xml:space="preserve">living in </w:t>
      </w:r>
      <w:r w:rsidR="00840304">
        <w:rPr>
          <w:lang w:val="en"/>
        </w:rPr>
        <w:t>m</w:t>
      </w:r>
      <w:r w:rsidR="00BF6D8E" w:rsidRPr="005E206C">
        <w:rPr>
          <w:lang w:val="en"/>
        </w:rPr>
        <w:t xml:space="preserve">ajor </w:t>
      </w:r>
      <w:r w:rsidR="00840304">
        <w:rPr>
          <w:lang w:val="en"/>
        </w:rPr>
        <w:t>c</w:t>
      </w:r>
      <w:r w:rsidR="00BF6D8E" w:rsidRPr="005E206C">
        <w:rPr>
          <w:lang w:val="en"/>
        </w:rPr>
        <w:t>ities</w:t>
      </w:r>
      <w:r w:rsidR="00CE3112">
        <w:rPr>
          <w:lang w:val="en"/>
        </w:rPr>
        <w:t>,</w:t>
      </w:r>
      <w:r w:rsidR="00E56E02" w:rsidRPr="005E206C">
        <w:rPr>
          <w:lang w:val="en"/>
        </w:rPr>
        <w:t xml:space="preserve"> although </w:t>
      </w:r>
      <w:r w:rsidR="00AC3C58" w:rsidRPr="005E206C">
        <w:rPr>
          <w:lang w:val="en"/>
        </w:rPr>
        <w:t>this</w:t>
      </w:r>
      <w:r w:rsidR="00E56E02" w:rsidRPr="005E206C">
        <w:rPr>
          <w:lang w:val="en"/>
        </w:rPr>
        <w:t xml:space="preserve"> is declining</w:t>
      </w:r>
      <w:r w:rsidR="00B536F0" w:rsidRPr="005E206C">
        <w:rPr>
          <w:lang w:val="en"/>
        </w:rPr>
        <w:t>.</w:t>
      </w:r>
      <w:r w:rsidR="00952FC7">
        <w:rPr>
          <w:lang w:val="en"/>
        </w:rPr>
        <w:t xml:space="preserve"> </w:t>
      </w:r>
      <w:r w:rsidR="00EA79EE" w:rsidRPr="005E206C">
        <w:rPr>
          <w:lang w:val="en"/>
        </w:rPr>
        <w:t xml:space="preserve">A similar disparity was </w:t>
      </w:r>
      <w:r w:rsidR="00AC3C58" w:rsidRPr="005E206C">
        <w:rPr>
          <w:lang w:val="en"/>
        </w:rPr>
        <w:t>observed</w:t>
      </w:r>
      <w:r w:rsidR="00EA79EE" w:rsidRPr="005E206C">
        <w:rPr>
          <w:lang w:val="en"/>
        </w:rPr>
        <w:t xml:space="preserve"> among Victorians living in the lowest SES areas (SES 1). Here the age-standardised </w:t>
      </w:r>
      <w:r w:rsidR="005D70A1" w:rsidRPr="005E206C">
        <w:rPr>
          <w:lang w:val="en"/>
        </w:rPr>
        <w:t>death</w:t>
      </w:r>
      <w:r w:rsidR="00EA79EE" w:rsidRPr="005E206C">
        <w:rPr>
          <w:lang w:val="en"/>
        </w:rPr>
        <w:t xml:space="preserve"> rate for all cancers combined was highest (1</w:t>
      </w:r>
      <w:r w:rsidR="001908B7" w:rsidRPr="005E206C">
        <w:rPr>
          <w:lang w:val="en"/>
        </w:rPr>
        <w:t>96</w:t>
      </w:r>
      <w:r w:rsidR="00EA79EE" w:rsidRPr="005E206C">
        <w:rPr>
          <w:lang w:val="en"/>
        </w:rPr>
        <w:t xml:space="preserve"> per 100,000 p</w:t>
      </w:r>
      <w:r w:rsidR="001908B7" w:rsidRPr="005E206C">
        <w:rPr>
          <w:lang w:val="en"/>
        </w:rPr>
        <w:t>opulation in 2010 and 172 per 100,000 population in 2017</w:t>
      </w:r>
      <w:r w:rsidR="00EA79EE" w:rsidRPr="005E206C">
        <w:rPr>
          <w:lang w:val="en"/>
        </w:rPr>
        <w:t xml:space="preserve">) among </w:t>
      </w:r>
      <w:r w:rsidR="001908B7" w:rsidRPr="005E206C">
        <w:rPr>
          <w:lang w:val="en"/>
        </w:rPr>
        <w:t>Victorians</w:t>
      </w:r>
      <w:r w:rsidR="00EA79EE" w:rsidRPr="005E206C">
        <w:rPr>
          <w:lang w:val="en"/>
        </w:rPr>
        <w:t xml:space="preserve"> living in the lowest SES areas (SES 1) and lowest (1</w:t>
      </w:r>
      <w:r w:rsidR="00D93F31" w:rsidRPr="005E206C">
        <w:rPr>
          <w:lang w:val="en"/>
        </w:rPr>
        <w:t>45</w:t>
      </w:r>
      <w:r w:rsidR="00EA79EE" w:rsidRPr="005E206C">
        <w:rPr>
          <w:lang w:val="en"/>
        </w:rPr>
        <w:t xml:space="preserve"> per 100,000 p</w:t>
      </w:r>
      <w:r w:rsidR="00E83387" w:rsidRPr="005E206C">
        <w:rPr>
          <w:lang w:val="en"/>
        </w:rPr>
        <w:t xml:space="preserve">opulation in 2010 and </w:t>
      </w:r>
      <w:r w:rsidR="00D93F31" w:rsidRPr="005E206C">
        <w:rPr>
          <w:lang w:val="en"/>
        </w:rPr>
        <w:t xml:space="preserve">115 </w:t>
      </w:r>
      <w:r w:rsidR="00E83387" w:rsidRPr="005E206C">
        <w:rPr>
          <w:lang w:val="en"/>
        </w:rPr>
        <w:t>per 100,000 population in 2017</w:t>
      </w:r>
      <w:r w:rsidR="00EA79EE" w:rsidRPr="005E206C">
        <w:rPr>
          <w:lang w:val="en"/>
        </w:rPr>
        <w:t xml:space="preserve">) among </w:t>
      </w:r>
      <w:r w:rsidR="001908B7" w:rsidRPr="005E206C">
        <w:rPr>
          <w:lang w:val="en"/>
        </w:rPr>
        <w:t>Victorians</w:t>
      </w:r>
      <w:r w:rsidR="00EA79EE" w:rsidRPr="005E206C">
        <w:rPr>
          <w:lang w:val="en"/>
        </w:rPr>
        <w:t xml:space="preserve"> living in the highest SES areas (SES 5)</w:t>
      </w:r>
      <w:r w:rsidR="002C0166" w:rsidRPr="005E206C">
        <w:rPr>
          <w:lang w:val="en"/>
        </w:rPr>
        <w:t xml:space="preserve"> (Figure 2.1.2)</w:t>
      </w:r>
      <w:r w:rsidR="00EA79EE" w:rsidRPr="005E206C">
        <w:rPr>
          <w:lang w:val="en"/>
        </w:rPr>
        <w:t>.</w:t>
      </w:r>
      <w:r w:rsidR="004B4666">
        <w:rPr>
          <w:lang w:val="en"/>
        </w:rPr>
        <w:t xml:space="preserve"> Figure 2.1.5 shows that the death rate decreased for most ICSs between 2010 and 2017.</w:t>
      </w:r>
    </w:p>
    <w:p w14:paraId="085A18DC" w14:textId="4878C7E6" w:rsidR="00B70780" w:rsidRPr="0011089F" w:rsidRDefault="004F538F" w:rsidP="003839A7">
      <w:pPr>
        <w:pStyle w:val="DHHSbody"/>
      </w:pPr>
      <w:r>
        <w:lastRenderedPageBreak/>
        <w:t>The age-standardised death rate was also significantly higher for Aboriginal</w:t>
      </w:r>
      <w:r w:rsidR="00236B3E">
        <w:t xml:space="preserve"> Victorians</w:t>
      </w:r>
      <w:r w:rsidR="00535358">
        <w:t xml:space="preserve"> than for non-Aboriginal Victorians</w:t>
      </w:r>
      <w:r w:rsidR="00CE3112">
        <w:t>,</w:t>
      </w:r>
      <w:r>
        <w:t xml:space="preserve"> </w:t>
      </w:r>
      <w:r w:rsidR="00535358">
        <w:t>having increased from 296 per 100,000 population in 2010 to 429 per 100,000 population</w:t>
      </w:r>
      <w:r w:rsidR="00501099">
        <w:t xml:space="preserve"> in 2017.</w:t>
      </w:r>
      <w:r w:rsidR="00952FC7">
        <w:t xml:space="preserve"> </w:t>
      </w:r>
      <w:r w:rsidR="00501099">
        <w:t>In addition</w:t>
      </w:r>
      <w:r w:rsidR="00DD17F9">
        <w:t>,</w:t>
      </w:r>
      <w:r w:rsidR="00501099">
        <w:t xml:space="preserve"> Aboriginal death rates were more than twice those for </w:t>
      </w:r>
      <w:r w:rsidR="00DD17F9">
        <w:t>Victorian</w:t>
      </w:r>
      <w:r w:rsidR="0019318B">
        <w:t>s</w:t>
      </w:r>
      <w:r w:rsidR="00DD17F9">
        <w:t xml:space="preserve"> of other descent between 2010 and 2017 (Figure 2.1.2). </w:t>
      </w:r>
      <w:r w:rsidR="00501099">
        <w:t>Although no target has been set for this measure</w:t>
      </w:r>
      <w:r w:rsidR="00CE3112">
        <w:t>,</w:t>
      </w:r>
      <w:r w:rsidR="00501099">
        <w:t xml:space="preserve"> the results show there are </w:t>
      </w:r>
      <w:r w:rsidR="00B74FB2">
        <w:t xml:space="preserve">some </w:t>
      </w:r>
      <w:r w:rsidR="00DD17F9">
        <w:t xml:space="preserve">Victorian populations </w:t>
      </w:r>
      <w:r w:rsidR="00B74FB2">
        <w:t>that are experiencing a greater burden of disease due to cancer.</w:t>
      </w:r>
      <w:r w:rsidR="00B70780">
        <w:br w:type="page"/>
      </w:r>
    </w:p>
    <w:p w14:paraId="179775F7" w14:textId="4609FDCA" w:rsidR="006624DA" w:rsidRDefault="006624DA" w:rsidP="006624DA">
      <w:pPr>
        <w:pStyle w:val="Heading3"/>
        <w:rPr>
          <w:lang w:eastAsia="en-AU"/>
        </w:rPr>
      </w:pPr>
      <w:bookmarkStart w:id="241" w:name="_Measure_2.2_–"/>
      <w:bookmarkStart w:id="242" w:name="_Toc19008029"/>
      <w:bookmarkEnd w:id="241"/>
      <w:r>
        <w:rPr>
          <w:lang w:eastAsia="en-AU"/>
        </w:rPr>
        <w:lastRenderedPageBreak/>
        <w:t>Measure 2.2 – Premature death rate due to cancer</w:t>
      </w:r>
      <w:bookmarkEnd w:id="242"/>
    </w:p>
    <w:p w14:paraId="1C4B0E13" w14:textId="035BECA8" w:rsidR="00F50C5A" w:rsidRPr="007944F7" w:rsidRDefault="00F50C5A" w:rsidP="00DF6BF5">
      <w:pPr>
        <w:pStyle w:val="DHHSfigurecaption"/>
      </w:pPr>
      <w:bookmarkStart w:id="243" w:name="_Toc19008030"/>
      <w:bookmarkStart w:id="244" w:name="_Toc19008283"/>
      <w:bookmarkStart w:id="245" w:name="_Toc19008430"/>
      <w:bookmarkStart w:id="246" w:name="_Toc19008577"/>
      <w:bookmarkStart w:id="247" w:name="_Toc27414283"/>
      <w:r w:rsidRPr="001A17B2">
        <w:t>Figure 2.2</w:t>
      </w:r>
      <w:r w:rsidR="00C17266" w:rsidRPr="001A17B2">
        <w:t>:</w:t>
      </w:r>
      <w:r w:rsidRPr="001A17B2">
        <w:t xml:space="preserve"> Glo</w:t>
      </w:r>
      <w:r w:rsidR="0063794D" w:rsidRPr="001A17B2">
        <w:t xml:space="preserve">bal </w:t>
      </w:r>
      <w:r w:rsidRPr="001A17B2">
        <w:t xml:space="preserve">map presenting national ranking of </w:t>
      </w:r>
      <w:r w:rsidR="00892063" w:rsidRPr="001A17B2">
        <w:t>all cancers (combined)</w:t>
      </w:r>
      <w:r w:rsidRPr="001A17B2">
        <w:t xml:space="preserve"> as a cause of </w:t>
      </w:r>
      <w:r w:rsidR="00693519" w:rsidRPr="001A17B2">
        <w:t xml:space="preserve">premature </w:t>
      </w:r>
      <w:r w:rsidRPr="001A17B2">
        <w:t xml:space="preserve">death </w:t>
      </w:r>
      <w:r w:rsidR="00DF2A3F" w:rsidRPr="001A17B2">
        <w:t>(</w:t>
      </w:r>
      <w:r w:rsidRPr="001A17B2">
        <w:t>below 70 years</w:t>
      </w:r>
      <w:r w:rsidR="00DF2A3F" w:rsidRPr="001A17B2">
        <w:t>)</w:t>
      </w:r>
      <w:r w:rsidRPr="001A17B2">
        <w:t xml:space="preserve"> in 2015</w:t>
      </w:r>
      <w:r w:rsidR="0063794D" w:rsidRPr="007944F7">
        <w:rPr>
          <w:rStyle w:val="FootnoteReference"/>
          <w:b w:val="0"/>
          <w:lang w:eastAsia="en-AU"/>
        </w:rPr>
        <w:footnoteReference w:id="39"/>
      </w:r>
      <w:bookmarkEnd w:id="243"/>
      <w:bookmarkEnd w:id="244"/>
      <w:bookmarkEnd w:id="245"/>
      <w:bookmarkEnd w:id="246"/>
      <w:bookmarkEnd w:id="247"/>
    </w:p>
    <w:p w14:paraId="40D837DB" w14:textId="77777777" w:rsidR="00034774" w:rsidRDefault="00034774" w:rsidP="003E5FD3">
      <w:pPr>
        <w:autoSpaceDE w:val="0"/>
        <w:autoSpaceDN w:val="0"/>
        <w:adjustRightInd w:val="0"/>
        <w:rPr>
          <w:rFonts w:ascii="Arial" w:hAnsi="Arial" w:cs="Arial"/>
        </w:rPr>
      </w:pPr>
    </w:p>
    <w:p w14:paraId="558A67B1" w14:textId="0E3B02C1" w:rsidR="00034774" w:rsidRDefault="00D812F2" w:rsidP="003E5FD3">
      <w:pPr>
        <w:autoSpaceDE w:val="0"/>
        <w:autoSpaceDN w:val="0"/>
        <w:adjustRightInd w:val="0"/>
        <w:rPr>
          <w:rFonts w:ascii="Arial" w:hAnsi="Arial" w:cs="Arial"/>
        </w:rPr>
      </w:pPr>
      <w:r w:rsidRPr="00D812F2">
        <w:rPr>
          <w:rFonts w:ascii="Arial" w:hAnsi="Arial" w:cs="Arial"/>
          <w:noProof/>
          <w:lang w:val="en-NZ" w:eastAsia="en-NZ"/>
        </w:rPr>
        <w:drawing>
          <wp:inline distT="0" distB="0" distL="0" distR="0" wp14:anchorId="3727789A" wp14:editId="4953363F">
            <wp:extent cx="6718008" cy="3151572"/>
            <wp:effectExtent l="0" t="0" r="6985" b="0"/>
            <wp:docPr id="22" name="Picture 22" descr="This figure shows a global map presenting a national ranking of all cancers combined as a cause of  premature death (below 70 years) in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741064" cy="3162388"/>
                    </a:xfrm>
                    <a:prstGeom prst="rect">
                      <a:avLst/>
                    </a:prstGeom>
                    <a:noFill/>
                    <a:ln>
                      <a:noFill/>
                    </a:ln>
                  </pic:spPr>
                </pic:pic>
              </a:graphicData>
            </a:graphic>
          </wp:inline>
        </w:drawing>
      </w:r>
    </w:p>
    <w:p w14:paraId="0213AD38" w14:textId="77777777" w:rsidR="00034774" w:rsidRDefault="00034774" w:rsidP="003E5FD3">
      <w:pPr>
        <w:autoSpaceDE w:val="0"/>
        <w:autoSpaceDN w:val="0"/>
        <w:adjustRightInd w:val="0"/>
        <w:rPr>
          <w:rFonts w:ascii="Arial" w:hAnsi="Arial" w:cs="Arial"/>
        </w:rPr>
      </w:pPr>
    </w:p>
    <w:p w14:paraId="5AF6B910" w14:textId="17627432" w:rsidR="0063794D" w:rsidRPr="0000761E" w:rsidRDefault="0063794D" w:rsidP="003E5FD3">
      <w:pPr>
        <w:autoSpaceDE w:val="0"/>
        <w:autoSpaceDN w:val="0"/>
        <w:adjustRightInd w:val="0"/>
        <w:rPr>
          <w:rFonts w:ascii="Arial" w:hAnsi="Arial" w:cs="Arial"/>
          <w:sz w:val="18"/>
          <w:szCs w:val="18"/>
        </w:rPr>
      </w:pPr>
      <w:r w:rsidRPr="00457B45">
        <w:rPr>
          <w:rFonts w:ascii="Arial" w:hAnsi="Arial" w:cs="Arial"/>
          <w:i/>
          <w:sz w:val="18"/>
          <w:szCs w:val="18"/>
        </w:rPr>
        <w:t>Source: World Health Organization</w:t>
      </w:r>
      <w:r w:rsidR="0000761E" w:rsidRPr="0000761E">
        <w:rPr>
          <w:rStyle w:val="FootnoteReference"/>
        </w:rPr>
        <w:footnoteReference w:id="40"/>
      </w:r>
    </w:p>
    <w:p w14:paraId="1A97AFC8" w14:textId="5BA61123" w:rsidR="0012318B" w:rsidRDefault="0012318B">
      <w:pPr>
        <w:rPr>
          <w:rFonts w:ascii="Arial" w:hAnsi="Arial" w:cs="Arial"/>
        </w:rPr>
      </w:pPr>
    </w:p>
    <w:p w14:paraId="0CEC5D3C" w14:textId="100E274A" w:rsidR="00EB35CB" w:rsidRPr="00276720" w:rsidRDefault="005072B1" w:rsidP="001A17B2">
      <w:pPr>
        <w:pStyle w:val="DHHSfigurecaption"/>
        <w:rPr>
          <w:lang w:val="en"/>
        </w:rPr>
      </w:pPr>
      <w:bookmarkStart w:id="248" w:name="_Toc19008031"/>
      <w:bookmarkStart w:id="249" w:name="_Toc19008284"/>
      <w:bookmarkStart w:id="250" w:name="_Toc19008431"/>
      <w:bookmarkStart w:id="251" w:name="_Toc19008578"/>
      <w:bookmarkStart w:id="252" w:name="_Toc27414284"/>
      <w:r w:rsidRPr="00182E9B">
        <w:t>Figure 2.</w:t>
      </w:r>
      <w:r>
        <w:t>2</w:t>
      </w:r>
      <w:r w:rsidRPr="00182E9B">
        <w:t>.1</w:t>
      </w:r>
      <w:r w:rsidR="00C17266">
        <w:t>:</w:t>
      </w:r>
      <w:r w:rsidRPr="00182E9B">
        <w:t xml:space="preserve"> Victorian</w:t>
      </w:r>
      <w:r>
        <w:t xml:space="preserve"> premature</w:t>
      </w:r>
      <w:r w:rsidRPr="00182E9B">
        <w:t xml:space="preserve"> death rate for all cancers combined</w:t>
      </w:r>
      <w:r w:rsidR="00CE3112">
        <w:t>,</w:t>
      </w:r>
      <w:r w:rsidRPr="00182E9B">
        <w:t xml:space="preserve"> by </w:t>
      </w:r>
      <w:r>
        <w:t xml:space="preserve">sex and </w:t>
      </w:r>
      <w:r w:rsidRPr="00182E9B">
        <w:t>year, 201</w:t>
      </w:r>
      <w:r>
        <w:t>0</w:t>
      </w:r>
      <w:r w:rsidR="00C17266">
        <w:t>–</w:t>
      </w:r>
      <w:r w:rsidRPr="00182E9B">
        <w:t>2017</w:t>
      </w:r>
      <w:bookmarkEnd w:id="248"/>
      <w:bookmarkEnd w:id="249"/>
      <w:bookmarkEnd w:id="250"/>
      <w:bookmarkEnd w:id="251"/>
      <w:bookmarkEnd w:id="252"/>
    </w:p>
    <w:p w14:paraId="348DB4D1" w14:textId="29369C41" w:rsidR="00EB35CB" w:rsidRDefault="005C68DF">
      <w:pPr>
        <w:rPr>
          <w:rFonts w:ascii="Arial" w:hAnsi="Arial" w:cs="Arial"/>
        </w:rPr>
      </w:pPr>
      <w:r>
        <w:rPr>
          <w:rFonts w:ascii="Arial" w:hAnsi="Arial" w:cs="Arial"/>
          <w:noProof/>
        </w:rPr>
        <w:drawing>
          <wp:inline distT="0" distB="0" distL="0" distR="0" wp14:anchorId="12A646FB" wp14:editId="64552759">
            <wp:extent cx="6706235" cy="3164205"/>
            <wp:effectExtent l="0" t="0" r="0" b="0"/>
            <wp:docPr id="296" name="Picture 296" descr="This figure presents data via a bar graph of the Victorian premature death rate for all cancers combined by sex and year, 2010 to 2017.  The data set is available under 'Measure 2.2 – Premature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706235" cy="3164205"/>
                    </a:xfrm>
                    <a:prstGeom prst="rect">
                      <a:avLst/>
                    </a:prstGeom>
                    <a:noFill/>
                  </pic:spPr>
                </pic:pic>
              </a:graphicData>
            </a:graphic>
          </wp:inline>
        </w:drawing>
      </w:r>
    </w:p>
    <w:p w14:paraId="54A912E1" w14:textId="39367667" w:rsidR="00EB35CB" w:rsidRPr="002226C1" w:rsidRDefault="005072B1" w:rsidP="00CD30BA">
      <w:pPr>
        <w:pStyle w:val="DHHStablefigurenote"/>
        <w:rPr>
          <w:noProof/>
        </w:rPr>
      </w:pPr>
      <w:r w:rsidRPr="00496989">
        <w:rPr>
          <w:noProof/>
        </w:rPr>
        <w:t xml:space="preserve">Note: </w:t>
      </w:r>
      <w:r w:rsidR="0010332B">
        <w:rPr>
          <w:noProof/>
        </w:rPr>
        <w:t>D</w:t>
      </w:r>
      <w:r w:rsidRPr="00496989">
        <w:rPr>
          <w:noProof/>
        </w:rPr>
        <w:t>irect age-standardised rate per 100,000 popula</w:t>
      </w:r>
      <w:r w:rsidR="00FD27AE">
        <w:rPr>
          <w:noProof/>
        </w:rPr>
        <w:t>ti</w:t>
      </w:r>
      <w:r w:rsidRPr="00496989">
        <w:rPr>
          <w:noProof/>
        </w:rPr>
        <w:t>on, standardised to the 2001 population of Australia</w:t>
      </w:r>
    </w:p>
    <w:p w14:paraId="76B6A39B" w14:textId="478123A8" w:rsidR="00EB35CB" w:rsidRPr="00236B3E" w:rsidRDefault="00DF2A3F" w:rsidP="002226C1">
      <w:pPr>
        <w:pStyle w:val="DHHStablecaption"/>
        <w:rPr>
          <w:lang w:val="en"/>
        </w:rPr>
      </w:pPr>
      <w:bookmarkStart w:id="253" w:name="_Toc18908720"/>
      <w:bookmarkStart w:id="254" w:name="_Toc27414399"/>
      <w:r w:rsidRPr="00236B3E">
        <w:rPr>
          <w:noProof/>
        </w:rPr>
        <w:lastRenderedPageBreak/>
        <w:t xml:space="preserve">Table </w:t>
      </w:r>
      <w:r w:rsidRPr="00236B3E">
        <w:t>2.1</w:t>
      </w:r>
      <w:r w:rsidR="00C17266">
        <w:t>:</w:t>
      </w:r>
      <w:r w:rsidRPr="00236B3E">
        <w:t xml:space="preserve"> Victorian premature death rate for all cancers combined</w:t>
      </w:r>
      <w:r w:rsidR="00CE3112">
        <w:t>,</w:t>
      </w:r>
      <w:r w:rsidRPr="00236B3E">
        <w:t xml:space="preserve"> by sex and year, 2010</w:t>
      </w:r>
      <w:r w:rsidR="00C17266">
        <w:t>–</w:t>
      </w:r>
      <w:r w:rsidRPr="00236B3E">
        <w:t>2017</w:t>
      </w:r>
      <w:bookmarkEnd w:id="253"/>
      <w:bookmarkEnd w:id="254"/>
    </w:p>
    <w:tbl>
      <w:tblPr>
        <w:tblW w:w="10505"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1636"/>
        <w:gridCol w:w="1227"/>
        <w:gridCol w:w="1096"/>
        <w:gridCol w:w="1134"/>
        <w:gridCol w:w="1115"/>
        <w:gridCol w:w="1083"/>
        <w:gridCol w:w="1083"/>
        <w:gridCol w:w="1003"/>
        <w:gridCol w:w="1128"/>
      </w:tblGrid>
      <w:tr w:rsidR="008B50DA" w14:paraId="397FF1E6" w14:textId="77777777" w:rsidTr="00CA2269">
        <w:trPr>
          <w:trHeight w:val="264"/>
        </w:trPr>
        <w:tc>
          <w:tcPr>
            <w:tcW w:w="1636" w:type="dxa"/>
            <w:shd w:val="clear" w:color="auto" w:fill="EDCDCF"/>
          </w:tcPr>
          <w:p w14:paraId="399D3B21" w14:textId="3BFDCA79" w:rsidR="008B50DA" w:rsidRPr="007648F5" w:rsidRDefault="00CA2269" w:rsidP="00CA2269">
            <w:pPr>
              <w:pStyle w:val="DHHStablecolhead"/>
            </w:pPr>
            <w:r>
              <w:t>Sex</w:t>
            </w:r>
          </w:p>
        </w:tc>
        <w:tc>
          <w:tcPr>
            <w:tcW w:w="1227" w:type="dxa"/>
            <w:shd w:val="clear" w:color="auto" w:fill="EDCDCF"/>
          </w:tcPr>
          <w:p w14:paraId="5FF225EC" w14:textId="77777777" w:rsidR="008B50DA" w:rsidRPr="00603D31" w:rsidRDefault="008B50DA" w:rsidP="00CA2269">
            <w:pPr>
              <w:pStyle w:val="DHHStablecolhead"/>
            </w:pPr>
            <w:r w:rsidRPr="00603D31">
              <w:t>2010</w:t>
            </w:r>
          </w:p>
        </w:tc>
        <w:tc>
          <w:tcPr>
            <w:tcW w:w="1096" w:type="dxa"/>
            <w:shd w:val="clear" w:color="auto" w:fill="EDCDCF"/>
          </w:tcPr>
          <w:p w14:paraId="67A5ACC4" w14:textId="77777777" w:rsidR="008B50DA" w:rsidRPr="00603D31" w:rsidRDefault="008B50DA" w:rsidP="00CA2269">
            <w:pPr>
              <w:pStyle w:val="DHHStablecolhead"/>
            </w:pPr>
            <w:r w:rsidRPr="00603D31">
              <w:t>2011</w:t>
            </w:r>
          </w:p>
        </w:tc>
        <w:tc>
          <w:tcPr>
            <w:tcW w:w="1134" w:type="dxa"/>
            <w:shd w:val="clear" w:color="auto" w:fill="EDCDCF"/>
          </w:tcPr>
          <w:p w14:paraId="59E1D9D5" w14:textId="77777777" w:rsidR="008B50DA" w:rsidRPr="00603D31" w:rsidRDefault="008B50DA" w:rsidP="00CA2269">
            <w:pPr>
              <w:pStyle w:val="DHHStablecolhead"/>
            </w:pPr>
            <w:r w:rsidRPr="00603D31">
              <w:t>2012</w:t>
            </w:r>
          </w:p>
        </w:tc>
        <w:tc>
          <w:tcPr>
            <w:tcW w:w="1115" w:type="dxa"/>
            <w:shd w:val="clear" w:color="auto" w:fill="EDCDCF"/>
          </w:tcPr>
          <w:p w14:paraId="486E992B" w14:textId="77777777" w:rsidR="008B50DA" w:rsidRPr="00603D31" w:rsidRDefault="008B50DA" w:rsidP="00CA2269">
            <w:pPr>
              <w:pStyle w:val="DHHStablecolhead"/>
            </w:pPr>
            <w:r w:rsidRPr="00603D31">
              <w:t>2013</w:t>
            </w:r>
          </w:p>
        </w:tc>
        <w:tc>
          <w:tcPr>
            <w:tcW w:w="1083" w:type="dxa"/>
            <w:shd w:val="clear" w:color="auto" w:fill="EDCDCF"/>
          </w:tcPr>
          <w:p w14:paraId="55F6E9D3" w14:textId="77777777" w:rsidR="008B50DA" w:rsidRPr="00603D31" w:rsidRDefault="008B50DA" w:rsidP="00CA2269">
            <w:pPr>
              <w:pStyle w:val="DHHStablecolhead"/>
            </w:pPr>
            <w:r w:rsidRPr="00603D31">
              <w:t>2014</w:t>
            </w:r>
          </w:p>
        </w:tc>
        <w:tc>
          <w:tcPr>
            <w:tcW w:w="1083" w:type="dxa"/>
            <w:shd w:val="clear" w:color="auto" w:fill="EDCDCF"/>
          </w:tcPr>
          <w:p w14:paraId="7C75305F" w14:textId="77777777" w:rsidR="008B50DA" w:rsidRPr="00603D31" w:rsidRDefault="008B50DA" w:rsidP="00CA2269">
            <w:pPr>
              <w:pStyle w:val="DHHStablecolhead"/>
            </w:pPr>
            <w:r w:rsidRPr="00603D31">
              <w:t>2015</w:t>
            </w:r>
          </w:p>
        </w:tc>
        <w:tc>
          <w:tcPr>
            <w:tcW w:w="1003" w:type="dxa"/>
            <w:shd w:val="clear" w:color="auto" w:fill="EDCDCF"/>
          </w:tcPr>
          <w:p w14:paraId="36CD9BDB" w14:textId="77777777" w:rsidR="008B50DA" w:rsidRPr="00603D31" w:rsidRDefault="008B50DA" w:rsidP="00CA2269">
            <w:pPr>
              <w:pStyle w:val="DHHStablecolhead"/>
            </w:pPr>
            <w:r w:rsidRPr="00603D31">
              <w:t>2016</w:t>
            </w:r>
          </w:p>
        </w:tc>
        <w:tc>
          <w:tcPr>
            <w:tcW w:w="1128" w:type="dxa"/>
            <w:shd w:val="clear" w:color="auto" w:fill="EDCDCF"/>
          </w:tcPr>
          <w:p w14:paraId="08E0F767" w14:textId="77777777" w:rsidR="008B50DA" w:rsidRPr="00603D31" w:rsidRDefault="008B50DA" w:rsidP="00CA2269">
            <w:pPr>
              <w:pStyle w:val="DHHStablecolhead"/>
            </w:pPr>
            <w:r w:rsidRPr="00603D31">
              <w:t>2017</w:t>
            </w:r>
          </w:p>
        </w:tc>
      </w:tr>
      <w:tr w:rsidR="008B50DA" w14:paraId="714F24DE" w14:textId="77777777" w:rsidTr="00CA2269">
        <w:trPr>
          <w:trHeight w:val="335"/>
        </w:trPr>
        <w:tc>
          <w:tcPr>
            <w:tcW w:w="1636" w:type="dxa"/>
            <w:shd w:val="clear" w:color="auto" w:fill="auto"/>
          </w:tcPr>
          <w:p w14:paraId="7C6FE954" w14:textId="77777777" w:rsidR="008B50DA" w:rsidRPr="007648F5" w:rsidRDefault="008B50DA" w:rsidP="00CA2269">
            <w:pPr>
              <w:pStyle w:val="DHHStabletext"/>
            </w:pPr>
            <w:r w:rsidRPr="007648F5">
              <w:t>Males (ASR)</w:t>
            </w:r>
          </w:p>
        </w:tc>
        <w:tc>
          <w:tcPr>
            <w:tcW w:w="1227" w:type="dxa"/>
            <w:shd w:val="clear" w:color="auto" w:fill="auto"/>
          </w:tcPr>
          <w:p w14:paraId="6C57477B" w14:textId="0580AFF6" w:rsidR="008B50DA" w:rsidRPr="007648F5" w:rsidRDefault="002F05F2" w:rsidP="00CA2269">
            <w:pPr>
              <w:pStyle w:val="DHHStabletext"/>
            </w:pPr>
            <w:r>
              <w:t>105</w:t>
            </w:r>
          </w:p>
        </w:tc>
        <w:tc>
          <w:tcPr>
            <w:tcW w:w="1096" w:type="dxa"/>
            <w:shd w:val="clear" w:color="auto" w:fill="auto"/>
          </w:tcPr>
          <w:p w14:paraId="6B5E1F36" w14:textId="78242CFA" w:rsidR="008B50DA" w:rsidRPr="007648F5" w:rsidRDefault="002F05F2" w:rsidP="00CA2269">
            <w:pPr>
              <w:pStyle w:val="DHHStabletext"/>
            </w:pPr>
            <w:r>
              <w:t>101</w:t>
            </w:r>
          </w:p>
        </w:tc>
        <w:tc>
          <w:tcPr>
            <w:tcW w:w="1134" w:type="dxa"/>
            <w:shd w:val="clear" w:color="auto" w:fill="auto"/>
          </w:tcPr>
          <w:p w14:paraId="14E03941" w14:textId="70BF3441" w:rsidR="008B50DA" w:rsidRPr="007648F5" w:rsidRDefault="00BC44A1" w:rsidP="00CA2269">
            <w:pPr>
              <w:pStyle w:val="DHHStabletext"/>
            </w:pPr>
            <w:r>
              <w:t>96</w:t>
            </w:r>
          </w:p>
        </w:tc>
        <w:tc>
          <w:tcPr>
            <w:tcW w:w="1115" w:type="dxa"/>
            <w:shd w:val="clear" w:color="auto" w:fill="auto"/>
          </w:tcPr>
          <w:p w14:paraId="790135F8" w14:textId="4EB2D8A7" w:rsidR="008B50DA" w:rsidRPr="007648F5" w:rsidRDefault="00BC44A1" w:rsidP="00CA2269">
            <w:pPr>
              <w:pStyle w:val="DHHStabletext"/>
            </w:pPr>
            <w:r>
              <w:t>97</w:t>
            </w:r>
          </w:p>
        </w:tc>
        <w:tc>
          <w:tcPr>
            <w:tcW w:w="1083" w:type="dxa"/>
            <w:shd w:val="clear" w:color="auto" w:fill="auto"/>
          </w:tcPr>
          <w:p w14:paraId="3E80769C" w14:textId="15F76305" w:rsidR="008B50DA" w:rsidRPr="007648F5" w:rsidRDefault="00BC44A1" w:rsidP="00CA2269">
            <w:pPr>
              <w:pStyle w:val="DHHStabletext"/>
            </w:pPr>
            <w:r>
              <w:t>91</w:t>
            </w:r>
          </w:p>
        </w:tc>
        <w:tc>
          <w:tcPr>
            <w:tcW w:w="1083" w:type="dxa"/>
            <w:shd w:val="clear" w:color="auto" w:fill="auto"/>
          </w:tcPr>
          <w:p w14:paraId="615320E7" w14:textId="2792D90D" w:rsidR="008B50DA" w:rsidRPr="007648F5" w:rsidRDefault="00BE4792" w:rsidP="00CA2269">
            <w:pPr>
              <w:pStyle w:val="DHHStabletext"/>
            </w:pPr>
            <w:r>
              <w:t>91</w:t>
            </w:r>
          </w:p>
        </w:tc>
        <w:tc>
          <w:tcPr>
            <w:tcW w:w="1003" w:type="dxa"/>
            <w:shd w:val="clear" w:color="auto" w:fill="auto"/>
          </w:tcPr>
          <w:p w14:paraId="4D221CC7" w14:textId="01ED89C9" w:rsidR="008B50DA" w:rsidRPr="007648F5" w:rsidRDefault="00BE4792" w:rsidP="00CA2269">
            <w:pPr>
              <w:pStyle w:val="DHHStabletext"/>
            </w:pPr>
            <w:r>
              <w:t>88</w:t>
            </w:r>
          </w:p>
        </w:tc>
        <w:tc>
          <w:tcPr>
            <w:tcW w:w="1128" w:type="dxa"/>
            <w:shd w:val="clear" w:color="auto" w:fill="auto"/>
          </w:tcPr>
          <w:p w14:paraId="30B6D67C" w14:textId="6EBBE695" w:rsidR="008B50DA" w:rsidRPr="007648F5" w:rsidRDefault="00BE4792" w:rsidP="00CA2269">
            <w:pPr>
              <w:pStyle w:val="DHHStabletext"/>
            </w:pPr>
            <w:r>
              <w:t>84</w:t>
            </w:r>
          </w:p>
        </w:tc>
      </w:tr>
      <w:tr w:rsidR="008B50DA" w14:paraId="1F66DF16" w14:textId="77777777" w:rsidTr="00CA2269">
        <w:trPr>
          <w:trHeight w:val="335"/>
        </w:trPr>
        <w:tc>
          <w:tcPr>
            <w:tcW w:w="1636" w:type="dxa"/>
            <w:shd w:val="clear" w:color="auto" w:fill="auto"/>
          </w:tcPr>
          <w:p w14:paraId="04463FFB" w14:textId="77777777" w:rsidR="008B50DA" w:rsidRPr="007648F5" w:rsidRDefault="008B50DA" w:rsidP="00CA2269">
            <w:pPr>
              <w:pStyle w:val="DHHStabletext"/>
            </w:pPr>
            <w:r w:rsidRPr="007648F5">
              <w:t>(95% CI)</w:t>
            </w:r>
          </w:p>
        </w:tc>
        <w:tc>
          <w:tcPr>
            <w:tcW w:w="1227" w:type="dxa"/>
            <w:shd w:val="clear" w:color="auto" w:fill="auto"/>
          </w:tcPr>
          <w:p w14:paraId="16111FE2" w14:textId="19921726" w:rsidR="008B50DA" w:rsidRPr="007648F5" w:rsidRDefault="002F05F2" w:rsidP="00CA2269">
            <w:pPr>
              <w:pStyle w:val="DHHStabletext"/>
            </w:pPr>
            <w:r>
              <w:t>(101</w:t>
            </w:r>
            <w:r w:rsidR="00690CD3">
              <w:t>–1</w:t>
            </w:r>
            <w:r>
              <w:t>09)</w:t>
            </w:r>
          </w:p>
        </w:tc>
        <w:tc>
          <w:tcPr>
            <w:tcW w:w="1096" w:type="dxa"/>
            <w:shd w:val="clear" w:color="auto" w:fill="auto"/>
          </w:tcPr>
          <w:p w14:paraId="2A00CE36" w14:textId="03D3EAC6" w:rsidR="008B50DA" w:rsidRPr="007648F5" w:rsidRDefault="002F05F2" w:rsidP="00CA2269">
            <w:pPr>
              <w:pStyle w:val="DHHStabletext"/>
            </w:pPr>
            <w:r>
              <w:t>(98</w:t>
            </w:r>
            <w:r w:rsidR="00690CD3">
              <w:t>–1</w:t>
            </w:r>
            <w:r>
              <w:t>05)</w:t>
            </w:r>
          </w:p>
        </w:tc>
        <w:tc>
          <w:tcPr>
            <w:tcW w:w="1134" w:type="dxa"/>
            <w:shd w:val="clear" w:color="auto" w:fill="auto"/>
          </w:tcPr>
          <w:p w14:paraId="7BF3AE6D" w14:textId="43EEC84E" w:rsidR="008B50DA" w:rsidRPr="007648F5" w:rsidRDefault="00BC44A1" w:rsidP="00CA2269">
            <w:pPr>
              <w:pStyle w:val="DHHStabletext"/>
            </w:pPr>
            <w:r>
              <w:t>(92-99)</w:t>
            </w:r>
          </w:p>
        </w:tc>
        <w:tc>
          <w:tcPr>
            <w:tcW w:w="1115" w:type="dxa"/>
            <w:shd w:val="clear" w:color="auto" w:fill="auto"/>
          </w:tcPr>
          <w:p w14:paraId="4E77905F" w14:textId="73E2679F" w:rsidR="008B50DA" w:rsidRPr="007648F5" w:rsidRDefault="00BC44A1" w:rsidP="00CA2269">
            <w:pPr>
              <w:pStyle w:val="DHHStabletext"/>
            </w:pPr>
            <w:r>
              <w:t>(94</w:t>
            </w:r>
            <w:r w:rsidR="00690CD3">
              <w:t>–1</w:t>
            </w:r>
            <w:r>
              <w:t>01)</w:t>
            </w:r>
          </w:p>
        </w:tc>
        <w:tc>
          <w:tcPr>
            <w:tcW w:w="1083" w:type="dxa"/>
            <w:shd w:val="clear" w:color="auto" w:fill="auto"/>
          </w:tcPr>
          <w:p w14:paraId="5BEA6141" w14:textId="6E097A22" w:rsidR="008B50DA" w:rsidRPr="007648F5" w:rsidRDefault="00BC44A1" w:rsidP="00CA2269">
            <w:pPr>
              <w:pStyle w:val="DHHStabletext"/>
            </w:pPr>
            <w:r>
              <w:t>(87-94)</w:t>
            </w:r>
          </w:p>
        </w:tc>
        <w:tc>
          <w:tcPr>
            <w:tcW w:w="1083" w:type="dxa"/>
            <w:shd w:val="clear" w:color="auto" w:fill="auto"/>
          </w:tcPr>
          <w:p w14:paraId="49A1E529" w14:textId="6987F095" w:rsidR="008B50DA" w:rsidRPr="007648F5" w:rsidRDefault="00BE4792" w:rsidP="00CA2269">
            <w:pPr>
              <w:pStyle w:val="DHHStabletext"/>
            </w:pPr>
            <w:r>
              <w:t>(88-95)</w:t>
            </w:r>
          </w:p>
        </w:tc>
        <w:tc>
          <w:tcPr>
            <w:tcW w:w="1003" w:type="dxa"/>
            <w:shd w:val="clear" w:color="auto" w:fill="auto"/>
          </w:tcPr>
          <w:p w14:paraId="62E13AF9" w14:textId="12025A10" w:rsidR="008B50DA" w:rsidRPr="007648F5" w:rsidRDefault="00BE4792" w:rsidP="00CA2269">
            <w:pPr>
              <w:pStyle w:val="DHHStabletext"/>
            </w:pPr>
            <w:r>
              <w:t>(85-91)</w:t>
            </w:r>
          </w:p>
        </w:tc>
        <w:tc>
          <w:tcPr>
            <w:tcW w:w="1128" w:type="dxa"/>
            <w:shd w:val="clear" w:color="auto" w:fill="auto"/>
          </w:tcPr>
          <w:p w14:paraId="75A03D91" w14:textId="0472BD37" w:rsidR="008B50DA" w:rsidRPr="007648F5" w:rsidRDefault="00BE4792" w:rsidP="00CA2269">
            <w:pPr>
              <w:pStyle w:val="DHHStabletext"/>
            </w:pPr>
            <w:r>
              <w:t>(81-87)</w:t>
            </w:r>
          </w:p>
        </w:tc>
      </w:tr>
      <w:tr w:rsidR="008B50DA" w14:paraId="6A5B819B" w14:textId="77777777" w:rsidTr="00CA2269">
        <w:trPr>
          <w:trHeight w:val="254"/>
        </w:trPr>
        <w:tc>
          <w:tcPr>
            <w:tcW w:w="1636" w:type="dxa"/>
            <w:shd w:val="clear" w:color="auto" w:fill="auto"/>
          </w:tcPr>
          <w:p w14:paraId="488908C3" w14:textId="77777777" w:rsidR="008B50DA" w:rsidRPr="007648F5" w:rsidRDefault="008B50DA" w:rsidP="00CA2269">
            <w:pPr>
              <w:pStyle w:val="DHHStabletext"/>
            </w:pPr>
            <w:r w:rsidRPr="007648F5">
              <w:t>Females (ASR)</w:t>
            </w:r>
          </w:p>
        </w:tc>
        <w:tc>
          <w:tcPr>
            <w:tcW w:w="1227" w:type="dxa"/>
            <w:shd w:val="clear" w:color="auto" w:fill="auto"/>
          </w:tcPr>
          <w:p w14:paraId="4C21FC67" w14:textId="6A0C6B5A" w:rsidR="008B50DA" w:rsidRPr="007648F5" w:rsidRDefault="002F05F2" w:rsidP="00CA2269">
            <w:pPr>
              <w:pStyle w:val="DHHStabletext"/>
            </w:pPr>
            <w:r>
              <w:t>77</w:t>
            </w:r>
          </w:p>
        </w:tc>
        <w:tc>
          <w:tcPr>
            <w:tcW w:w="1096" w:type="dxa"/>
            <w:shd w:val="clear" w:color="auto" w:fill="auto"/>
          </w:tcPr>
          <w:p w14:paraId="4EDCD3E8" w14:textId="213E0E8C" w:rsidR="008B50DA" w:rsidRPr="007648F5" w:rsidRDefault="002F05F2" w:rsidP="00CA2269">
            <w:pPr>
              <w:pStyle w:val="DHHStabletext"/>
            </w:pPr>
            <w:r>
              <w:t>77</w:t>
            </w:r>
          </w:p>
        </w:tc>
        <w:tc>
          <w:tcPr>
            <w:tcW w:w="1134" w:type="dxa"/>
            <w:shd w:val="clear" w:color="auto" w:fill="auto"/>
          </w:tcPr>
          <w:p w14:paraId="08BA58FB" w14:textId="2535F175" w:rsidR="008B50DA" w:rsidRPr="007648F5" w:rsidRDefault="00BC44A1" w:rsidP="00CA2269">
            <w:pPr>
              <w:pStyle w:val="DHHStabletext"/>
            </w:pPr>
            <w:r>
              <w:t>74</w:t>
            </w:r>
          </w:p>
        </w:tc>
        <w:tc>
          <w:tcPr>
            <w:tcW w:w="1115" w:type="dxa"/>
            <w:shd w:val="clear" w:color="auto" w:fill="auto"/>
          </w:tcPr>
          <w:p w14:paraId="6FF445A9" w14:textId="501A6083" w:rsidR="008B50DA" w:rsidRPr="007648F5" w:rsidRDefault="00BC44A1" w:rsidP="00CA2269">
            <w:pPr>
              <w:pStyle w:val="DHHStabletext"/>
            </w:pPr>
            <w:r>
              <w:t>73</w:t>
            </w:r>
          </w:p>
        </w:tc>
        <w:tc>
          <w:tcPr>
            <w:tcW w:w="1083" w:type="dxa"/>
            <w:shd w:val="clear" w:color="auto" w:fill="auto"/>
          </w:tcPr>
          <w:p w14:paraId="0921523E" w14:textId="495EF2FD" w:rsidR="008B50DA" w:rsidRPr="007648F5" w:rsidRDefault="00BC44A1" w:rsidP="00CA2269">
            <w:pPr>
              <w:pStyle w:val="DHHStabletext"/>
            </w:pPr>
            <w:r>
              <w:t>72</w:t>
            </w:r>
          </w:p>
        </w:tc>
        <w:tc>
          <w:tcPr>
            <w:tcW w:w="1083" w:type="dxa"/>
            <w:shd w:val="clear" w:color="auto" w:fill="auto"/>
          </w:tcPr>
          <w:p w14:paraId="5E5CD316" w14:textId="1D94FAFC" w:rsidR="008B50DA" w:rsidRPr="007648F5" w:rsidRDefault="000E2842" w:rsidP="00CA2269">
            <w:pPr>
              <w:pStyle w:val="DHHStabletext"/>
            </w:pPr>
            <w:r>
              <w:t>70</w:t>
            </w:r>
          </w:p>
        </w:tc>
        <w:tc>
          <w:tcPr>
            <w:tcW w:w="1003" w:type="dxa"/>
            <w:shd w:val="clear" w:color="auto" w:fill="auto"/>
          </w:tcPr>
          <w:p w14:paraId="2A1AE689" w14:textId="3B5FC5C2" w:rsidR="008B50DA" w:rsidRPr="007648F5" w:rsidRDefault="000E2842" w:rsidP="00CA2269">
            <w:pPr>
              <w:pStyle w:val="DHHStabletext"/>
            </w:pPr>
            <w:r>
              <w:t>72</w:t>
            </w:r>
          </w:p>
        </w:tc>
        <w:tc>
          <w:tcPr>
            <w:tcW w:w="1128" w:type="dxa"/>
            <w:shd w:val="clear" w:color="auto" w:fill="auto"/>
          </w:tcPr>
          <w:p w14:paraId="650ACCB1" w14:textId="014BCF1A" w:rsidR="008B50DA" w:rsidRPr="007648F5" w:rsidRDefault="000E2842" w:rsidP="00CA2269">
            <w:pPr>
              <w:pStyle w:val="DHHStabletext"/>
            </w:pPr>
            <w:r>
              <w:t>69</w:t>
            </w:r>
          </w:p>
        </w:tc>
      </w:tr>
      <w:tr w:rsidR="008B50DA" w14:paraId="7203C31F" w14:textId="77777777" w:rsidTr="00CA2269">
        <w:trPr>
          <w:trHeight w:val="254"/>
        </w:trPr>
        <w:tc>
          <w:tcPr>
            <w:tcW w:w="1636" w:type="dxa"/>
            <w:shd w:val="clear" w:color="auto" w:fill="auto"/>
          </w:tcPr>
          <w:p w14:paraId="5388194F" w14:textId="77777777" w:rsidR="008B50DA" w:rsidRPr="007648F5" w:rsidRDefault="008B50DA" w:rsidP="00CA2269">
            <w:pPr>
              <w:pStyle w:val="DHHStabletext"/>
            </w:pPr>
            <w:r w:rsidRPr="007648F5">
              <w:t>(95% CI)</w:t>
            </w:r>
          </w:p>
        </w:tc>
        <w:tc>
          <w:tcPr>
            <w:tcW w:w="1227" w:type="dxa"/>
            <w:shd w:val="clear" w:color="auto" w:fill="auto"/>
          </w:tcPr>
          <w:p w14:paraId="273FCB29" w14:textId="457304CF" w:rsidR="008B50DA" w:rsidRPr="007648F5" w:rsidRDefault="002F05F2" w:rsidP="00CA2269">
            <w:pPr>
              <w:pStyle w:val="DHHStabletext"/>
            </w:pPr>
            <w:r>
              <w:t>(74</w:t>
            </w:r>
            <w:r w:rsidR="00840304">
              <w:t>–</w:t>
            </w:r>
            <w:r>
              <w:t>80)</w:t>
            </w:r>
          </w:p>
        </w:tc>
        <w:tc>
          <w:tcPr>
            <w:tcW w:w="1096" w:type="dxa"/>
            <w:shd w:val="clear" w:color="auto" w:fill="auto"/>
          </w:tcPr>
          <w:p w14:paraId="5561A71B" w14:textId="4FAE39B8" w:rsidR="008B50DA" w:rsidRPr="007648F5" w:rsidRDefault="002F05F2" w:rsidP="00CA2269">
            <w:pPr>
              <w:pStyle w:val="DHHStabletext"/>
            </w:pPr>
            <w:r>
              <w:t>(74</w:t>
            </w:r>
            <w:r w:rsidR="00840304">
              <w:t>–</w:t>
            </w:r>
            <w:r>
              <w:t>81)</w:t>
            </w:r>
          </w:p>
        </w:tc>
        <w:tc>
          <w:tcPr>
            <w:tcW w:w="1134" w:type="dxa"/>
            <w:shd w:val="clear" w:color="auto" w:fill="auto"/>
          </w:tcPr>
          <w:p w14:paraId="1E548E07" w14:textId="0AC35D03" w:rsidR="008B50DA" w:rsidRPr="007648F5" w:rsidRDefault="00BC44A1" w:rsidP="00CA2269">
            <w:pPr>
              <w:pStyle w:val="DHHStabletext"/>
            </w:pPr>
            <w:r>
              <w:t>(71</w:t>
            </w:r>
            <w:r w:rsidR="00840304">
              <w:t>–</w:t>
            </w:r>
            <w:r>
              <w:t>77)</w:t>
            </w:r>
          </w:p>
        </w:tc>
        <w:tc>
          <w:tcPr>
            <w:tcW w:w="1115" w:type="dxa"/>
            <w:shd w:val="clear" w:color="auto" w:fill="auto"/>
          </w:tcPr>
          <w:p w14:paraId="2CD96681" w14:textId="6C8F06BA" w:rsidR="008B50DA" w:rsidRPr="007648F5" w:rsidRDefault="00BC44A1" w:rsidP="00CA2269">
            <w:pPr>
              <w:pStyle w:val="DHHStabletext"/>
            </w:pPr>
            <w:r>
              <w:t>(70</w:t>
            </w:r>
            <w:r w:rsidR="00840304">
              <w:t>–</w:t>
            </w:r>
            <w:r>
              <w:t>76)</w:t>
            </w:r>
          </w:p>
        </w:tc>
        <w:tc>
          <w:tcPr>
            <w:tcW w:w="1083" w:type="dxa"/>
            <w:shd w:val="clear" w:color="auto" w:fill="auto"/>
          </w:tcPr>
          <w:p w14:paraId="2B3E330A" w14:textId="302B4355" w:rsidR="008B50DA" w:rsidRPr="007648F5" w:rsidRDefault="00BC44A1" w:rsidP="00CA2269">
            <w:pPr>
              <w:pStyle w:val="DHHStabletext"/>
            </w:pPr>
            <w:r>
              <w:t>(69</w:t>
            </w:r>
            <w:r w:rsidR="00840304">
              <w:t>–</w:t>
            </w:r>
            <w:r>
              <w:t>75)</w:t>
            </w:r>
          </w:p>
        </w:tc>
        <w:tc>
          <w:tcPr>
            <w:tcW w:w="1083" w:type="dxa"/>
            <w:shd w:val="clear" w:color="auto" w:fill="auto"/>
          </w:tcPr>
          <w:p w14:paraId="0C38C7C0" w14:textId="320C968A" w:rsidR="008B50DA" w:rsidRPr="007648F5" w:rsidRDefault="000E2842" w:rsidP="00CA2269">
            <w:pPr>
              <w:pStyle w:val="DHHStabletext"/>
            </w:pPr>
            <w:r>
              <w:t>(67</w:t>
            </w:r>
            <w:r w:rsidR="00840304">
              <w:t>–</w:t>
            </w:r>
            <w:r>
              <w:t>73)</w:t>
            </w:r>
          </w:p>
        </w:tc>
        <w:tc>
          <w:tcPr>
            <w:tcW w:w="1003" w:type="dxa"/>
            <w:shd w:val="clear" w:color="auto" w:fill="auto"/>
          </w:tcPr>
          <w:p w14:paraId="7953BE4E" w14:textId="06C2EA20" w:rsidR="008B50DA" w:rsidRPr="007648F5" w:rsidRDefault="000E2842" w:rsidP="00CA2269">
            <w:pPr>
              <w:pStyle w:val="DHHStabletext"/>
            </w:pPr>
            <w:r>
              <w:t>(69</w:t>
            </w:r>
            <w:r w:rsidR="00840304">
              <w:t>–</w:t>
            </w:r>
            <w:r>
              <w:t>75)</w:t>
            </w:r>
          </w:p>
        </w:tc>
        <w:tc>
          <w:tcPr>
            <w:tcW w:w="1128" w:type="dxa"/>
            <w:shd w:val="clear" w:color="auto" w:fill="auto"/>
          </w:tcPr>
          <w:p w14:paraId="1CB8A0F6" w14:textId="7E9C83B8" w:rsidR="008B50DA" w:rsidRPr="007648F5" w:rsidRDefault="000E2842" w:rsidP="00CA2269">
            <w:pPr>
              <w:pStyle w:val="DHHStabletext"/>
            </w:pPr>
            <w:r>
              <w:t>(66</w:t>
            </w:r>
            <w:r w:rsidR="00840304">
              <w:t>–</w:t>
            </w:r>
            <w:r>
              <w:t>72)</w:t>
            </w:r>
          </w:p>
        </w:tc>
      </w:tr>
      <w:tr w:rsidR="008B50DA" w14:paraId="5F54BF6E" w14:textId="77777777" w:rsidTr="00CA2269">
        <w:trPr>
          <w:trHeight w:val="254"/>
        </w:trPr>
        <w:tc>
          <w:tcPr>
            <w:tcW w:w="1636" w:type="dxa"/>
            <w:shd w:val="clear" w:color="auto" w:fill="auto"/>
          </w:tcPr>
          <w:p w14:paraId="15618097" w14:textId="1E3230DD" w:rsidR="008B50DA" w:rsidRPr="007648F5" w:rsidRDefault="008B50DA" w:rsidP="00CA2269">
            <w:pPr>
              <w:pStyle w:val="DHHStabletext"/>
            </w:pPr>
            <w:r w:rsidRPr="007648F5">
              <w:t>Persons</w:t>
            </w:r>
            <w:r w:rsidR="00FD27AE">
              <w:t xml:space="preserve"> (ASR)</w:t>
            </w:r>
          </w:p>
        </w:tc>
        <w:tc>
          <w:tcPr>
            <w:tcW w:w="1227" w:type="dxa"/>
            <w:shd w:val="clear" w:color="auto" w:fill="auto"/>
          </w:tcPr>
          <w:p w14:paraId="588ECBF0" w14:textId="40797C2B" w:rsidR="008B50DA" w:rsidRPr="007648F5" w:rsidRDefault="000D3EC8" w:rsidP="00CA2269">
            <w:pPr>
              <w:pStyle w:val="DHHStabletext"/>
            </w:pPr>
            <w:r>
              <w:t>91</w:t>
            </w:r>
          </w:p>
        </w:tc>
        <w:tc>
          <w:tcPr>
            <w:tcW w:w="1096" w:type="dxa"/>
            <w:shd w:val="clear" w:color="auto" w:fill="auto"/>
          </w:tcPr>
          <w:p w14:paraId="7932A108" w14:textId="2195E286" w:rsidR="008B50DA" w:rsidRPr="007648F5" w:rsidRDefault="000D3EC8" w:rsidP="00CA2269">
            <w:pPr>
              <w:pStyle w:val="DHHStabletext"/>
            </w:pPr>
            <w:r>
              <w:t>89</w:t>
            </w:r>
          </w:p>
        </w:tc>
        <w:tc>
          <w:tcPr>
            <w:tcW w:w="1134" w:type="dxa"/>
            <w:shd w:val="clear" w:color="auto" w:fill="auto"/>
          </w:tcPr>
          <w:p w14:paraId="2658B0DC" w14:textId="7CBD35F4" w:rsidR="008B50DA" w:rsidRPr="007648F5" w:rsidRDefault="000D3EC8" w:rsidP="00CA2269">
            <w:pPr>
              <w:pStyle w:val="DHHStabletext"/>
            </w:pPr>
            <w:r>
              <w:t>84</w:t>
            </w:r>
          </w:p>
        </w:tc>
        <w:tc>
          <w:tcPr>
            <w:tcW w:w="1115" w:type="dxa"/>
            <w:shd w:val="clear" w:color="auto" w:fill="auto"/>
          </w:tcPr>
          <w:p w14:paraId="3385B2A0" w14:textId="4DAF7A67" w:rsidR="008B50DA" w:rsidRPr="007648F5" w:rsidRDefault="00BC44A1" w:rsidP="00CA2269">
            <w:pPr>
              <w:pStyle w:val="DHHStabletext"/>
            </w:pPr>
            <w:r>
              <w:t>85</w:t>
            </w:r>
          </w:p>
        </w:tc>
        <w:tc>
          <w:tcPr>
            <w:tcW w:w="1083" w:type="dxa"/>
            <w:shd w:val="clear" w:color="auto" w:fill="auto"/>
          </w:tcPr>
          <w:p w14:paraId="2B2281A3" w14:textId="3B172D1D" w:rsidR="008B50DA" w:rsidRPr="007648F5" w:rsidRDefault="00BC44A1" w:rsidP="00CA2269">
            <w:pPr>
              <w:pStyle w:val="DHHStabletext"/>
            </w:pPr>
            <w:r>
              <w:t>81</w:t>
            </w:r>
          </w:p>
        </w:tc>
        <w:tc>
          <w:tcPr>
            <w:tcW w:w="1083" w:type="dxa"/>
            <w:shd w:val="clear" w:color="auto" w:fill="auto"/>
          </w:tcPr>
          <w:p w14:paraId="65D41810" w14:textId="3ECC1DF3" w:rsidR="008B50DA" w:rsidRPr="007648F5" w:rsidRDefault="000E2842" w:rsidP="00CA2269">
            <w:pPr>
              <w:pStyle w:val="DHHStabletext"/>
            </w:pPr>
            <w:r>
              <w:t>80</w:t>
            </w:r>
          </w:p>
        </w:tc>
        <w:tc>
          <w:tcPr>
            <w:tcW w:w="1003" w:type="dxa"/>
            <w:shd w:val="clear" w:color="auto" w:fill="auto"/>
          </w:tcPr>
          <w:p w14:paraId="14AC1374" w14:textId="6EEBA75F" w:rsidR="008B50DA" w:rsidRPr="007648F5" w:rsidRDefault="000E2842" w:rsidP="00CA2269">
            <w:pPr>
              <w:pStyle w:val="DHHStabletext"/>
            </w:pPr>
            <w:r>
              <w:t>80</w:t>
            </w:r>
          </w:p>
        </w:tc>
        <w:tc>
          <w:tcPr>
            <w:tcW w:w="1128" w:type="dxa"/>
            <w:shd w:val="clear" w:color="auto" w:fill="auto"/>
          </w:tcPr>
          <w:p w14:paraId="2873035D" w14:textId="247500C9" w:rsidR="008B50DA" w:rsidRPr="007648F5" w:rsidRDefault="000E2842" w:rsidP="00CA2269">
            <w:pPr>
              <w:pStyle w:val="DHHStabletext"/>
            </w:pPr>
            <w:r>
              <w:t>76</w:t>
            </w:r>
          </w:p>
        </w:tc>
      </w:tr>
      <w:tr w:rsidR="008B50DA" w14:paraId="7768E725" w14:textId="77777777" w:rsidTr="00CA2269">
        <w:trPr>
          <w:trHeight w:val="254"/>
        </w:trPr>
        <w:tc>
          <w:tcPr>
            <w:tcW w:w="1636" w:type="dxa"/>
            <w:shd w:val="clear" w:color="auto" w:fill="auto"/>
          </w:tcPr>
          <w:p w14:paraId="5140C516" w14:textId="77777777" w:rsidR="008B50DA" w:rsidRPr="007648F5" w:rsidRDefault="008B50DA" w:rsidP="00CA2269">
            <w:pPr>
              <w:pStyle w:val="DHHStabletext"/>
            </w:pPr>
            <w:r w:rsidRPr="007648F5">
              <w:t>(95% CI)</w:t>
            </w:r>
          </w:p>
        </w:tc>
        <w:tc>
          <w:tcPr>
            <w:tcW w:w="1227" w:type="dxa"/>
            <w:shd w:val="clear" w:color="auto" w:fill="auto"/>
          </w:tcPr>
          <w:p w14:paraId="3CD5CCF0" w14:textId="688C4DF1" w:rsidR="008B50DA" w:rsidRPr="007648F5" w:rsidRDefault="000D3EC8" w:rsidP="00CA2269">
            <w:pPr>
              <w:pStyle w:val="DHHStabletext"/>
            </w:pPr>
            <w:r>
              <w:t>(88</w:t>
            </w:r>
            <w:r w:rsidR="00840304">
              <w:t>–</w:t>
            </w:r>
            <w:r>
              <w:t>93)</w:t>
            </w:r>
          </w:p>
        </w:tc>
        <w:tc>
          <w:tcPr>
            <w:tcW w:w="1096" w:type="dxa"/>
            <w:shd w:val="clear" w:color="auto" w:fill="auto"/>
          </w:tcPr>
          <w:p w14:paraId="7123D4E6" w14:textId="69970119" w:rsidR="008B50DA" w:rsidRPr="007648F5" w:rsidRDefault="000D3EC8" w:rsidP="00CA2269">
            <w:pPr>
              <w:pStyle w:val="DHHStabletext"/>
            </w:pPr>
            <w:r>
              <w:t>(87</w:t>
            </w:r>
            <w:r w:rsidR="00840304">
              <w:t>–</w:t>
            </w:r>
            <w:r>
              <w:t>92)</w:t>
            </w:r>
          </w:p>
        </w:tc>
        <w:tc>
          <w:tcPr>
            <w:tcW w:w="1134" w:type="dxa"/>
            <w:shd w:val="clear" w:color="auto" w:fill="auto"/>
          </w:tcPr>
          <w:p w14:paraId="06AB60DD" w14:textId="61120129" w:rsidR="008B50DA" w:rsidRPr="007648F5" w:rsidRDefault="000D3EC8" w:rsidP="00CA2269">
            <w:pPr>
              <w:pStyle w:val="DHHStabletext"/>
            </w:pPr>
            <w:r>
              <w:t>(82</w:t>
            </w:r>
            <w:r w:rsidR="00840304">
              <w:t>–</w:t>
            </w:r>
            <w:r>
              <w:t>87)</w:t>
            </w:r>
          </w:p>
        </w:tc>
        <w:tc>
          <w:tcPr>
            <w:tcW w:w="1115" w:type="dxa"/>
            <w:shd w:val="clear" w:color="auto" w:fill="auto"/>
          </w:tcPr>
          <w:p w14:paraId="77AFA193" w14:textId="46020801" w:rsidR="008B50DA" w:rsidRPr="007648F5" w:rsidRDefault="00BC44A1" w:rsidP="00CA2269">
            <w:pPr>
              <w:pStyle w:val="DHHStabletext"/>
            </w:pPr>
            <w:r>
              <w:t>(82</w:t>
            </w:r>
            <w:r w:rsidR="00840304">
              <w:t>–</w:t>
            </w:r>
            <w:r>
              <w:t>87)</w:t>
            </w:r>
          </w:p>
        </w:tc>
        <w:tc>
          <w:tcPr>
            <w:tcW w:w="1083" w:type="dxa"/>
            <w:shd w:val="clear" w:color="auto" w:fill="auto"/>
          </w:tcPr>
          <w:p w14:paraId="27D67373" w14:textId="69E92487" w:rsidR="008B50DA" w:rsidRPr="007648F5" w:rsidRDefault="00BC44A1" w:rsidP="00CA2269">
            <w:pPr>
              <w:pStyle w:val="DHHStabletext"/>
            </w:pPr>
            <w:r>
              <w:t>(79</w:t>
            </w:r>
            <w:r w:rsidR="00840304">
              <w:t>–</w:t>
            </w:r>
            <w:r>
              <w:t>83)</w:t>
            </w:r>
          </w:p>
        </w:tc>
        <w:tc>
          <w:tcPr>
            <w:tcW w:w="1083" w:type="dxa"/>
            <w:shd w:val="clear" w:color="auto" w:fill="auto"/>
          </w:tcPr>
          <w:p w14:paraId="6917BDBE" w14:textId="56F9E0B5" w:rsidR="008B50DA" w:rsidRPr="007648F5" w:rsidRDefault="000E2842" w:rsidP="00CA2269">
            <w:pPr>
              <w:pStyle w:val="DHHStabletext"/>
            </w:pPr>
            <w:r>
              <w:t>(78</w:t>
            </w:r>
            <w:r w:rsidR="00840304">
              <w:t>–</w:t>
            </w:r>
            <w:r>
              <w:t>83)</w:t>
            </w:r>
          </w:p>
        </w:tc>
        <w:tc>
          <w:tcPr>
            <w:tcW w:w="1003" w:type="dxa"/>
            <w:shd w:val="clear" w:color="auto" w:fill="auto"/>
          </w:tcPr>
          <w:p w14:paraId="4ED7205A" w14:textId="27F7E814" w:rsidR="008B50DA" w:rsidRPr="007648F5" w:rsidRDefault="000E2842" w:rsidP="00CA2269">
            <w:pPr>
              <w:pStyle w:val="DHHStabletext"/>
            </w:pPr>
            <w:r>
              <w:t>(78</w:t>
            </w:r>
            <w:r w:rsidR="00840304">
              <w:t>–</w:t>
            </w:r>
            <w:r>
              <w:t>82)</w:t>
            </w:r>
          </w:p>
        </w:tc>
        <w:tc>
          <w:tcPr>
            <w:tcW w:w="1128" w:type="dxa"/>
            <w:shd w:val="clear" w:color="auto" w:fill="auto"/>
          </w:tcPr>
          <w:p w14:paraId="2E00FFFA" w14:textId="55762F97" w:rsidR="008B50DA" w:rsidRPr="007648F5" w:rsidRDefault="000E2842" w:rsidP="00CA2269">
            <w:pPr>
              <w:pStyle w:val="DHHStabletext"/>
            </w:pPr>
            <w:r>
              <w:t>(74</w:t>
            </w:r>
            <w:r w:rsidR="00840304">
              <w:t>–</w:t>
            </w:r>
            <w:r>
              <w:t>78)</w:t>
            </w:r>
          </w:p>
        </w:tc>
      </w:tr>
    </w:tbl>
    <w:p w14:paraId="10FD3070" w14:textId="3E64160F" w:rsidR="00CE3112" w:rsidRPr="00EA25F7" w:rsidRDefault="00CE3112" w:rsidP="00EA25F7">
      <w:pPr>
        <w:pStyle w:val="DHHStablefigurenote"/>
      </w:pPr>
      <w:r>
        <w:t>ASR = age-standardised rate</w:t>
      </w:r>
    </w:p>
    <w:p w14:paraId="28E01F0C" w14:textId="4F1431BB" w:rsidR="00EB35CB" w:rsidRDefault="00EB35CB" w:rsidP="001A17B2">
      <w:pPr>
        <w:pStyle w:val="DHHSfigurecaption"/>
        <w:rPr>
          <w:noProof/>
        </w:rPr>
      </w:pPr>
      <w:bookmarkStart w:id="255" w:name="_Toc19008032"/>
      <w:bookmarkStart w:id="256" w:name="_Toc19008285"/>
      <w:bookmarkStart w:id="257" w:name="_Toc19008432"/>
      <w:bookmarkStart w:id="258" w:name="_Toc19008579"/>
      <w:bookmarkStart w:id="259" w:name="_Toc27414285"/>
      <w:r w:rsidRPr="009755F5">
        <w:t xml:space="preserve">Figure </w:t>
      </w:r>
      <w:r w:rsidR="00F93393">
        <w:rPr>
          <w:noProof/>
        </w:rPr>
        <w:t>2</w:t>
      </w:r>
      <w:r w:rsidRPr="009755F5">
        <w:rPr>
          <w:noProof/>
        </w:rPr>
        <w:t>.2.</w:t>
      </w:r>
      <w:r w:rsidR="00F93393">
        <w:rPr>
          <w:noProof/>
        </w:rPr>
        <w:t>2</w:t>
      </w:r>
      <w:r w:rsidR="00C17266">
        <w:rPr>
          <w:noProof/>
        </w:rPr>
        <w:t>:</w:t>
      </w:r>
      <w:r w:rsidRPr="009755F5">
        <w:t xml:space="preserve"> Forest plots comparing the age-adjusted mortality</w:t>
      </w:r>
      <w:r w:rsidR="009755F5">
        <w:t xml:space="preserve"> (death)</w:t>
      </w:r>
      <w:r w:rsidRPr="009755F5">
        <w:t xml:space="preserve"> rates (and 95% confidence intervals)</w:t>
      </w:r>
      <w:r w:rsidRPr="009755F5">
        <w:rPr>
          <w:noProof/>
        </w:rPr>
        <w:t xml:space="preserve"> for </w:t>
      </w:r>
      <w:r w:rsidR="009755F5" w:rsidRPr="009755F5">
        <w:rPr>
          <w:noProof/>
        </w:rPr>
        <w:t xml:space="preserve">Victorian </w:t>
      </w:r>
      <w:r w:rsidR="00030441">
        <w:rPr>
          <w:noProof/>
        </w:rPr>
        <w:t xml:space="preserve">premature </w:t>
      </w:r>
      <w:r w:rsidRPr="009755F5">
        <w:rPr>
          <w:noProof/>
        </w:rPr>
        <w:t>deaths by all cancers in the baseline year (2010) and the most recent year where mortality data is available (2017), in those younger than 75 years of age at death, standardised to the 2001 Australian population</w:t>
      </w:r>
      <w:bookmarkEnd w:id="255"/>
      <w:bookmarkEnd w:id="256"/>
      <w:bookmarkEnd w:id="257"/>
      <w:bookmarkEnd w:id="258"/>
      <w:bookmarkEnd w:id="259"/>
    </w:p>
    <w:p w14:paraId="54C4B769" w14:textId="45D258CD" w:rsidR="00691C1E" w:rsidRDefault="00691C1E" w:rsidP="00691C1E">
      <w:pPr>
        <w:pStyle w:val="DHHSbody"/>
      </w:pPr>
      <w:r>
        <w:rPr>
          <w:noProof/>
        </w:rPr>
        <w:drawing>
          <wp:inline distT="0" distB="0" distL="0" distR="0" wp14:anchorId="2F607CBF" wp14:editId="0746B24A">
            <wp:extent cx="6315456" cy="5714268"/>
            <wp:effectExtent l="0" t="0" r="0" b="1270"/>
            <wp:docPr id="68" name="Picture 68" descr="This figure shows a data summary of 'Measure 2.2 – Premature death rate due to cancer'. The data set is available under 'Measure 2.2 – Premature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26039" cy="5723844"/>
                    </a:xfrm>
                    <a:prstGeom prst="rect">
                      <a:avLst/>
                    </a:prstGeom>
                    <a:noFill/>
                    <a:ln>
                      <a:noFill/>
                    </a:ln>
                  </pic:spPr>
                </pic:pic>
              </a:graphicData>
            </a:graphic>
          </wp:inline>
        </w:drawing>
      </w:r>
    </w:p>
    <w:p w14:paraId="31A58DE9" w14:textId="00B678E6" w:rsidR="0020440A" w:rsidRPr="00691C1E" w:rsidRDefault="0020440A" w:rsidP="0020440A">
      <w:pPr>
        <w:pStyle w:val="DHHStablefigurenote"/>
      </w:pPr>
      <w:r w:rsidRPr="00D53842">
        <w:t>Appendix 2 provides the dataset.</w:t>
      </w:r>
    </w:p>
    <w:p w14:paraId="35D05718" w14:textId="260955B1" w:rsidR="00B733CB" w:rsidRDefault="00B733CB" w:rsidP="00B733CB">
      <w:pPr>
        <w:pStyle w:val="DHHSfigurecaption"/>
      </w:pPr>
      <w:bookmarkStart w:id="260" w:name="_Toc27414286"/>
      <w:r>
        <w:lastRenderedPageBreak/>
        <w:t>Figure 2.2.3: Victorian premature death rate for all cancers combined, by L</w:t>
      </w:r>
      <w:r w:rsidR="00376BA9">
        <w:t>GA</w:t>
      </w:r>
      <w:r>
        <w:t>, 2010</w:t>
      </w:r>
      <w:bookmarkEnd w:id="260"/>
    </w:p>
    <w:p w14:paraId="3A631226" w14:textId="6089183C" w:rsidR="000530A4" w:rsidRDefault="000530A4" w:rsidP="000530A4">
      <w:pPr>
        <w:pStyle w:val="DHHSbody"/>
        <w:jc w:val="center"/>
      </w:pPr>
      <w:r>
        <w:rPr>
          <w:noProof/>
        </w:rPr>
        <w:drawing>
          <wp:inline distT="0" distB="0" distL="0" distR="0" wp14:anchorId="110416F4" wp14:editId="55422640">
            <wp:extent cx="5617028" cy="4151715"/>
            <wp:effectExtent l="0" t="0" r="3175" b="1270"/>
            <wp:docPr id="335" name="Picture 335" descr="This figure shows a map of Victoria showing the highest reported premature death rate for all cancers combined in 2010 is in the Ararat Rural City Council and the lowest reported rate is in the Mansfield Shire Council. The data set is available under 'Measure 2.2 – Premature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easure 2.2_2010.PNG"/>
                    <pic:cNvPicPr/>
                  </pic:nvPicPr>
                  <pic:blipFill>
                    <a:blip r:embed="rId69"/>
                    <a:stretch>
                      <a:fillRect/>
                    </a:stretch>
                  </pic:blipFill>
                  <pic:spPr>
                    <a:xfrm>
                      <a:off x="0" y="0"/>
                      <a:ext cx="5625366" cy="4157878"/>
                    </a:xfrm>
                    <a:prstGeom prst="rect">
                      <a:avLst/>
                    </a:prstGeom>
                  </pic:spPr>
                </pic:pic>
              </a:graphicData>
            </a:graphic>
          </wp:inline>
        </w:drawing>
      </w:r>
    </w:p>
    <w:p w14:paraId="1C6DF9F7" w14:textId="6CA07AAB" w:rsidR="009A7BCE" w:rsidRDefault="009A7BCE" w:rsidP="009A7BCE">
      <w:pPr>
        <w:pStyle w:val="DHHSfigurecaption"/>
      </w:pPr>
      <w:bookmarkStart w:id="261" w:name="_Toc27414287"/>
      <w:r>
        <w:t>Figure 2.2.4: Victorian premature death rate for all cancers combined, by L</w:t>
      </w:r>
      <w:r w:rsidR="00376BA9">
        <w:t>GA</w:t>
      </w:r>
      <w:r>
        <w:t>, 2017</w:t>
      </w:r>
      <w:bookmarkEnd w:id="261"/>
    </w:p>
    <w:p w14:paraId="638EE489" w14:textId="162B3DB5" w:rsidR="00F415D4" w:rsidRPr="00F415D4" w:rsidRDefault="00F415D4" w:rsidP="002C6473">
      <w:pPr>
        <w:pStyle w:val="DHHSbody"/>
        <w:jc w:val="center"/>
      </w:pPr>
      <w:r>
        <w:rPr>
          <w:noProof/>
        </w:rPr>
        <w:drawing>
          <wp:inline distT="0" distB="0" distL="0" distR="0" wp14:anchorId="13EB0EF7" wp14:editId="70ECD269">
            <wp:extent cx="5558971" cy="4055429"/>
            <wp:effectExtent l="0" t="0" r="3810" b="2540"/>
            <wp:docPr id="38" name="Picture 38" descr="This figure shows a map of Victoria showing the highest reported premature death rate for all cancers combined in 2017 is in the Northern Grampians Shire Council and the lowest reported rate is in the Queenscliffe Borough Council. The data set is available under 'Measure 2.2 – Premature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70980" cy="4064190"/>
                    </a:xfrm>
                    <a:prstGeom prst="rect">
                      <a:avLst/>
                    </a:prstGeom>
                  </pic:spPr>
                </pic:pic>
              </a:graphicData>
            </a:graphic>
          </wp:inline>
        </w:drawing>
      </w:r>
    </w:p>
    <w:p w14:paraId="703A73FB" w14:textId="73ACF47C" w:rsidR="000530A4" w:rsidRDefault="000530A4" w:rsidP="000530A4">
      <w:pPr>
        <w:pStyle w:val="DHHSfigurecaption"/>
      </w:pPr>
      <w:bookmarkStart w:id="262" w:name="_Toc27414288"/>
      <w:r>
        <w:lastRenderedPageBreak/>
        <w:t>Figure 2.2.5: Victorian death rate for all cancers combined, by ICS by year, 2010</w:t>
      </w:r>
      <w:r>
        <w:rPr>
          <w:lang w:eastAsia="en-AU"/>
        </w:rPr>
        <w:t>–</w:t>
      </w:r>
      <w:r>
        <w:t>2017</w:t>
      </w:r>
      <w:bookmarkEnd w:id="262"/>
    </w:p>
    <w:p w14:paraId="4D2C3760" w14:textId="08FCFD2C" w:rsidR="004D4FE3" w:rsidRPr="004D4FE3" w:rsidRDefault="004D4FE3" w:rsidP="004D4FE3">
      <w:pPr>
        <w:pStyle w:val="DHHSbody"/>
      </w:pPr>
      <w:r>
        <w:rPr>
          <w:noProof/>
        </w:rPr>
        <w:drawing>
          <wp:inline distT="0" distB="0" distL="0" distR="0" wp14:anchorId="45B72899" wp14:editId="1F20E3DF">
            <wp:extent cx="6706235" cy="2969260"/>
            <wp:effectExtent l="0" t="0" r="0" b="2540"/>
            <wp:docPr id="306" name="Picture 306" descr="This figure shows a data summary of 'Measure 2.2 – Premature death rate due to cancer' by Integrated Cancer Service for 2010 to 2017. The data set is available under 'Measure 2.2 – Death rate due to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706235" cy="2969260"/>
                    </a:xfrm>
                    <a:prstGeom prst="rect">
                      <a:avLst/>
                    </a:prstGeom>
                    <a:noFill/>
                  </pic:spPr>
                </pic:pic>
              </a:graphicData>
            </a:graphic>
          </wp:inline>
        </w:drawing>
      </w:r>
    </w:p>
    <w:p w14:paraId="3B268057" w14:textId="26BF4BFC" w:rsidR="00665D4B" w:rsidRPr="00665D4B" w:rsidRDefault="00665D4B" w:rsidP="007C2FB4">
      <w:pPr>
        <w:pStyle w:val="Heading4"/>
      </w:pPr>
      <w:r w:rsidRPr="00E43803">
        <w:t>Measure assessment</w:t>
      </w:r>
    </w:p>
    <w:p w14:paraId="4717B78E" w14:textId="237E5073" w:rsidR="003E5FD3" w:rsidRPr="00E060C8" w:rsidRDefault="003E5FD3" w:rsidP="00E060C8">
      <w:pPr>
        <w:autoSpaceDE w:val="0"/>
        <w:autoSpaceDN w:val="0"/>
        <w:adjustRightInd w:val="0"/>
        <w:spacing w:after="120" w:line="270" w:lineRule="atLeast"/>
        <w:rPr>
          <w:rFonts w:ascii="Arial" w:hAnsi="Arial" w:cs="Arial"/>
          <w:color w:val="00B050"/>
        </w:rPr>
      </w:pPr>
      <w:r w:rsidRPr="009F01B1">
        <w:rPr>
          <w:rFonts w:ascii="Arial" w:hAnsi="Arial" w:cs="Arial"/>
        </w:rPr>
        <w:t xml:space="preserve">Traffic light rating: </w:t>
      </w:r>
      <w:r w:rsidR="00892063" w:rsidRPr="00061321">
        <w:rPr>
          <w:rFonts w:ascii="Arial" w:hAnsi="Arial" w:cs="Arial"/>
          <w:b/>
          <w:color w:val="007B4B"/>
        </w:rPr>
        <w:t>Green</w:t>
      </w:r>
      <w:r w:rsidR="00061321">
        <w:rPr>
          <w:rFonts w:ascii="Arial" w:hAnsi="Arial" w:cs="Arial"/>
          <w:b/>
          <w:color w:val="007B4B"/>
        </w:rPr>
        <w:t xml:space="preserve"> </w:t>
      </w:r>
      <w:r w:rsidR="00061321" w:rsidRPr="00061321">
        <w:rPr>
          <w:rFonts w:ascii="Arial" w:hAnsi="Arial" w:cs="Arial"/>
          <w:color w:val="007B4B"/>
        </w:rPr>
        <w:t>(satisfactory result)</w:t>
      </w:r>
    </w:p>
    <w:p w14:paraId="64E64A79" w14:textId="3FE10AF1" w:rsidR="003E5FD3" w:rsidRPr="003E5FD3" w:rsidRDefault="003E5FD3"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892063">
        <w:rPr>
          <w:rFonts w:ascii="Arial" w:hAnsi="Arial" w:cs="Arial"/>
        </w:rPr>
        <w:t>Moving in the right direction</w:t>
      </w:r>
    </w:p>
    <w:p w14:paraId="31AA6030" w14:textId="44F8FC58" w:rsidR="00D812F2" w:rsidRPr="00144685" w:rsidRDefault="00B73C7E" w:rsidP="003C35E3">
      <w:pPr>
        <w:pStyle w:val="DHHSbody"/>
        <w:rPr>
          <w:rStyle w:val="Strong"/>
          <w:rFonts w:cs="Arial"/>
          <w:b w:val="0"/>
          <w:lang w:val="en"/>
        </w:rPr>
      </w:pPr>
      <w:r w:rsidRPr="00144685">
        <w:rPr>
          <w:rStyle w:val="Strong"/>
          <w:rFonts w:cs="Arial"/>
          <w:b w:val="0"/>
          <w:lang w:val="en"/>
        </w:rPr>
        <w:t>Commentary</w:t>
      </w:r>
      <w:r w:rsidR="004A3363" w:rsidRPr="00144685">
        <w:rPr>
          <w:rStyle w:val="Strong"/>
          <w:rFonts w:cs="Arial"/>
          <w:b w:val="0"/>
          <w:lang w:val="en"/>
        </w:rPr>
        <w:t xml:space="preserve">: </w:t>
      </w:r>
      <w:r w:rsidR="00751652" w:rsidRPr="00144685">
        <w:rPr>
          <w:rStyle w:val="Strong"/>
          <w:rFonts w:cs="Arial"/>
          <w:b w:val="0"/>
          <w:lang w:val="en"/>
        </w:rPr>
        <w:t>Globally cancer is expected to rank as the leading cause of death and the single most important barrier to increasing life expectancy in every country of the world in the 21</w:t>
      </w:r>
      <w:r w:rsidR="00751652" w:rsidRPr="007C2FB4">
        <w:rPr>
          <w:rStyle w:val="Strong"/>
          <w:rFonts w:cs="Arial"/>
          <w:b w:val="0"/>
          <w:lang w:val="en"/>
        </w:rPr>
        <w:t>st</w:t>
      </w:r>
      <w:r w:rsidR="00751652" w:rsidRPr="00144685">
        <w:rPr>
          <w:rStyle w:val="Strong"/>
          <w:rFonts w:cs="Arial"/>
          <w:b w:val="0"/>
          <w:lang w:val="en"/>
        </w:rPr>
        <w:t xml:space="preserve"> century. According to World Health Organization estimates in 2015</w:t>
      </w:r>
      <w:r w:rsidR="00A278C1" w:rsidRPr="00144685">
        <w:rPr>
          <w:rStyle w:val="Strong"/>
          <w:rFonts w:cs="Arial"/>
          <w:b w:val="0"/>
          <w:lang w:val="en"/>
        </w:rPr>
        <w:t>,</w:t>
      </w:r>
      <w:r w:rsidR="00751652" w:rsidRPr="00144685">
        <w:rPr>
          <w:rStyle w:val="Strong"/>
          <w:rFonts w:cs="Arial"/>
          <w:b w:val="0"/>
          <w:lang w:val="en"/>
        </w:rPr>
        <w:t xml:space="preserve"> cancer was identified as the first or second leading cause of death before age 70 years in 91 of the 172 countries including Australia</w:t>
      </w:r>
      <w:r w:rsidR="00F93393" w:rsidRPr="00144685">
        <w:rPr>
          <w:rStyle w:val="Strong"/>
          <w:rFonts w:cs="Arial"/>
          <w:b w:val="0"/>
          <w:lang w:val="en"/>
        </w:rPr>
        <w:t xml:space="preserve"> (Figure 2.2)</w:t>
      </w:r>
      <w:r w:rsidR="00236B3E">
        <w:rPr>
          <w:rStyle w:val="Strong"/>
          <w:rFonts w:cs="Arial"/>
          <w:b w:val="0"/>
          <w:lang w:val="en"/>
        </w:rPr>
        <w:t>.</w:t>
      </w:r>
      <w:r w:rsidR="00236B3E" w:rsidRPr="00144685">
        <w:rPr>
          <w:rStyle w:val="FootnoteReference"/>
          <w:rFonts w:cs="Arial"/>
          <w:bCs/>
          <w:lang w:val="en"/>
        </w:rPr>
        <w:footnoteReference w:id="41"/>
      </w:r>
    </w:p>
    <w:p w14:paraId="6C76C5EF" w14:textId="1EEC2724" w:rsidR="00C81391" w:rsidRPr="00C81391" w:rsidRDefault="00CA73CC" w:rsidP="003C35E3">
      <w:pPr>
        <w:pStyle w:val="DHHSbody"/>
        <w:rPr>
          <w:rStyle w:val="Strong"/>
          <w:rFonts w:cs="Arial"/>
          <w:b w:val="0"/>
          <w:lang w:val="en"/>
        </w:rPr>
      </w:pPr>
      <w:r w:rsidRPr="00144685">
        <w:rPr>
          <w:rStyle w:val="Strong"/>
          <w:rFonts w:cs="Arial"/>
          <w:b w:val="0"/>
          <w:lang w:val="en"/>
        </w:rPr>
        <w:t xml:space="preserve">For the purposes of this report, </w:t>
      </w:r>
      <w:r w:rsidR="00854CB4" w:rsidRPr="00144685">
        <w:rPr>
          <w:rStyle w:val="Strong"/>
          <w:rFonts w:cs="Arial"/>
          <w:b w:val="0"/>
          <w:lang w:val="en"/>
        </w:rPr>
        <w:t xml:space="preserve">deaths </w:t>
      </w:r>
      <w:r w:rsidR="00567266" w:rsidRPr="00144685">
        <w:rPr>
          <w:rStyle w:val="Strong"/>
          <w:rFonts w:cs="Arial"/>
          <w:b w:val="0"/>
          <w:lang w:val="en"/>
        </w:rPr>
        <w:t xml:space="preserve">from cancer </w:t>
      </w:r>
      <w:r w:rsidR="00854CB4" w:rsidRPr="00144685">
        <w:rPr>
          <w:rStyle w:val="Strong"/>
          <w:rFonts w:cs="Arial"/>
          <w:b w:val="0"/>
          <w:lang w:val="en"/>
        </w:rPr>
        <w:t>among people under 75 years of age are considered premature.</w:t>
      </w:r>
      <w:r w:rsidR="00AA1BA6" w:rsidRPr="00144685">
        <w:rPr>
          <w:rStyle w:val="Strong"/>
          <w:rFonts w:cs="Arial"/>
          <w:b w:val="0"/>
          <w:lang w:val="en"/>
        </w:rPr>
        <w:t xml:space="preserve"> </w:t>
      </w:r>
      <w:r w:rsidR="00567266" w:rsidRPr="00144685">
        <w:rPr>
          <w:rStyle w:val="Strong"/>
          <w:rFonts w:cs="Arial"/>
          <w:b w:val="0"/>
          <w:lang w:val="en"/>
        </w:rPr>
        <w:t>Figure</w:t>
      </w:r>
      <w:r w:rsidR="00C81391">
        <w:rPr>
          <w:rStyle w:val="Strong"/>
          <w:rFonts w:cs="Arial"/>
          <w:b w:val="0"/>
          <w:lang w:val="en"/>
        </w:rPr>
        <w:t>s</w:t>
      </w:r>
      <w:r w:rsidR="00567266" w:rsidRPr="00144685">
        <w:rPr>
          <w:rStyle w:val="Strong"/>
          <w:rFonts w:cs="Arial"/>
          <w:b w:val="0"/>
          <w:lang w:val="en"/>
        </w:rPr>
        <w:t xml:space="preserve"> 2.2.1</w:t>
      </w:r>
      <w:r w:rsidR="00141028">
        <w:rPr>
          <w:rStyle w:val="Strong"/>
          <w:rFonts w:cs="Arial"/>
          <w:b w:val="0"/>
          <w:lang w:val="en"/>
        </w:rPr>
        <w:t xml:space="preserve">, </w:t>
      </w:r>
      <w:r w:rsidR="00C81391">
        <w:rPr>
          <w:rStyle w:val="Strong"/>
          <w:rFonts w:cs="Arial"/>
          <w:b w:val="0"/>
          <w:lang w:val="en"/>
        </w:rPr>
        <w:t>2.2.2</w:t>
      </w:r>
      <w:r w:rsidR="00567266" w:rsidRPr="00144685">
        <w:rPr>
          <w:rStyle w:val="Strong"/>
          <w:rFonts w:cs="Arial"/>
          <w:b w:val="0"/>
          <w:lang w:val="en"/>
        </w:rPr>
        <w:t xml:space="preserve"> </w:t>
      </w:r>
      <w:r w:rsidR="00141028">
        <w:rPr>
          <w:rStyle w:val="Strong"/>
          <w:rFonts w:cs="Arial"/>
          <w:b w:val="0"/>
          <w:lang w:val="en"/>
        </w:rPr>
        <w:t xml:space="preserve">and Table 2.1 </w:t>
      </w:r>
      <w:r w:rsidR="00567266" w:rsidRPr="00144685">
        <w:rPr>
          <w:rStyle w:val="Strong"/>
          <w:rFonts w:cs="Arial"/>
          <w:b w:val="0"/>
          <w:lang w:val="en"/>
        </w:rPr>
        <w:t>show that</w:t>
      </w:r>
      <w:r w:rsidR="008B1C91" w:rsidRPr="00144685">
        <w:rPr>
          <w:rStyle w:val="Strong"/>
          <w:rFonts w:cs="Arial"/>
          <w:b w:val="0"/>
          <w:lang w:val="en"/>
        </w:rPr>
        <w:t xml:space="preserve"> overall</w:t>
      </w:r>
      <w:r w:rsidR="00567266" w:rsidRPr="00144685">
        <w:rPr>
          <w:rStyle w:val="Strong"/>
          <w:rFonts w:cs="Arial"/>
          <w:b w:val="0"/>
          <w:lang w:val="en"/>
        </w:rPr>
        <w:t xml:space="preserve"> the premature death rate </w:t>
      </w:r>
      <w:r w:rsidR="00465EF9" w:rsidRPr="00144685">
        <w:rPr>
          <w:rStyle w:val="Strong"/>
          <w:rFonts w:cs="Arial"/>
          <w:b w:val="0"/>
          <w:lang w:val="en"/>
        </w:rPr>
        <w:t>ha</w:t>
      </w:r>
      <w:r w:rsidR="00567266" w:rsidRPr="00144685">
        <w:rPr>
          <w:rStyle w:val="Strong"/>
          <w:rFonts w:cs="Arial"/>
          <w:b w:val="0"/>
          <w:lang w:val="en"/>
        </w:rPr>
        <w:t>s chang</w:t>
      </w:r>
      <w:r w:rsidR="00465EF9" w:rsidRPr="00144685">
        <w:rPr>
          <w:rStyle w:val="Strong"/>
          <w:rFonts w:cs="Arial"/>
          <w:b w:val="0"/>
          <w:lang w:val="en"/>
        </w:rPr>
        <w:t>ed</w:t>
      </w:r>
      <w:r w:rsidR="00567266" w:rsidRPr="00144685">
        <w:rPr>
          <w:rStyle w:val="Strong"/>
          <w:rFonts w:cs="Arial"/>
          <w:b w:val="0"/>
          <w:lang w:val="en"/>
        </w:rPr>
        <w:t xml:space="preserve"> over time</w:t>
      </w:r>
      <w:r w:rsidR="00900D4D" w:rsidRPr="00144685">
        <w:rPr>
          <w:rStyle w:val="Strong"/>
          <w:rFonts w:cs="Arial"/>
          <w:b w:val="0"/>
          <w:lang w:val="en"/>
        </w:rPr>
        <w:t xml:space="preserve"> </w:t>
      </w:r>
      <w:r w:rsidR="00B47C64" w:rsidRPr="00144685">
        <w:rPr>
          <w:rStyle w:val="Strong"/>
          <w:rFonts w:cs="Arial"/>
          <w:b w:val="0"/>
          <w:lang w:val="en"/>
        </w:rPr>
        <w:t xml:space="preserve">from </w:t>
      </w:r>
      <w:r w:rsidR="00900D4D" w:rsidRPr="00144685">
        <w:rPr>
          <w:rStyle w:val="Strong"/>
          <w:rFonts w:cs="Arial"/>
          <w:b w:val="0"/>
          <w:lang w:val="en"/>
        </w:rPr>
        <w:t>91 per 100,000 population in 2010 to 76 per 100,000 in 2017</w:t>
      </w:r>
      <w:r w:rsidR="00044C6F">
        <w:rPr>
          <w:rStyle w:val="Strong"/>
          <w:rFonts w:cs="Arial"/>
          <w:b w:val="0"/>
          <w:lang w:val="en"/>
        </w:rPr>
        <w:t>, most</w:t>
      </w:r>
      <w:r w:rsidR="00144685" w:rsidRPr="00144685">
        <w:rPr>
          <w:rStyle w:val="Strong"/>
          <w:rFonts w:cs="Arial"/>
          <w:b w:val="0"/>
          <w:lang w:val="en"/>
        </w:rPr>
        <w:t xml:space="preserve"> </w:t>
      </w:r>
      <w:r w:rsidR="00621D3F">
        <w:rPr>
          <w:rStyle w:val="Strong"/>
          <w:rFonts w:cs="Arial"/>
          <w:b w:val="0"/>
          <w:lang w:val="en"/>
        </w:rPr>
        <w:t xml:space="preserve">likely </w:t>
      </w:r>
      <w:r w:rsidR="00144685" w:rsidRPr="00144685">
        <w:rPr>
          <w:rStyle w:val="Strong"/>
          <w:rFonts w:cs="Arial"/>
          <w:b w:val="0"/>
          <w:lang w:val="en"/>
        </w:rPr>
        <w:t>due</w:t>
      </w:r>
      <w:r w:rsidR="00F56EA3">
        <w:rPr>
          <w:rStyle w:val="Strong"/>
          <w:rFonts w:cs="Arial"/>
          <w:b w:val="0"/>
          <w:lang w:val="en"/>
        </w:rPr>
        <w:t xml:space="preserve"> to</w:t>
      </w:r>
      <w:r w:rsidR="00144685" w:rsidRPr="00144685">
        <w:rPr>
          <w:rStyle w:val="Strong"/>
          <w:rFonts w:cs="Arial"/>
          <w:b w:val="0"/>
          <w:lang w:val="en"/>
        </w:rPr>
        <w:t xml:space="preserve"> </w:t>
      </w:r>
      <w:r w:rsidR="00144685" w:rsidRPr="00144685">
        <w:t>preventive and therapeutic interventions</w:t>
      </w:r>
      <w:r w:rsidR="00900D4D" w:rsidRPr="00144685">
        <w:rPr>
          <w:rStyle w:val="Strong"/>
          <w:rFonts w:cs="Arial"/>
          <w:b w:val="0"/>
          <w:lang w:val="en"/>
        </w:rPr>
        <w:t>.</w:t>
      </w:r>
      <w:r w:rsidR="00952FC7">
        <w:rPr>
          <w:rStyle w:val="Strong"/>
          <w:rFonts w:cs="Arial"/>
          <w:b w:val="0"/>
          <w:lang w:val="en"/>
        </w:rPr>
        <w:t xml:space="preserve"> </w:t>
      </w:r>
      <w:r w:rsidR="00621D3F">
        <w:rPr>
          <w:rStyle w:val="Strong"/>
          <w:rFonts w:cs="Arial"/>
          <w:b w:val="0"/>
          <w:lang w:val="en"/>
        </w:rPr>
        <w:t xml:space="preserve">The </w:t>
      </w:r>
      <w:r w:rsidR="0078507A">
        <w:rPr>
          <w:rStyle w:val="Strong"/>
          <w:rFonts w:cs="Arial"/>
          <w:b w:val="0"/>
          <w:lang w:val="en"/>
        </w:rPr>
        <w:t>mortality</w:t>
      </w:r>
      <w:r w:rsidR="00621D3F">
        <w:rPr>
          <w:rStyle w:val="Strong"/>
          <w:rFonts w:cs="Arial"/>
          <w:b w:val="0"/>
          <w:lang w:val="en"/>
        </w:rPr>
        <w:t xml:space="preserve"> rate is </w:t>
      </w:r>
      <w:r w:rsidR="00C81391">
        <w:rPr>
          <w:rStyle w:val="Strong"/>
          <w:rFonts w:cs="Arial"/>
          <w:b w:val="0"/>
          <w:lang w:val="en"/>
        </w:rPr>
        <w:t xml:space="preserve">steadily </w:t>
      </w:r>
      <w:r w:rsidR="00621D3F">
        <w:rPr>
          <w:rStyle w:val="Strong"/>
          <w:rFonts w:cs="Arial"/>
          <w:b w:val="0"/>
          <w:lang w:val="en"/>
        </w:rPr>
        <w:t>decreasing for both genders</w:t>
      </w:r>
      <w:r w:rsidR="00044C6F">
        <w:rPr>
          <w:rStyle w:val="Strong"/>
          <w:rFonts w:cs="Arial"/>
          <w:b w:val="0"/>
          <w:lang w:val="en"/>
        </w:rPr>
        <w:t>,</w:t>
      </w:r>
      <w:r w:rsidR="00621D3F">
        <w:rPr>
          <w:rStyle w:val="Strong"/>
          <w:rFonts w:cs="Arial"/>
          <w:b w:val="0"/>
          <w:lang w:val="en"/>
        </w:rPr>
        <w:t xml:space="preserve"> although the </w:t>
      </w:r>
      <w:r w:rsidR="00C81391">
        <w:rPr>
          <w:rStyle w:val="Strong"/>
          <w:rFonts w:cs="Arial"/>
          <w:b w:val="0"/>
          <w:lang w:val="en"/>
        </w:rPr>
        <w:t xml:space="preserve">higher </w:t>
      </w:r>
      <w:r w:rsidR="00621D3F">
        <w:rPr>
          <w:rStyle w:val="Strong"/>
          <w:rFonts w:cs="Arial"/>
          <w:b w:val="0"/>
          <w:lang w:val="en"/>
        </w:rPr>
        <w:t>premature death rate for males</w:t>
      </w:r>
      <w:r w:rsidR="00C81391">
        <w:rPr>
          <w:rStyle w:val="Strong"/>
          <w:rFonts w:cs="Arial"/>
          <w:b w:val="0"/>
          <w:lang w:val="en"/>
        </w:rPr>
        <w:t xml:space="preserve"> compared </w:t>
      </w:r>
      <w:r w:rsidR="001B50BF">
        <w:rPr>
          <w:rStyle w:val="Strong"/>
          <w:rFonts w:cs="Arial"/>
          <w:b w:val="0"/>
          <w:lang w:val="en"/>
        </w:rPr>
        <w:t xml:space="preserve">with </w:t>
      </w:r>
      <w:r w:rsidR="00C81391">
        <w:rPr>
          <w:rStyle w:val="Strong"/>
          <w:rFonts w:cs="Arial"/>
          <w:b w:val="0"/>
          <w:lang w:val="en"/>
        </w:rPr>
        <w:t xml:space="preserve">females may </w:t>
      </w:r>
      <w:r w:rsidR="00706921">
        <w:rPr>
          <w:rStyle w:val="Strong"/>
          <w:rFonts w:cs="Arial"/>
          <w:b w:val="0"/>
          <w:lang w:val="en"/>
        </w:rPr>
        <w:t>reflect</w:t>
      </w:r>
      <w:r w:rsidR="00C81391">
        <w:rPr>
          <w:rStyle w:val="Strong"/>
          <w:rFonts w:cs="Arial"/>
          <w:b w:val="0"/>
          <w:lang w:val="en"/>
        </w:rPr>
        <w:t xml:space="preserve"> the underlying trend in incidence rates of lung cancer, the leading cause of cancer deaths in</w:t>
      </w:r>
      <w:r w:rsidR="00772E0B">
        <w:rPr>
          <w:rStyle w:val="Strong"/>
          <w:rFonts w:cs="Arial"/>
          <w:b w:val="0"/>
          <w:lang w:val="en"/>
        </w:rPr>
        <w:t xml:space="preserve"> Victorian</w:t>
      </w:r>
      <w:r w:rsidR="00C81391">
        <w:rPr>
          <w:rStyle w:val="Strong"/>
          <w:rFonts w:cs="Arial"/>
          <w:b w:val="0"/>
          <w:lang w:val="en"/>
        </w:rPr>
        <w:t xml:space="preserve"> males (Figures 2.2.1 and 2.2.2).</w:t>
      </w:r>
    </w:p>
    <w:p w14:paraId="4DD288CD" w14:textId="129E3D67" w:rsidR="00172114" w:rsidRDefault="00CD6F49" w:rsidP="003C35E3">
      <w:pPr>
        <w:pStyle w:val="DHHSbody"/>
        <w:rPr>
          <w:lang w:val="en"/>
        </w:rPr>
      </w:pPr>
      <w:r w:rsidRPr="00144685">
        <w:rPr>
          <w:lang w:val="en"/>
        </w:rPr>
        <w:t>While the p</w:t>
      </w:r>
      <w:r w:rsidR="00567266" w:rsidRPr="00144685">
        <w:rPr>
          <w:lang w:val="en"/>
        </w:rPr>
        <w:t>remature</w:t>
      </w:r>
      <w:r w:rsidR="00B66576">
        <w:rPr>
          <w:lang w:val="en"/>
        </w:rPr>
        <w:t xml:space="preserve"> pattern in</w:t>
      </w:r>
      <w:r w:rsidR="00567266" w:rsidRPr="00144685">
        <w:rPr>
          <w:lang w:val="en"/>
        </w:rPr>
        <w:t xml:space="preserve"> </w:t>
      </w:r>
      <w:r w:rsidRPr="00144685">
        <w:rPr>
          <w:lang w:val="en"/>
        </w:rPr>
        <w:t>death rate</w:t>
      </w:r>
      <w:r w:rsidR="00FA343A">
        <w:rPr>
          <w:lang w:val="en"/>
        </w:rPr>
        <w:t>s</w:t>
      </w:r>
      <w:r w:rsidRPr="00144685">
        <w:rPr>
          <w:lang w:val="en"/>
        </w:rPr>
        <w:t xml:space="preserve"> is </w:t>
      </w:r>
      <w:r w:rsidR="00685736">
        <w:rPr>
          <w:lang w:val="en"/>
        </w:rPr>
        <w:t xml:space="preserve">steadily </w:t>
      </w:r>
      <w:r w:rsidRPr="00144685">
        <w:rPr>
          <w:lang w:val="en"/>
        </w:rPr>
        <w:t>declining in Victoria</w:t>
      </w:r>
      <w:r w:rsidR="003E0542">
        <w:rPr>
          <w:lang w:val="en"/>
        </w:rPr>
        <w:t xml:space="preserve"> overall</w:t>
      </w:r>
      <w:r w:rsidR="00567266" w:rsidRPr="00144685">
        <w:rPr>
          <w:lang w:val="en"/>
        </w:rPr>
        <w:t xml:space="preserve">, </w:t>
      </w:r>
      <w:r w:rsidRPr="00144685">
        <w:rPr>
          <w:lang w:val="en"/>
        </w:rPr>
        <w:t xml:space="preserve">Figure 2.2.2 shows </w:t>
      </w:r>
      <w:r w:rsidR="00567266" w:rsidRPr="00144685">
        <w:rPr>
          <w:lang w:val="en"/>
        </w:rPr>
        <w:t>there has been considerable variation in the rate</w:t>
      </w:r>
      <w:r w:rsidR="00CC16F1">
        <w:rPr>
          <w:lang w:val="en"/>
        </w:rPr>
        <w:t>s</w:t>
      </w:r>
      <w:r w:rsidR="00567266" w:rsidRPr="00144685">
        <w:rPr>
          <w:lang w:val="en"/>
        </w:rPr>
        <w:t xml:space="preserve"> of decline across </w:t>
      </w:r>
      <w:r w:rsidR="001A548F" w:rsidRPr="00144685">
        <w:rPr>
          <w:lang w:val="en"/>
        </w:rPr>
        <w:t>SES</w:t>
      </w:r>
      <w:r w:rsidR="00044C6F">
        <w:rPr>
          <w:lang w:val="en"/>
        </w:rPr>
        <w:t>,</w:t>
      </w:r>
      <w:r w:rsidR="001A548F" w:rsidRPr="00144685">
        <w:rPr>
          <w:lang w:val="en"/>
        </w:rPr>
        <w:t xml:space="preserve"> </w:t>
      </w:r>
      <w:r w:rsidR="00172114">
        <w:rPr>
          <w:lang w:val="en"/>
        </w:rPr>
        <w:t>with higher</w:t>
      </w:r>
      <w:r w:rsidR="00B66576">
        <w:rPr>
          <w:lang w:val="en"/>
        </w:rPr>
        <w:t xml:space="preserve"> premature death rates being associated with the most disadvantaged SES.</w:t>
      </w:r>
      <w:r w:rsidR="00952FC7">
        <w:rPr>
          <w:lang w:val="en"/>
        </w:rPr>
        <w:t xml:space="preserve"> </w:t>
      </w:r>
      <w:r w:rsidR="00B66576">
        <w:rPr>
          <w:lang w:val="en"/>
        </w:rPr>
        <w:t xml:space="preserve">Variations </w:t>
      </w:r>
      <w:r w:rsidR="00030441">
        <w:rPr>
          <w:lang w:val="en"/>
        </w:rPr>
        <w:t xml:space="preserve">in </w:t>
      </w:r>
      <w:r w:rsidR="00B66576">
        <w:rPr>
          <w:lang w:val="en"/>
        </w:rPr>
        <w:t>remoteness</w:t>
      </w:r>
      <w:r w:rsidR="00143D63">
        <w:rPr>
          <w:lang w:val="en"/>
        </w:rPr>
        <w:t xml:space="preserve"> and by LGA </w:t>
      </w:r>
      <w:r w:rsidR="00B66576">
        <w:rPr>
          <w:lang w:val="en"/>
        </w:rPr>
        <w:t xml:space="preserve">between 2010 and 2017 </w:t>
      </w:r>
      <w:r w:rsidR="00030441">
        <w:rPr>
          <w:lang w:val="en"/>
        </w:rPr>
        <w:t xml:space="preserve">of premature death rates </w:t>
      </w:r>
      <w:r w:rsidR="00B66576">
        <w:rPr>
          <w:lang w:val="en"/>
        </w:rPr>
        <w:t>also show th</w:t>
      </w:r>
      <w:r w:rsidR="00044C6F">
        <w:rPr>
          <w:lang w:val="en"/>
        </w:rPr>
        <w:t>e</w:t>
      </w:r>
      <w:r w:rsidR="00B66576">
        <w:rPr>
          <w:lang w:val="en"/>
        </w:rPr>
        <w:t xml:space="preserve"> </w:t>
      </w:r>
      <w:r w:rsidR="00030441">
        <w:rPr>
          <w:lang w:val="en"/>
        </w:rPr>
        <w:t xml:space="preserve">overall the rate was higher in the outer regional/remote Victorian areas compared </w:t>
      </w:r>
      <w:r w:rsidR="001B50BF">
        <w:rPr>
          <w:lang w:val="en"/>
        </w:rPr>
        <w:t xml:space="preserve">with </w:t>
      </w:r>
      <w:r w:rsidR="00030441">
        <w:rPr>
          <w:lang w:val="en"/>
        </w:rPr>
        <w:t>major cities</w:t>
      </w:r>
      <w:r w:rsidR="00143D63">
        <w:rPr>
          <w:lang w:val="en"/>
        </w:rPr>
        <w:t xml:space="preserve"> (Figures 2.2.3 and 2.2.4)</w:t>
      </w:r>
      <w:r w:rsidR="00030441">
        <w:rPr>
          <w:lang w:val="en"/>
        </w:rPr>
        <w:t>.</w:t>
      </w:r>
      <w:r w:rsidR="00952FC7">
        <w:rPr>
          <w:lang w:val="en"/>
        </w:rPr>
        <w:t xml:space="preserve"> </w:t>
      </w:r>
      <w:r w:rsidR="00E2717C">
        <w:rPr>
          <w:lang w:val="en"/>
        </w:rPr>
        <w:t>In addition, and of concern, is the increase from 167 per 100,000 population in 2010 to 235 per 100,000 population in 2017 in the age-standardised premature death rate for Aboriginal</w:t>
      </w:r>
      <w:r w:rsidR="00236B3E">
        <w:rPr>
          <w:lang w:val="en"/>
        </w:rPr>
        <w:t xml:space="preserve"> Victorian</w:t>
      </w:r>
      <w:r w:rsidR="00E2717C">
        <w:rPr>
          <w:lang w:val="en"/>
        </w:rPr>
        <w:t xml:space="preserve">s. </w:t>
      </w:r>
      <w:r w:rsidR="00030441">
        <w:rPr>
          <w:lang w:val="en"/>
        </w:rPr>
        <w:t>Th</w:t>
      </w:r>
      <w:r w:rsidR="006F79A7">
        <w:rPr>
          <w:lang w:val="en"/>
        </w:rPr>
        <w:t xml:space="preserve">is </w:t>
      </w:r>
      <w:r w:rsidR="00E54B09">
        <w:rPr>
          <w:lang w:val="en"/>
        </w:rPr>
        <w:t xml:space="preserve">observation </w:t>
      </w:r>
      <w:r w:rsidR="00030441">
        <w:rPr>
          <w:lang w:val="en"/>
        </w:rPr>
        <w:t>may due to difference in access to and outcome of cancer control activities such as screening, diagnosis, treatment and follow-up.</w:t>
      </w:r>
      <w:r w:rsidR="00952FC7">
        <w:rPr>
          <w:lang w:val="en"/>
        </w:rPr>
        <w:t xml:space="preserve"> </w:t>
      </w:r>
      <w:r w:rsidR="00143D63">
        <w:rPr>
          <w:lang w:val="en"/>
        </w:rPr>
        <w:t>The Victorian death rate for all cancers combined by ICS showed higher rates in the rural/regional ICS compared to the metropolitan ICSs (NEMICS, SMICS and WCMICS)</w:t>
      </w:r>
      <w:r w:rsidR="00121E82">
        <w:rPr>
          <w:lang w:val="en"/>
        </w:rPr>
        <w:t xml:space="preserve"> (Figure 2.2.5)</w:t>
      </w:r>
      <w:r w:rsidR="00143D63">
        <w:rPr>
          <w:lang w:val="en"/>
        </w:rPr>
        <w:t>.</w:t>
      </w:r>
    </w:p>
    <w:p w14:paraId="0DD0E74F" w14:textId="7EEBE957" w:rsidR="00030441" w:rsidRPr="0011089F" w:rsidRDefault="00706921" w:rsidP="003C35E3">
      <w:pPr>
        <w:pStyle w:val="DHHSbody"/>
        <w:rPr>
          <w:lang w:val="en"/>
        </w:rPr>
      </w:pPr>
      <w:r>
        <w:rPr>
          <w:lang w:val="en"/>
        </w:rPr>
        <w:t xml:space="preserve">The target for this measure is </w:t>
      </w:r>
      <w:r w:rsidR="00044C6F">
        <w:rPr>
          <w:lang w:val="en"/>
        </w:rPr>
        <w:t xml:space="preserve">a </w:t>
      </w:r>
      <w:r>
        <w:rPr>
          <w:lang w:val="en"/>
        </w:rPr>
        <w:t>25 per cent decrease in premature deaths due to cancer by 2025 from the baseline year</w:t>
      </w:r>
      <w:r w:rsidR="0078507A">
        <w:rPr>
          <w:lang w:val="en"/>
        </w:rPr>
        <w:t xml:space="preserve"> (baseline 2010 = 91</w:t>
      </w:r>
      <w:r w:rsidR="00044C6F">
        <w:rPr>
          <w:lang w:val="en"/>
        </w:rPr>
        <w:t>,</w:t>
      </w:r>
      <w:r w:rsidR="00FB08ED">
        <w:rPr>
          <w:lang w:val="en"/>
        </w:rPr>
        <w:t xml:space="preserve"> </w:t>
      </w:r>
      <w:r w:rsidR="00485B31">
        <w:rPr>
          <w:lang w:val="en"/>
        </w:rPr>
        <w:t>which means the target in 2025 will be 68)</w:t>
      </w:r>
      <w:r>
        <w:rPr>
          <w:lang w:val="en"/>
        </w:rPr>
        <w:t>.</w:t>
      </w:r>
      <w:r w:rsidR="00952FC7">
        <w:rPr>
          <w:lang w:val="en"/>
        </w:rPr>
        <w:t xml:space="preserve"> </w:t>
      </w:r>
      <w:r>
        <w:rPr>
          <w:lang w:val="en"/>
        </w:rPr>
        <w:t xml:space="preserve">Figure 2.2 shows that </w:t>
      </w:r>
      <w:r w:rsidR="00E2717C">
        <w:rPr>
          <w:lang w:val="en"/>
        </w:rPr>
        <w:t xml:space="preserve">overall </w:t>
      </w:r>
      <w:r>
        <w:rPr>
          <w:lang w:val="en"/>
        </w:rPr>
        <w:t xml:space="preserve">Victoria is </w:t>
      </w:r>
      <w:r w:rsidR="00287003">
        <w:rPr>
          <w:lang w:val="en"/>
        </w:rPr>
        <w:t>moving in the right direction, suggesting that the effectiveness of the health system as it relates to cancer has improved overall</w:t>
      </w:r>
      <w:r w:rsidR="00FA343A">
        <w:rPr>
          <w:lang w:val="en"/>
        </w:rPr>
        <w:t xml:space="preserve"> outcomes.</w:t>
      </w:r>
      <w:r w:rsidR="00952FC7">
        <w:rPr>
          <w:lang w:val="en"/>
        </w:rPr>
        <w:t xml:space="preserve"> </w:t>
      </w:r>
      <w:r w:rsidR="00287003">
        <w:rPr>
          <w:lang w:val="en"/>
        </w:rPr>
        <w:t xml:space="preserve">However, the findings </w:t>
      </w:r>
      <w:r w:rsidR="004D7F2D">
        <w:t xml:space="preserve">by Aboriginal and </w:t>
      </w:r>
      <w:r w:rsidR="00DE7FFE">
        <w:t>SES</w:t>
      </w:r>
      <w:r w:rsidR="004D7F2D">
        <w:t xml:space="preserve"> show that</w:t>
      </w:r>
      <w:r w:rsidR="00287003">
        <w:rPr>
          <w:lang w:val="en"/>
        </w:rPr>
        <w:t xml:space="preserve"> </w:t>
      </w:r>
      <w:r w:rsidR="004D7F2D">
        <w:t>not all Victorians have benefited</w:t>
      </w:r>
      <w:r w:rsidR="00834F58">
        <w:t>.</w:t>
      </w:r>
      <w:r w:rsidR="00030441">
        <w:br w:type="page"/>
      </w:r>
    </w:p>
    <w:p w14:paraId="416DE623" w14:textId="4062151E" w:rsidR="00665D4B" w:rsidRDefault="006624DA" w:rsidP="00665D4B">
      <w:pPr>
        <w:pStyle w:val="Heading3"/>
        <w:rPr>
          <w:lang w:eastAsia="en-AU"/>
        </w:rPr>
      </w:pPr>
      <w:bookmarkStart w:id="263" w:name="_Measure_2.3_–"/>
      <w:bookmarkStart w:id="264" w:name="_Toc19008033"/>
      <w:bookmarkEnd w:id="263"/>
      <w:r>
        <w:rPr>
          <w:lang w:eastAsia="en-AU"/>
        </w:rPr>
        <w:lastRenderedPageBreak/>
        <w:t>Measure 2.3 – Number of deaths averted based on expected number of deaths</w:t>
      </w:r>
      <w:bookmarkEnd w:id="264"/>
    </w:p>
    <w:p w14:paraId="4A693DCB" w14:textId="7EFE8EB5" w:rsidR="00C03FBD" w:rsidRDefault="00C03FBD" w:rsidP="001A17B2">
      <w:pPr>
        <w:pStyle w:val="DHHSfigurecaption"/>
      </w:pPr>
      <w:bookmarkStart w:id="265" w:name="_Toc19008034"/>
      <w:bookmarkStart w:id="266" w:name="_Toc19008286"/>
      <w:bookmarkStart w:id="267" w:name="_Toc19008433"/>
      <w:bookmarkStart w:id="268" w:name="_Toc19008580"/>
      <w:bookmarkStart w:id="269" w:name="_Toc27414289"/>
      <w:r w:rsidRPr="00C57300">
        <w:t>Figure 2.3</w:t>
      </w:r>
      <w:r w:rsidR="00C17266">
        <w:t>:</w:t>
      </w:r>
      <w:r w:rsidRPr="00C57300">
        <w:t xml:space="preserve"> </w:t>
      </w:r>
      <w:r w:rsidR="00941033">
        <w:t>N</w:t>
      </w:r>
      <w:r w:rsidR="00BB2A45" w:rsidRPr="00C57300">
        <w:t xml:space="preserve">umber of deaths averted </w:t>
      </w:r>
      <w:r w:rsidR="00C57300" w:rsidRPr="00C57300">
        <w:t xml:space="preserve">in Victoria </w:t>
      </w:r>
      <w:r w:rsidR="00BB2A45" w:rsidRPr="00C57300">
        <w:t>based</w:t>
      </w:r>
      <w:r w:rsidR="00C57300" w:rsidRPr="00C57300">
        <w:t xml:space="preserve"> </w:t>
      </w:r>
      <w:r w:rsidR="00BB2A45" w:rsidRPr="00C57300">
        <w:t>on expected number of deaths</w:t>
      </w:r>
      <w:r w:rsidR="00C57300" w:rsidRPr="00C57300">
        <w:t xml:space="preserve"> by year, 2015</w:t>
      </w:r>
      <w:r w:rsidR="00C17266">
        <w:t>–</w:t>
      </w:r>
      <w:r w:rsidR="00C57300" w:rsidRPr="00C57300">
        <w:t>2017</w:t>
      </w:r>
      <w:bookmarkEnd w:id="265"/>
      <w:bookmarkEnd w:id="266"/>
      <w:bookmarkEnd w:id="267"/>
      <w:bookmarkEnd w:id="268"/>
      <w:bookmarkEnd w:id="269"/>
    </w:p>
    <w:p w14:paraId="02483F3F" w14:textId="7F7032F0" w:rsidR="001A60B7" w:rsidRPr="001A60B7" w:rsidRDefault="00133135" w:rsidP="001A60B7">
      <w:pPr>
        <w:pStyle w:val="DHHSbody"/>
      </w:pPr>
      <w:r>
        <w:rPr>
          <w:noProof/>
        </w:rPr>
        <w:drawing>
          <wp:inline distT="0" distB="0" distL="0" distR="0" wp14:anchorId="741DF087" wp14:editId="593F2665">
            <wp:extent cx="6992620" cy="3365500"/>
            <wp:effectExtent l="0" t="0" r="0" b="6350"/>
            <wp:docPr id="24" name="Picture 24" descr="This figure shows the number of deaths averted and cumulative sum in Victoria based on expected numbers of deaths by year 2015 to 2017. The data is presented on th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992620" cy="3365500"/>
                    </a:xfrm>
                    <a:prstGeom prst="rect">
                      <a:avLst/>
                    </a:prstGeom>
                    <a:noFill/>
                  </pic:spPr>
                </pic:pic>
              </a:graphicData>
            </a:graphic>
          </wp:inline>
        </w:drawing>
      </w:r>
    </w:p>
    <w:p w14:paraId="4C400A58" w14:textId="0F233F4F" w:rsidR="009B6E69" w:rsidRPr="00A816AA" w:rsidRDefault="009B6E69" w:rsidP="008151DC">
      <w:pPr>
        <w:pStyle w:val="DHHStablefigurenote"/>
      </w:pPr>
      <w:r w:rsidRPr="00A816AA">
        <w:t>Notes:</w:t>
      </w:r>
    </w:p>
    <w:p w14:paraId="31F79C06" w14:textId="6E29D7C0" w:rsidR="009B6E69" w:rsidRPr="00A816AA" w:rsidRDefault="009B6E69" w:rsidP="008151DC">
      <w:pPr>
        <w:pStyle w:val="DHHStablefigurenote"/>
      </w:pPr>
      <w:r w:rsidRPr="00A816AA">
        <w:t xml:space="preserve">At the time of writing, </w:t>
      </w:r>
      <w:r w:rsidR="00AE433F">
        <w:t xml:space="preserve">the </w:t>
      </w:r>
      <w:r w:rsidRPr="00A816AA">
        <w:t>ERP for 2017 ha</w:t>
      </w:r>
      <w:r w:rsidR="00324CFD" w:rsidRPr="00A816AA">
        <w:t>d</w:t>
      </w:r>
      <w:r w:rsidRPr="00A816AA">
        <w:t xml:space="preserve"> not been finalised. The ERP for 2016 and years prior to 2016 ha</w:t>
      </w:r>
      <w:r w:rsidR="00D65946" w:rsidRPr="00A816AA">
        <w:t>s</w:t>
      </w:r>
      <w:r w:rsidRPr="00A816AA">
        <w:t xml:space="preserve"> been finalised. Results for 2017 may differ in future iterations of this report.</w:t>
      </w:r>
    </w:p>
    <w:p w14:paraId="3861E6A5" w14:textId="27DBAB11" w:rsidR="009B6E69" w:rsidRPr="00A816AA" w:rsidRDefault="009B6E69" w:rsidP="008151DC">
      <w:pPr>
        <w:pStyle w:val="DHHStablefigurenote"/>
      </w:pPr>
      <w:r w:rsidRPr="00A816AA">
        <w:t>VCR mortality data set was extracted on 11 April 2019</w:t>
      </w:r>
      <w:r w:rsidR="0010332B">
        <w:t>.</w:t>
      </w:r>
    </w:p>
    <w:p w14:paraId="3A6B1DA2" w14:textId="599AC595" w:rsidR="00665D4B" w:rsidRPr="00E060C8" w:rsidRDefault="00665D4B" w:rsidP="00E060C8">
      <w:pPr>
        <w:pStyle w:val="Heading4"/>
      </w:pPr>
      <w:r w:rsidRPr="00E43803">
        <w:t>Measure assessment</w:t>
      </w:r>
    </w:p>
    <w:p w14:paraId="08AE6BEB" w14:textId="219ADDD7" w:rsidR="003E5FD3" w:rsidRPr="00E060C8" w:rsidRDefault="003E5FD3" w:rsidP="00E060C8">
      <w:pPr>
        <w:autoSpaceDE w:val="0"/>
        <w:autoSpaceDN w:val="0"/>
        <w:adjustRightInd w:val="0"/>
        <w:spacing w:after="120" w:line="270" w:lineRule="atLeast"/>
        <w:rPr>
          <w:rFonts w:ascii="Arial" w:hAnsi="Arial" w:cs="Arial"/>
          <w:color w:val="00B050"/>
        </w:rPr>
      </w:pPr>
      <w:r w:rsidRPr="009F01B1">
        <w:rPr>
          <w:rFonts w:ascii="Arial" w:hAnsi="Arial" w:cs="Arial"/>
        </w:rPr>
        <w:t xml:space="preserve">Traffic light rating: </w:t>
      </w:r>
      <w:r w:rsidR="00C03FBD" w:rsidRPr="00061321">
        <w:rPr>
          <w:rFonts w:ascii="Arial" w:hAnsi="Arial" w:cs="Arial"/>
          <w:b/>
          <w:color w:val="007B4B"/>
        </w:rPr>
        <w:t>Green</w:t>
      </w:r>
      <w:r w:rsidR="00061321">
        <w:rPr>
          <w:rFonts w:ascii="Arial" w:hAnsi="Arial" w:cs="Arial"/>
          <w:b/>
          <w:color w:val="007B4B"/>
        </w:rPr>
        <w:t xml:space="preserve"> </w:t>
      </w:r>
      <w:r w:rsidR="00061321" w:rsidRPr="00061321">
        <w:rPr>
          <w:rFonts w:ascii="Arial" w:hAnsi="Arial" w:cs="Arial"/>
          <w:color w:val="007B4B"/>
        </w:rPr>
        <w:t>(satisfactory result)</w:t>
      </w:r>
    </w:p>
    <w:p w14:paraId="00F23626" w14:textId="4D3D4C7C" w:rsidR="003E5FD3" w:rsidRPr="003E5FD3" w:rsidRDefault="003E5FD3"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FB5CEF">
        <w:rPr>
          <w:rFonts w:ascii="Arial" w:hAnsi="Arial" w:cs="Arial"/>
        </w:rPr>
        <w:t>Moving in the right direction</w:t>
      </w:r>
    </w:p>
    <w:p w14:paraId="74A5643C" w14:textId="6833D768" w:rsidR="00802091" w:rsidRPr="00E76970" w:rsidRDefault="003E5FD3" w:rsidP="00E060C8">
      <w:pPr>
        <w:pStyle w:val="DHHSbody"/>
        <w:rPr>
          <w:rFonts w:cs="Arial"/>
          <w:lang w:eastAsia="en-AU"/>
        </w:rPr>
      </w:pPr>
      <w:r w:rsidRPr="00657C18">
        <w:rPr>
          <w:lang w:eastAsia="en-AU"/>
        </w:rPr>
        <w:t xml:space="preserve">Commentary: </w:t>
      </w:r>
      <w:r w:rsidR="00802091" w:rsidRPr="00E76970">
        <w:rPr>
          <w:rFonts w:cs="Arial"/>
          <w:lang w:eastAsia="en-AU"/>
        </w:rPr>
        <w:t>In A</w:t>
      </w:r>
      <w:r w:rsidR="00E76970" w:rsidRPr="00E76970">
        <w:rPr>
          <w:rFonts w:cs="Arial"/>
          <w:lang w:eastAsia="en-AU"/>
        </w:rPr>
        <w:t>ustralia</w:t>
      </w:r>
      <w:r w:rsidR="00236B3E">
        <w:rPr>
          <w:rFonts w:cs="Arial"/>
          <w:lang w:eastAsia="en-AU"/>
        </w:rPr>
        <w:t>,</w:t>
      </w:r>
      <w:r w:rsidR="00E76970" w:rsidRPr="00E76970">
        <w:rPr>
          <w:rFonts w:cs="Arial"/>
          <w:lang w:eastAsia="en-AU"/>
        </w:rPr>
        <w:t xml:space="preserve"> the number of cancer deaths averted between 2001 and 2010 (based on age and sex-specific death rates for 1997</w:t>
      </w:r>
      <w:r w:rsidR="00690CD3">
        <w:rPr>
          <w:rFonts w:cs="Arial"/>
          <w:lang w:eastAsia="en-AU"/>
        </w:rPr>
        <w:t>–</w:t>
      </w:r>
      <w:r w:rsidR="00E76970" w:rsidRPr="00E76970">
        <w:rPr>
          <w:rFonts w:cs="Arial"/>
          <w:lang w:eastAsia="en-AU"/>
        </w:rPr>
        <w:t>2000) was 31,557 (</w:t>
      </w:r>
      <w:r w:rsidR="00802091" w:rsidRPr="00E76970">
        <w:rPr>
          <w:rFonts w:cs="Arial"/>
          <w:lang w:eastAsia="en-AU"/>
        </w:rPr>
        <w:t>95% CI, 30</w:t>
      </w:r>
      <w:r w:rsidR="007A15D7">
        <w:rPr>
          <w:rFonts w:cs="Arial"/>
          <w:lang w:eastAsia="en-AU"/>
        </w:rPr>
        <w:t>,</w:t>
      </w:r>
      <w:r w:rsidR="00802091" w:rsidRPr="00E76970">
        <w:rPr>
          <w:rFonts w:cs="Arial"/>
          <w:lang w:eastAsia="en-AU"/>
        </w:rPr>
        <w:t>315–32</w:t>
      </w:r>
      <w:r w:rsidR="007A15D7">
        <w:rPr>
          <w:rFonts w:cs="Arial"/>
          <w:lang w:eastAsia="en-AU"/>
        </w:rPr>
        <w:t>,</w:t>
      </w:r>
      <w:r w:rsidR="00802091" w:rsidRPr="00E76970">
        <w:rPr>
          <w:rFonts w:cs="Arial"/>
          <w:lang w:eastAsia="en-AU"/>
        </w:rPr>
        <w:t>796)</w:t>
      </w:r>
      <w:r w:rsidR="00E76970">
        <w:rPr>
          <w:rFonts w:cs="Arial"/>
          <w:lang w:eastAsia="en-AU"/>
        </w:rPr>
        <w:t>.</w:t>
      </w:r>
      <w:r w:rsidR="006A2A8E">
        <w:rPr>
          <w:rStyle w:val="FootnoteReference"/>
          <w:rFonts w:cs="Arial"/>
          <w:lang w:eastAsia="en-AU"/>
        </w:rPr>
        <w:footnoteReference w:id="42"/>
      </w:r>
    </w:p>
    <w:p w14:paraId="1551C9C4" w14:textId="77777777" w:rsidR="000F22EF" w:rsidRDefault="00B243AD" w:rsidP="000F22EF">
      <w:pPr>
        <w:pStyle w:val="DHHSbody"/>
        <w:rPr>
          <w:lang w:eastAsia="en-AU"/>
        </w:rPr>
      </w:pPr>
      <w:r>
        <w:rPr>
          <w:lang w:eastAsia="en-AU"/>
        </w:rPr>
        <w:t xml:space="preserve">Figure </w:t>
      </w:r>
      <w:r w:rsidR="00BB2A45">
        <w:rPr>
          <w:lang w:eastAsia="en-AU"/>
        </w:rPr>
        <w:t>2.3</w:t>
      </w:r>
      <w:r w:rsidR="00C57300">
        <w:rPr>
          <w:lang w:eastAsia="en-AU"/>
        </w:rPr>
        <w:t xml:space="preserve"> shows that the number of </w:t>
      </w:r>
      <w:r w:rsidR="00CA27FB">
        <w:rPr>
          <w:lang w:eastAsia="en-AU"/>
        </w:rPr>
        <w:t>lives in Victoria that were potentially saved from cancer</w:t>
      </w:r>
      <w:r w:rsidR="001D0BDF">
        <w:rPr>
          <w:lang w:eastAsia="en-AU"/>
        </w:rPr>
        <w:t xml:space="preserve"> (or deaths averted)</w:t>
      </w:r>
      <w:r w:rsidR="00CA27FB">
        <w:rPr>
          <w:lang w:eastAsia="en-AU"/>
        </w:rPr>
        <w:t xml:space="preserve"> increased </w:t>
      </w:r>
      <w:r w:rsidR="00475360">
        <w:rPr>
          <w:lang w:eastAsia="en-AU"/>
        </w:rPr>
        <w:t>from</w:t>
      </w:r>
      <w:r w:rsidR="00CA27FB">
        <w:rPr>
          <w:lang w:eastAsia="en-AU"/>
        </w:rPr>
        <w:t xml:space="preserve"> 2015</w:t>
      </w:r>
      <w:r w:rsidR="007A15D7">
        <w:rPr>
          <w:lang w:eastAsia="en-AU"/>
        </w:rPr>
        <w:t>,</w:t>
      </w:r>
      <w:r w:rsidR="00CA27FB">
        <w:rPr>
          <w:lang w:eastAsia="en-AU"/>
        </w:rPr>
        <w:t xml:space="preserve"> with a significant increase between 2016 and 2017. </w:t>
      </w:r>
      <w:r w:rsidR="008C3119">
        <w:rPr>
          <w:lang w:eastAsia="en-AU"/>
        </w:rPr>
        <w:t>At the time of writing this observed increase may be artificial due the Australian Bureau of Statistics</w:t>
      </w:r>
      <w:r w:rsidR="00781191">
        <w:rPr>
          <w:lang w:eastAsia="en-AU"/>
        </w:rPr>
        <w:t xml:space="preserve"> (ABS)</w:t>
      </w:r>
      <w:r w:rsidR="008C3119">
        <w:rPr>
          <w:lang w:eastAsia="en-AU"/>
        </w:rPr>
        <w:t xml:space="preserve"> </w:t>
      </w:r>
      <w:r w:rsidR="007A15D7">
        <w:rPr>
          <w:lang w:eastAsia="en-AU"/>
        </w:rPr>
        <w:t>ERP</w:t>
      </w:r>
      <w:r w:rsidR="008C3119">
        <w:rPr>
          <w:lang w:eastAsia="en-AU"/>
        </w:rPr>
        <w:t xml:space="preserve"> figure not being finalised </w:t>
      </w:r>
      <w:r w:rsidR="00B01023">
        <w:rPr>
          <w:lang w:eastAsia="en-AU"/>
        </w:rPr>
        <w:t>due to outstanding mortality data.</w:t>
      </w:r>
      <w:r w:rsidR="00952FC7">
        <w:rPr>
          <w:lang w:eastAsia="en-AU"/>
        </w:rPr>
        <w:t xml:space="preserve"> </w:t>
      </w:r>
      <w:r w:rsidR="00B01023">
        <w:rPr>
          <w:lang w:eastAsia="en-AU"/>
        </w:rPr>
        <w:t xml:space="preserve">Nevertheless, this </w:t>
      </w:r>
      <w:r w:rsidR="00CA27FB">
        <w:rPr>
          <w:lang w:eastAsia="en-AU"/>
        </w:rPr>
        <w:t xml:space="preserve">overall increase </w:t>
      </w:r>
      <w:r w:rsidR="00B01023">
        <w:rPr>
          <w:lang w:eastAsia="en-AU"/>
        </w:rPr>
        <w:t xml:space="preserve">over this period </w:t>
      </w:r>
      <w:r w:rsidR="00CA27FB">
        <w:rPr>
          <w:lang w:eastAsia="en-AU"/>
        </w:rPr>
        <w:t xml:space="preserve">may be due to </w:t>
      </w:r>
      <w:r w:rsidR="00802091">
        <w:rPr>
          <w:lang w:eastAsia="en-AU"/>
        </w:rPr>
        <w:t xml:space="preserve">the collective efforts of </w:t>
      </w:r>
      <w:r w:rsidR="00CA27FB">
        <w:rPr>
          <w:lang w:eastAsia="en-AU"/>
        </w:rPr>
        <w:t>higher screening rates</w:t>
      </w:r>
      <w:r w:rsidR="00802091">
        <w:rPr>
          <w:lang w:eastAsia="en-AU"/>
        </w:rPr>
        <w:t xml:space="preserve"> for cancers such as breast, colorectal and cervix, </w:t>
      </w:r>
      <w:r w:rsidR="00C17C04">
        <w:rPr>
          <w:lang w:eastAsia="en-AU"/>
        </w:rPr>
        <w:t>cancer prevention strategies</w:t>
      </w:r>
      <w:r w:rsidR="00A745D6">
        <w:rPr>
          <w:lang w:eastAsia="en-AU"/>
        </w:rPr>
        <w:t xml:space="preserve"> such as effective tobacco control</w:t>
      </w:r>
      <w:r w:rsidR="007A15D7">
        <w:rPr>
          <w:lang w:eastAsia="en-AU"/>
        </w:rPr>
        <w:t xml:space="preserve"> and</w:t>
      </w:r>
      <w:r w:rsidR="00C17C04">
        <w:rPr>
          <w:lang w:eastAsia="en-AU"/>
        </w:rPr>
        <w:t xml:space="preserve"> earlier </w:t>
      </w:r>
      <w:r w:rsidR="006A2A8E">
        <w:rPr>
          <w:lang w:eastAsia="en-AU"/>
        </w:rPr>
        <w:t xml:space="preserve">cancer </w:t>
      </w:r>
      <w:r w:rsidR="00C17C04">
        <w:rPr>
          <w:lang w:eastAsia="en-AU"/>
        </w:rPr>
        <w:t xml:space="preserve">detection as well as </w:t>
      </w:r>
      <w:r w:rsidR="00802091">
        <w:rPr>
          <w:lang w:eastAsia="en-AU"/>
        </w:rPr>
        <w:t xml:space="preserve">advances in </w:t>
      </w:r>
      <w:r w:rsidR="00C17C04">
        <w:rPr>
          <w:lang w:eastAsia="en-AU"/>
        </w:rPr>
        <w:t>treatment.</w:t>
      </w:r>
    </w:p>
    <w:p w14:paraId="62BDF15F" w14:textId="4D64E336" w:rsidR="006624DA" w:rsidRPr="003C35E3" w:rsidRDefault="00FB5CEF" w:rsidP="000F22EF">
      <w:pPr>
        <w:pStyle w:val="DHHSbody"/>
        <w:rPr>
          <w:rStyle w:val="Heading2Char"/>
        </w:rPr>
      </w:pPr>
      <w:r w:rsidRPr="000F22EF">
        <w:rPr>
          <w:rStyle w:val="DHHSbodyChar"/>
        </w:rPr>
        <w:t>The</w:t>
      </w:r>
      <w:r w:rsidR="001631CC" w:rsidRPr="000F22EF">
        <w:rPr>
          <w:rStyle w:val="DHHSbodyChar"/>
        </w:rPr>
        <w:t xml:space="preserve"> </w:t>
      </w:r>
      <w:r w:rsidRPr="000F22EF">
        <w:rPr>
          <w:rStyle w:val="DHHSbodyChar"/>
        </w:rPr>
        <w:t>target for this measure is that 10,000 lives are saved by 20</w:t>
      </w:r>
      <w:r w:rsidR="00E66589" w:rsidRPr="000F22EF">
        <w:rPr>
          <w:rStyle w:val="DHHSbodyChar"/>
        </w:rPr>
        <w:t>2</w:t>
      </w:r>
      <w:r w:rsidRPr="000F22EF">
        <w:rPr>
          <w:rStyle w:val="DHHSbodyChar"/>
        </w:rPr>
        <w:t>5.</w:t>
      </w:r>
      <w:r w:rsidR="00952FC7" w:rsidRPr="000F22EF">
        <w:rPr>
          <w:rStyle w:val="DHHSbodyChar"/>
        </w:rPr>
        <w:t xml:space="preserve"> </w:t>
      </w:r>
      <w:r w:rsidR="00855CF6" w:rsidRPr="000F22EF">
        <w:rPr>
          <w:rStyle w:val="DHHSbodyChar"/>
        </w:rPr>
        <w:t xml:space="preserve">Despite the limited number of years to report against, </w:t>
      </w:r>
      <w:r w:rsidR="001631CC" w:rsidRPr="000F22EF">
        <w:rPr>
          <w:rStyle w:val="DHHSbodyChar"/>
        </w:rPr>
        <w:t xml:space="preserve">Figure 2.3 shows that Victoria </w:t>
      </w:r>
      <w:r w:rsidR="003D2298" w:rsidRPr="000F22EF">
        <w:rPr>
          <w:rStyle w:val="DHHSbodyChar"/>
        </w:rPr>
        <w:t xml:space="preserve">is </w:t>
      </w:r>
      <w:r w:rsidR="001631CC" w:rsidRPr="000F22EF">
        <w:rPr>
          <w:rStyle w:val="DHHSbodyChar"/>
        </w:rPr>
        <w:t>moving in the right direction</w:t>
      </w:r>
      <w:r w:rsidR="00A75766">
        <w:rPr>
          <w:rStyle w:val="DHHSbodyChar"/>
        </w:rPr>
        <w:t xml:space="preserve"> with 2815 lives saved between 2015</w:t>
      </w:r>
      <w:r w:rsidR="00A75766" w:rsidRPr="00E76970">
        <w:rPr>
          <w:rFonts w:cs="Arial"/>
          <w:lang w:eastAsia="en-AU"/>
        </w:rPr>
        <w:t>–</w:t>
      </w:r>
      <w:r w:rsidR="00A75766">
        <w:rPr>
          <w:rFonts w:cs="Arial"/>
          <w:lang w:eastAsia="en-AU"/>
        </w:rPr>
        <w:t>2017</w:t>
      </w:r>
      <w:r w:rsidR="00B01023" w:rsidRPr="000F22EF">
        <w:rPr>
          <w:rStyle w:val="DHHSbodyChar"/>
          <w:b/>
        </w:rPr>
        <w:t>.</w:t>
      </w:r>
      <w:r w:rsidR="00560B8F">
        <w:rPr>
          <w:lang w:eastAsia="en-AU"/>
        </w:rPr>
        <w:br w:type="page"/>
      </w:r>
      <w:r w:rsidR="006624DA" w:rsidRPr="003C35E3">
        <w:rPr>
          <w:rStyle w:val="Heading2Char"/>
        </w:rPr>
        <w:lastRenderedPageBreak/>
        <w:t>Key result: I</w:t>
      </w:r>
      <w:r w:rsidR="001B7C36" w:rsidRPr="003C35E3">
        <w:rPr>
          <w:rStyle w:val="Heading2Char"/>
        </w:rPr>
        <w:t>ncrease</w:t>
      </w:r>
      <w:r w:rsidR="006624DA" w:rsidRPr="003C35E3">
        <w:rPr>
          <w:rStyle w:val="Heading2Char"/>
        </w:rPr>
        <w:t xml:space="preserve"> survivorship quality of life</w:t>
      </w:r>
    </w:p>
    <w:p w14:paraId="2BE1B70F" w14:textId="77777777" w:rsidR="006624DA" w:rsidRDefault="006624DA" w:rsidP="006624DA">
      <w:pPr>
        <w:pStyle w:val="Heading3"/>
        <w:rPr>
          <w:lang w:eastAsia="en-AU"/>
        </w:rPr>
      </w:pPr>
      <w:bookmarkStart w:id="270" w:name="_Toc19008035"/>
      <w:r>
        <w:rPr>
          <w:lang w:eastAsia="en-AU"/>
        </w:rPr>
        <w:t>Measure 3.1 – Quality of life post active therapy</w:t>
      </w:r>
      <w:bookmarkEnd w:id="270"/>
    </w:p>
    <w:p w14:paraId="039FD720" w14:textId="77777777" w:rsidR="00821B58" w:rsidRDefault="00560B8F" w:rsidP="00821B58">
      <w:pPr>
        <w:pStyle w:val="DHHSbodynospace"/>
        <w:rPr>
          <w:rStyle w:val="DHHSbodyChar"/>
        </w:rPr>
      </w:pPr>
      <w:r w:rsidRPr="00821B58">
        <w:rPr>
          <w:rStyle w:val="DHHSbodyChar"/>
        </w:rPr>
        <w:t>Measure in development (see Appendix 1).</w:t>
      </w:r>
    </w:p>
    <w:p w14:paraId="4A67214D" w14:textId="77777777" w:rsidR="00821B58" w:rsidRDefault="00821B58">
      <w:pPr>
        <w:rPr>
          <w:rStyle w:val="DHHSbodyChar"/>
          <w:bCs/>
        </w:rPr>
      </w:pPr>
      <w:r>
        <w:rPr>
          <w:rStyle w:val="DHHSbodyChar"/>
        </w:rPr>
        <w:br w:type="page"/>
      </w:r>
    </w:p>
    <w:p w14:paraId="37C821B0" w14:textId="58703ED3" w:rsidR="00DE68BE" w:rsidRPr="0011089F" w:rsidRDefault="00CC52BE" w:rsidP="007D6BCA">
      <w:pPr>
        <w:pStyle w:val="Heading1"/>
        <w:rPr>
          <w:lang w:eastAsia="en-AU"/>
        </w:rPr>
      </w:pPr>
      <w:bookmarkStart w:id="271" w:name="_Toc19008036"/>
      <w:bookmarkStart w:id="272" w:name="_Toc33457068"/>
      <w:r w:rsidRPr="007D6BCA">
        <w:lastRenderedPageBreak/>
        <w:t>Outcome: Equitable outcomes for all Victorians</w:t>
      </w:r>
      <w:bookmarkEnd w:id="271"/>
      <w:bookmarkEnd w:id="272"/>
    </w:p>
    <w:p w14:paraId="13C12339" w14:textId="60623797" w:rsidR="009B5026" w:rsidRPr="005F0940" w:rsidRDefault="00473E5F" w:rsidP="006053E7">
      <w:pPr>
        <w:pStyle w:val="Heading2"/>
      </w:pPr>
      <w:bookmarkStart w:id="273" w:name="_Toc19008037"/>
      <w:bookmarkStart w:id="274" w:name="_Toc33457069"/>
      <w:r w:rsidRPr="005F0940">
        <w:t>Key result:</w:t>
      </w:r>
      <w:r w:rsidR="009B5026" w:rsidRPr="005F0940">
        <w:t xml:space="preserve"> </w:t>
      </w:r>
      <w:r w:rsidR="009B5026" w:rsidRPr="00A41066">
        <w:t>Equitably</w:t>
      </w:r>
      <w:r w:rsidR="009B5026" w:rsidRPr="005F0940">
        <w:t xml:space="preserve"> reduce cancer </w:t>
      </w:r>
      <w:r w:rsidR="009B5026" w:rsidRPr="00A41066">
        <w:t>incidence</w:t>
      </w:r>
      <w:bookmarkEnd w:id="273"/>
      <w:bookmarkEnd w:id="274"/>
    </w:p>
    <w:p w14:paraId="737103B7" w14:textId="40C2BA48" w:rsidR="00473E5F" w:rsidRPr="00FE3D71" w:rsidRDefault="009B5026" w:rsidP="00A41066">
      <w:pPr>
        <w:pStyle w:val="Heading3"/>
      </w:pPr>
      <w:bookmarkStart w:id="275" w:name="_Measure_4.1_–"/>
      <w:bookmarkStart w:id="276" w:name="_Toc19008038"/>
      <w:bookmarkEnd w:id="275"/>
      <w:r w:rsidRPr="00FE3D71">
        <w:t xml:space="preserve">Measure 4.1 – Rate ratio of </w:t>
      </w:r>
      <w:r w:rsidR="00B47705" w:rsidRPr="00FE3D71">
        <w:t xml:space="preserve">preventable </w:t>
      </w:r>
      <w:r w:rsidRPr="00FE3D71">
        <w:t>cancer incidence between Integrated Cancer Services</w:t>
      </w:r>
      <w:bookmarkEnd w:id="276"/>
    </w:p>
    <w:p w14:paraId="48A3271C" w14:textId="45CD4274" w:rsidR="008349D5" w:rsidRDefault="008349D5" w:rsidP="00DF6BF5">
      <w:pPr>
        <w:pStyle w:val="DHHSfigurecaption"/>
      </w:pPr>
      <w:bookmarkStart w:id="277" w:name="_Toc19008039"/>
      <w:bookmarkStart w:id="278" w:name="_Toc19008287"/>
      <w:bookmarkStart w:id="279" w:name="_Toc19008434"/>
      <w:bookmarkStart w:id="280" w:name="_Toc19008581"/>
      <w:bookmarkStart w:id="281" w:name="_Toc27414290"/>
      <w:r w:rsidRPr="00FE3D71">
        <w:t>Figure 4.1</w:t>
      </w:r>
      <w:r w:rsidR="00C17266">
        <w:t>:</w:t>
      </w:r>
      <w:r w:rsidRPr="00FE3D71">
        <w:t xml:space="preserve"> Rate ratio of preventable cancer incidence in ICS of residence compared </w:t>
      </w:r>
      <w:r w:rsidR="001B50BF">
        <w:t>with</w:t>
      </w:r>
      <w:r w:rsidR="001B50BF" w:rsidRPr="00FE3D71">
        <w:t xml:space="preserve"> </w:t>
      </w:r>
      <w:r w:rsidRPr="00FE3D71">
        <w:t>the ICS of residence with the lowest adjusted incidence rate, grouped by year of diagnosis</w:t>
      </w:r>
      <w:r w:rsidR="00C17266">
        <w:t>,</w:t>
      </w:r>
      <w:r w:rsidRPr="00FE3D71">
        <w:t xml:space="preserve"> 201</w:t>
      </w:r>
      <w:r w:rsidR="007D2062">
        <w:t>4</w:t>
      </w:r>
      <w:r w:rsidR="00C17266">
        <w:t>–</w:t>
      </w:r>
      <w:r w:rsidRPr="00FE3D71">
        <w:t>2017</w:t>
      </w:r>
      <w:bookmarkEnd w:id="277"/>
      <w:bookmarkEnd w:id="278"/>
      <w:bookmarkEnd w:id="279"/>
      <w:bookmarkEnd w:id="280"/>
      <w:bookmarkEnd w:id="281"/>
    </w:p>
    <w:p w14:paraId="6E7B42CA" w14:textId="25EE46BA" w:rsidR="006B534F" w:rsidRPr="006B534F" w:rsidRDefault="006B534F" w:rsidP="006B534F">
      <w:pPr>
        <w:pStyle w:val="DHHSbody"/>
      </w:pPr>
      <w:r>
        <w:rPr>
          <w:noProof/>
        </w:rPr>
        <w:drawing>
          <wp:inline distT="0" distB="0" distL="0" distR="0" wp14:anchorId="369ED40C" wp14:editId="6398C4AA">
            <wp:extent cx="6750685" cy="5130800"/>
            <wp:effectExtent l="0" t="0" r="0" b="0"/>
            <wp:docPr id="87" name="Picture 87" descr="This figure shows a summary of 'Measure 4.1 - Rate ratio of preventable cancer incidence between Integrated Cancer Services'.  The data for this figure is available in this section for the study period 2014 to 2017 - refer to Table 4.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750685" cy="5130800"/>
                    </a:xfrm>
                    <a:prstGeom prst="rect">
                      <a:avLst/>
                    </a:prstGeom>
                    <a:noFill/>
                    <a:ln>
                      <a:noFill/>
                    </a:ln>
                  </pic:spPr>
                </pic:pic>
              </a:graphicData>
            </a:graphic>
          </wp:inline>
        </w:drawing>
      </w:r>
    </w:p>
    <w:p w14:paraId="4FEF2073" w14:textId="1373B60E" w:rsidR="00FF7120" w:rsidRPr="00FF7120" w:rsidRDefault="009B16A4" w:rsidP="00FA1AAC">
      <w:pPr>
        <w:pStyle w:val="DHHStablefigurenote"/>
        <w:rPr>
          <w:b/>
        </w:rPr>
      </w:pPr>
      <w:r w:rsidRPr="00FF7120">
        <w:t>Note</w:t>
      </w:r>
      <w:r w:rsidR="004F0FAA">
        <w:t>s</w:t>
      </w:r>
      <w:r w:rsidRPr="00FF7120">
        <w:t>:</w:t>
      </w:r>
      <w:r w:rsidRPr="00FF7120">
        <w:rPr>
          <w:b/>
        </w:rPr>
        <w:t xml:space="preserve"> </w:t>
      </w:r>
    </w:p>
    <w:p w14:paraId="072EA71E" w14:textId="77777777" w:rsidR="006B534F" w:rsidRDefault="00DA4C88" w:rsidP="00FA1AAC">
      <w:pPr>
        <w:pStyle w:val="DHHStablefigurenote"/>
      </w:pPr>
      <w:r w:rsidRPr="00A475FD">
        <w:t>Estimated and projected resident population files sourced from</w:t>
      </w:r>
      <w:r w:rsidR="002A3B2F">
        <w:t xml:space="preserve"> the</w:t>
      </w:r>
      <w:r w:rsidRPr="00A475FD">
        <w:t xml:space="preserve"> ABS. Note that at the time of preparing results, </w:t>
      </w:r>
      <w:r w:rsidR="002A3B2F">
        <w:t xml:space="preserve">the ABS had not yet finalised </w:t>
      </w:r>
      <w:r w:rsidR="002507B8">
        <w:t xml:space="preserve">the </w:t>
      </w:r>
      <w:r w:rsidRPr="00A475FD">
        <w:t>2017</w:t>
      </w:r>
      <w:r w:rsidR="002A3B2F">
        <w:t xml:space="preserve"> ERP</w:t>
      </w:r>
      <w:r w:rsidRPr="00A475FD">
        <w:t>.</w:t>
      </w:r>
    </w:p>
    <w:p w14:paraId="7A646BF1" w14:textId="7F0C1B35" w:rsidR="00F16CAB" w:rsidRPr="00223D80" w:rsidRDefault="006B534F" w:rsidP="00FA1AAC">
      <w:pPr>
        <w:pStyle w:val="DHHStablefigurenote"/>
      </w:pPr>
      <w:r>
        <w:t xml:space="preserve">The baseline ICS for calculating the rate of ratios for each year is the ICS with the lowest adjusted incidence rate for the year of interest and is highlighted in </w:t>
      </w:r>
      <w:r w:rsidRPr="004326FA">
        <w:rPr>
          <w:color w:val="C00000"/>
        </w:rPr>
        <w:t>r</w:t>
      </w:r>
      <w:r w:rsidRPr="006B534F">
        <w:rPr>
          <w:color w:val="C00000"/>
        </w:rPr>
        <w:t>ed</w:t>
      </w:r>
      <w:r>
        <w:t>.  A rate ratio greater than one indicates a higher incidence rate than the baseline ICS.</w:t>
      </w:r>
      <w:r w:rsidR="00F16CAB" w:rsidRPr="00223D80">
        <w:rPr>
          <w:b/>
        </w:rPr>
        <w:br w:type="page"/>
      </w:r>
    </w:p>
    <w:p w14:paraId="6EE0DFCD" w14:textId="637AC8E1" w:rsidR="00B92EDC" w:rsidRPr="00F16CAB" w:rsidRDefault="00B92EDC" w:rsidP="002226C1">
      <w:pPr>
        <w:pStyle w:val="DHHStablecaption"/>
      </w:pPr>
      <w:bookmarkStart w:id="282" w:name="_Toc18908721"/>
      <w:bookmarkStart w:id="283" w:name="_Toc27414400"/>
      <w:r>
        <w:lastRenderedPageBreak/>
        <w:t>Table</w:t>
      </w:r>
      <w:r w:rsidRPr="00FE3D71">
        <w:t xml:space="preserve"> 4.1</w:t>
      </w:r>
      <w:r w:rsidR="00C17266">
        <w:t>:</w:t>
      </w:r>
      <w:r w:rsidRPr="00FE3D71">
        <w:t xml:space="preserve"> Rate ratio of preventable cancer incidence in ICS of residence compared </w:t>
      </w:r>
      <w:r w:rsidR="001B50BF">
        <w:t>with</w:t>
      </w:r>
      <w:r w:rsidR="001B50BF" w:rsidRPr="00FE3D71">
        <w:t xml:space="preserve"> </w:t>
      </w:r>
      <w:r w:rsidRPr="00FE3D71">
        <w:t>the ICS of residence with the lowest adjusted incidence rate, grouped by year of diagnosis from 201</w:t>
      </w:r>
      <w:r w:rsidR="007D2062">
        <w:t>4</w:t>
      </w:r>
      <w:r w:rsidR="001B50BF">
        <w:t xml:space="preserve"> to </w:t>
      </w:r>
      <w:r w:rsidRPr="00FE3D71">
        <w:t>2017</w:t>
      </w:r>
      <w:bookmarkEnd w:id="282"/>
      <w:bookmarkEnd w:id="283"/>
    </w:p>
    <w:tbl>
      <w:tblPr>
        <w:tblStyle w:val="TableGrid"/>
        <w:tblW w:w="10645" w:type="dxa"/>
        <w:tblInd w:w="-1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2337"/>
        <w:gridCol w:w="2077"/>
        <w:gridCol w:w="2077"/>
        <w:gridCol w:w="2077"/>
        <w:gridCol w:w="2077"/>
      </w:tblGrid>
      <w:tr w:rsidR="009B5375" w14:paraId="65F508C6" w14:textId="77777777" w:rsidTr="0091691D">
        <w:trPr>
          <w:trHeight w:val="182"/>
        </w:trPr>
        <w:tc>
          <w:tcPr>
            <w:tcW w:w="2337" w:type="dxa"/>
            <w:shd w:val="clear" w:color="auto" w:fill="EDCDCF"/>
          </w:tcPr>
          <w:p w14:paraId="69A3B1C5" w14:textId="1FB1AB58" w:rsidR="009B5375" w:rsidRPr="00D6450C" w:rsidRDefault="009B5375" w:rsidP="00D6450C">
            <w:pPr>
              <w:pStyle w:val="DHHStablecolhead"/>
            </w:pPr>
            <w:r w:rsidRPr="00D6450C">
              <w:t>ICS</w:t>
            </w:r>
          </w:p>
        </w:tc>
        <w:tc>
          <w:tcPr>
            <w:tcW w:w="2077" w:type="dxa"/>
            <w:shd w:val="clear" w:color="auto" w:fill="EDCDCF"/>
          </w:tcPr>
          <w:p w14:paraId="71C9D4FC" w14:textId="77777777" w:rsidR="009B5375" w:rsidRPr="00D6450C" w:rsidRDefault="009B5375" w:rsidP="00D6450C">
            <w:pPr>
              <w:pStyle w:val="DHHStablecolhead"/>
            </w:pPr>
            <w:r w:rsidRPr="00D6450C">
              <w:t>2014</w:t>
            </w:r>
          </w:p>
          <w:p w14:paraId="5D93F90A" w14:textId="3D500188" w:rsidR="009B5375" w:rsidRPr="00D6450C" w:rsidRDefault="009B5375" w:rsidP="00D6450C">
            <w:pPr>
              <w:pStyle w:val="DHHStablecolhead"/>
            </w:pPr>
            <w:r w:rsidRPr="00D6450C">
              <w:t>(95% CI)</w:t>
            </w:r>
          </w:p>
        </w:tc>
        <w:tc>
          <w:tcPr>
            <w:tcW w:w="2077" w:type="dxa"/>
            <w:shd w:val="clear" w:color="auto" w:fill="EDCDCF"/>
          </w:tcPr>
          <w:p w14:paraId="6A786B3E" w14:textId="77777777" w:rsidR="009B5375" w:rsidRPr="00D6450C" w:rsidRDefault="009B5375" w:rsidP="00D6450C">
            <w:pPr>
              <w:pStyle w:val="DHHStablecolhead"/>
            </w:pPr>
            <w:r w:rsidRPr="00D6450C">
              <w:t>2015</w:t>
            </w:r>
          </w:p>
          <w:p w14:paraId="10C5DF09" w14:textId="28B7247C" w:rsidR="009B5375" w:rsidRPr="00D6450C" w:rsidRDefault="009B5375" w:rsidP="00D6450C">
            <w:pPr>
              <w:pStyle w:val="DHHStablecolhead"/>
            </w:pPr>
            <w:r w:rsidRPr="00D6450C">
              <w:t>(95% CI)</w:t>
            </w:r>
          </w:p>
        </w:tc>
        <w:tc>
          <w:tcPr>
            <w:tcW w:w="2077" w:type="dxa"/>
            <w:shd w:val="clear" w:color="auto" w:fill="EDCDCF"/>
          </w:tcPr>
          <w:p w14:paraId="23F7AD92" w14:textId="77777777" w:rsidR="009B5375" w:rsidRPr="00D6450C" w:rsidRDefault="009B5375" w:rsidP="00D6450C">
            <w:pPr>
              <w:pStyle w:val="DHHStablecolhead"/>
            </w:pPr>
            <w:r w:rsidRPr="00D6450C">
              <w:t>2016</w:t>
            </w:r>
          </w:p>
          <w:p w14:paraId="120A0D0D" w14:textId="6FCA6E09" w:rsidR="009B5375" w:rsidRPr="00D6450C" w:rsidRDefault="009B5375" w:rsidP="00D6450C">
            <w:pPr>
              <w:pStyle w:val="DHHStablecolhead"/>
            </w:pPr>
            <w:r w:rsidRPr="00D6450C">
              <w:t>(95% CI)</w:t>
            </w:r>
          </w:p>
        </w:tc>
        <w:tc>
          <w:tcPr>
            <w:tcW w:w="2077" w:type="dxa"/>
            <w:shd w:val="clear" w:color="auto" w:fill="EDCDCF"/>
          </w:tcPr>
          <w:p w14:paraId="5C07E2D3" w14:textId="77777777" w:rsidR="009B5375" w:rsidRPr="00D6450C" w:rsidRDefault="009B5375" w:rsidP="00D6450C">
            <w:pPr>
              <w:pStyle w:val="DHHStablecolhead"/>
            </w:pPr>
            <w:r w:rsidRPr="00D6450C">
              <w:t>2017</w:t>
            </w:r>
          </w:p>
          <w:p w14:paraId="26A368B7" w14:textId="35959078" w:rsidR="009B5375" w:rsidRPr="00D6450C" w:rsidRDefault="009B5375" w:rsidP="00D6450C">
            <w:pPr>
              <w:pStyle w:val="DHHStablecolhead"/>
            </w:pPr>
            <w:r w:rsidRPr="00D6450C">
              <w:t>(95% CI)</w:t>
            </w:r>
          </w:p>
        </w:tc>
      </w:tr>
      <w:tr w:rsidR="009B5375" w14:paraId="26B4808F" w14:textId="77777777" w:rsidTr="0091691D">
        <w:trPr>
          <w:trHeight w:val="378"/>
        </w:trPr>
        <w:tc>
          <w:tcPr>
            <w:tcW w:w="2337" w:type="dxa"/>
            <w:shd w:val="clear" w:color="auto" w:fill="auto"/>
            <w:vAlign w:val="center"/>
          </w:tcPr>
          <w:p w14:paraId="37A2B959" w14:textId="1B907B3E" w:rsidR="009B5375" w:rsidRPr="001476BE" w:rsidRDefault="009B5375" w:rsidP="0091691D">
            <w:pPr>
              <w:pStyle w:val="DHHStabletext"/>
            </w:pPr>
            <w:r>
              <w:t>NEMICS</w:t>
            </w:r>
          </w:p>
        </w:tc>
        <w:tc>
          <w:tcPr>
            <w:tcW w:w="2077" w:type="dxa"/>
            <w:shd w:val="clear" w:color="auto" w:fill="auto"/>
            <w:vAlign w:val="center"/>
          </w:tcPr>
          <w:p w14:paraId="1445FD46" w14:textId="4EAF4CC5" w:rsidR="009B5375" w:rsidRPr="001476BE" w:rsidRDefault="009B5375" w:rsidP="0091691D">
            <w:pPr>
              <w:pStyle w:val="DHHStabletext"/>
            </w:pPr>
            <w:r>
              <w:t>N/A</w:t>
            </w:r>
          </w:p>
        </w:tc>
        <w:tc>
          <w:tcPr>
            <w:tcW w:w="2077" w:type="dxa"/>
            <w:shd w:val="clear" w:color="auto" w:fill="auto"/>
            <w:vAlign w:val="center"/>
          </w:tcPr>
          <w:p w14:paraId="41022237" w14:textId="36210C0A" w:rsidR="009B5375" w:rsidRPr="001476BE" w:rsidRDefault="009B5375" w:rsidP="0091691D">
            <w:pPr>
              <w:pStyle w:val="DHHStabletext"/>
            </w:pPr>
            <w:r>
              <w:t>N/A</w:t>
            </w:r>
          </w:p>
        </w:tc>
        <w:tc>
          <w:tcPr>
            <w:tcW w:w="2077" w:type="dxa"/>
            <w:shd w:val="clear" w:color="auto" w:fill="auto"/>
            <w:vAlign w:val="center"/>
          </w:tcPr>
          <w:p w14:paraId="0FE3AD02" w14:textId="2CD7B9BF" w:rsidR="009B5375" w:rsidRPr="001476BE" w:rsidRDefault="009B5375" w:rsidP="0091691D">
            <w:pPr>
              <w:pStyle w:val="DHHStabletext"/>
            </w:pPr>
            <w:r>
              <w:t>N/A</w:t>
            </w:r>
          </w:p>
        </w:tc>
        <w:tc>
          <w:tcPr>
            <w:tcW w:w="2077" w:type="dxa"/>
            <w:shd w:val="clear" w:color="auto" w:fill="auto"/>
            <w:vAlign w:val="center"/>
          </w:tcPr>
          <w:p w14:paraId="7EA8A450" w14:textId="36E32AAC" w:rsidR="009B5375" w:rsidRPr="001476BE" w:rsidRDefault="009B5375" w:rsidP="0091691D">
            <w:pPr>
              <w:pStyle w:val="DHHStabletext"/>
            </w:pPr>
            <w:r>
              <w:t>N/A</w:t>
            </w:r>
          </w:p>
        </w:tc>
      </w:tr>
      <w:tr w:rsidR="009B5375" w14:paraId="48D27523" w14:textId="77777777" w:rsidTr="0091691D">
        <w:trPr>
          <w:trHeight w:val="430"/>
        </w:trPr>
        <w:tc>
          <w:tcPr>
            <w:tcW w:w="2337" w:type="dxa"/>
            <w:shd w:val="clear" w:color="auto" w:fill="auto"/>
            <w:vAlign w:val="center"/>
          </w:tcPr>
          <w:p w14:paraId="2F3F91A6" w14:textId="399A19C0" w:rsidR="009B5375" w:rsidRPr="001476BE" w:rsidRDefault="009B5375" w:rsidP="0091691D">
            <w:pPr>
              <w:pStyle w:val="DHHStabletext"/>
            </w:pPr>
            <w:r>
              <w:t>SMICS</w:t>
            </w:r>
          </w:p>
        </w:tc>
        <w:tc>
          <w:tcPr>
            <w:tcW w:w="2077" w:type="dxa"/>
            <w:shd w:val="clear" w:color="auto" w:fill="auto"/>
          </w:tcPr>
          <w:p w14:paraId="7770E9E7" w14:textId="77777777" w:rsidR="009B5375" w:rsidRDefault="009B5375" w:rsidP="0091691D">
            <w:pPr>
              <w:pStyle w:val="DHHStabletext"/>
            </w:pPr>
            <w:r>
              <w:t>1.0</w:t>
            </w:r>
          </w:p>
          <w:p w14:paraId="57366639" w14:textId="61BD790C" w:rsidR="009B5375" w:rsidRPr="001476BE" w:rsidRDefault="009B5375" w:rsidP="0091691D">
            <w:pPr>
              <w:pStyle w:val="DHHStabletext"/>
            </w:pPr>
            <w:r>
              <w:t>(0.9–1.1)</w:t>
            </w:r>
          </w:p>
        </w:tc>
        <w:tc>
          <w:tcPr>
            <w:tcW w:w="2077" w:type="dxa"/>
            <w:shd w:val="clear" w:color="auto" w:fill="auto"/>
          </w:tcPr>
          <w:p w14:paraId="21E7CA1E" w14:textId="77777777" w:rsidR="009B5375" w:rsidRDefault="009B5375" w:rsidP="0091691D">
            <w:pPr>
              <w:pStyle w:val="DHHStabletext"/>
            </w:pPr>
            <w:r>
              <w:t>1.0</w:t>
            </w:r>
          </w:p>
          <w:p w14:paraId="5B8F78DC" w14:textId="6F81BC13" w:rsidR="009B5375" w:rsidRPr="001476BE" w:rsidRDefault="009B5375" w:rsidP="0091691D">
            <w:pPr>
              <w:pStyle w:val="DHHStabletext"/>
            </w:pPr>
            <w:r>
              <w:t>(0.9–1.1)</w:t>
            </w:r>
          </w:p>
        </w:tc>
        <w:tc>
          <w:tcPr>
            <w:tcW w:w="2077" w:type="dxa"/>
            <w:shd w:val="clear" w:color="auto" w:fill="auto"/>
          </w:tcPr>
          <w:p w14:paraId="79432297" w14:textId="77777777" w:rsidR="009B5375" w:rsidRDefault="009B5375" w:rsidP="0091691D">
            <w:pPr>
              <w:pStyle w:val="DHHStabletext"/>
            </w:pPr>
            <w:r>
              <w:t>1.0</w:t>
            </w:r>
          </w:p>
          <w:p w14:paraId="1E9F34B0" w14:textId="242683DC" w:rsidR="009B5375" w:rsidRPr="001476BE" w:rsidRDefault="009B5375" w:rsidP="0091691D">
            <w:pPr>
              <w:pStyle w:val="DHHStabletext"/>
            </w:pPr>
            <w:r>
              <w:t>(0.9–1.1)</w:t>
            </w:r>
          </w:p>
        </w:tc>
        <w:tc>
          <w:tcPr>
            <w:tcW w:w="2077" w:type="dxa"/>
            <w:shd w:val="clear" w:color="auto" w:fill="auto"/>
          </w:tcPr>
          <w:p w14:paraId="1B3FA314" w14:textId="77777777" w:rsidR="009B5375" w:rsidRDefault="009B5375" w:rsidP="0091691D">
            <w:pPr>
              <w:pStyle w:val="DHHStabletext"/>
            </w:pPr>
            <w:r>
              <w:t>1.0</w:t>
            </w:r>
          </w:p>
          <w:p w14:paraId="27281C4D" w14:textId="4611F18D" w:rsidR="009B5375" w:rsidRPr="001476BE" w:rsidRDefault="009B5375" w:rsidP="0091691D">
            <w:pPr>
              <w:pStyle w:val="DHHStabletext"/>
            </w:pPr>
            <w:r>
              <w:t>(0.9–1.1)</w:t>
            </w:r>
          </w:p>
        </w:tc>
      </w:tr>
      <w:tr w:rsidR="009B5375" w14:paraId="17115C19" w14:textId="77777777" w:rsidTr="0091691D">
        <w:trPr>
          <w:trHeight w:val="430"/>
        </w:trPr>
        <w:tc>
          <w:tcPr>
            <w:tcW w:w="2337" w:type="dxa"/>
            <w:shd w:val="clear" w:color="auto" w:fill="auto"/>
            <w:vAlign w:val="center"/>
          </w:tcPr>
          <w:p w14:paraId="7998C61B" w14:textId="4656AEDF" w:rsidR="009B5375" w:rsidRPr="001476BE" w:rsidRDefault="009B5375" w:rsidP="0091691D">
            <w:pPr>
              <w:pStyle w:val="DHHStabletext"/>
            </w:pPr>
            <w:r>
              <w:t>WCMICS</w:t>
            </w:r>
          </w:p>
        </w:tc>
        <w:tc>
          <w:tcPr>
            <w:tcW w:w="2077" w:type="dxa"/>
            <w:shd w:val="clear" w:color="auto" w:fill="auto"/>
          </w:tcPr>
          <w:p w14:paraId="24479D87" w14:textId="77777777" w:rsidR="009B5375" w:rsidRDefault="009B5375" w:rsidP="0091691D">
            <w:pPr>
              <w:pStyle w:val="DHHStabletext"/>
            </w:pPr>
            <w:r>
              <w:t>1.0</w:t>
            </w:r>
          </w:p>
          <w:p w14:paraId="43B8DF17" w14:textId="749D5D4B" w:rsidR="009B5375" w:rsidRPr="001476BE" w:rsidRDefault="009B5375" w:rsidP="0091691D">
            <w:pPr>
              <w:pStyle w:val="DHHStabletext"/>
            </w:pPr>
            <w:r>
              <w:t>(0.9–1.1)</w:t>
            </w:r>
          </w:p>
        </w:tc>
        <w:tc>
          <w:tcPr>
            <w:tcW w:w="2077" w:type="dxa"/>
            <w:shd w:val="clear" w:color="auto" w:fill="auto"/>
          </w:tcPr>
          <w:p w14:paraId="5494153F" w14:textId="77777777" w:rsidR="009B5375" w:rsidRDefault="009B5375" w:rsidP="0091691D">
            <w:pPr>
              <w:pStyle w:val="DHHStabletext"/>
            </w:pPr>
            <w:r>
              <w:t>1.0</w:t>
            </w:r>
          </w:p>
          <w:p w14:paraId="647C898F" w14:textId="5F190FAC" w:rsidR="009B5375" w:rsidRPr="001476BE" w:rsidRDefault="009B5375" w:rsidP="0091691D">
            <w:pPr>
              <w:pStyle w:val="DHHStabletext"/>
            </w:pPr>
            <w:r>
              <w:t>(0.9–1.1)</w:t>
            </w:r>
          </w:p>
        </w:tc>
        <w:tc>
          <w:tcPr>
            <w:tcW w:w="2077" w:type="dxa"/>
            <w:shd w:val="clear" w:color="auto" w:fill="auto"/>
          </w:tcPr>
          <w:p w14:paraId="10D8468E" w14:textId="77777777" w:rsidR="009B5375" w:rsidRDefault="009B5375" w:rsidP="0091691D">
            <w:pPr>
              <w:pStyle w:val="DHHStabletext"/>
            </w:pPr>
            <w:r>
              <w:t>1.0</w:t>
            </w:r>
          </w:p>
          <w:p w14:paraId="1E628D09" w14:textId="396C75A1" w:rsidR="009B5375" w:rsidRPr="001476BE" w:rsidRDefault="009B5375" w:rsidP="0091691D">
            <w:pPr>
              <w:pStyle w:val="DHHStabletext"/>
            </w:pPr>
            <w:r>
              <w:t>(0.9–1.1)</w:t>
            </w:r>
          </w:p>
        </w:tc>
        <w:tc>
          <w:tcPr>
            <w:tcW w:w="2077" w:type="dxa"/>
            <w:shd w:val="clear" w:color="auto" w:fill="auto"/>
          </w:tcPr>
          <w:p w14:paraId="2F097AEA" w14:textId="77777777" w:rsidR="009B5375" w:rsidRDefault="009B5375" w:rsidP="0091691D">
            <w:pPr>
              <w:pStyle w:val="DHHStabletext"/>
            </w:pPr>
            <w:r>
              <w:t>1.0</w:t>
            </w:r>
          </w:p>
          <w:p w14:paraId="57DB6728" w14:textId="205B8BAF" w:rsidR="009B5375" w:rsidRPr="001476BE" w:rsidRDefault="009B5375" w:rsidP="0091691D">
            <w:pPr>
              <w:pStyle w:val="DHHStabletext"/>
            </w:pPr>
            <w:r>
              <w:t>(0.9–1.1)</w:t>
            </w:r>
          </w:p>
        </w:tc>
      </w:tr>
      <w:tr w:rsidR="009B5375" w14:paraId="302341BC" w14:textId="77777777" w:rsidTr="0091691D">
        <w:trPr>
          <w:trHeight w:val="417"/>
        </w:trPr>
        <w:tc>
          <w:tcPr>
            <w:tcW w:w="2337" w:type="dxa"/>
            <w:shd w:val="clear" w:color="auto" w:fill="auto"/>
            <w:vAlign w:val="center"/>
          </w:tcPr>
          <w:p w14:paraId="76C51561" w14:textId="0200AAEF" w:rsidR="009B5375" w:rsidRPr="001476BE" w:rsidRDefault="009B5375" w:rsidP="0091691D">
            <w:pPr>
              <w:pStyle w:val="DHHStabletext"/>
            </w:pPr>
            <w:r>
              <w:t>BSWRICS</w:t>
            </w:r>
          </w:p>
        </w:tc>
        <w:tc>
          <w:tcPr>
            <w:tcW w:w="2077" w:type="dxa"/>
            <w:shd w:val="clear" w:color="auto" w:fill="auto"/>
          </w:tcPr>
          <w:p w14:paraId="39FCE765" w14:textId="77777777" w:rsidR="009B5375" w:rsidRDefault="009B5375" w:rsidP="0091691D">
            <w:pPr>
              <w:pStyle w:val="DHHStabletext"/>
            </w:pPr>
            <w:r>
              <w:t>1.1</w:t>
            </w:r>
          </w:p>
          <w:p w14:paraId="33086188" w14:textId="3CD9B307" w:rsidR="009B5375" w:rsidRPr="001476BE" w:rsidRDefault="009B5375" w:rsidP="0091691D">
            <w:pPr>
              <w:pStyle w:val="DHHStabletext"/>
            </w:pPr>
            <w:r>
              <w:t>(1.0–1.2)</w:t>
            </w:r>
          </w:p>
        </w:tc>
        <w:tc>
          <w:tcPr>
            <w:tcW w:w="2077" w:type="dxa"/>
            <w:shd w:val="clear" w:color="auto" w:fill="auto"/>
          </w:tcPr>
          <w:p w14:paraId="19295188" w14:textId="77777777" w:rsidR="009B5375" w:rsidRDefault="009B5375" w:rsidP="0091691D">
            <w:pPr>
              <w:pStyle w:val="DHHStabletext"/>
            </w:pPr>
            <w:r>
              <w:t>1.1</w:t>
            </w:r>
          </w:p>
          <w:p w14:paraId="009B2E6C" w14:textId="5F7B338A" w:rsidR="009B5375" w:rsidRPr="001476BE" w:rsidRDefault="009B5375" w:rsidP="0091691D">
            <w:pPr>
              <w:pStyle w:val="DHHStabletext"/>
            </w:pPr>
            <w:r>
              <w:t>(1.0–1.2)</w:t>
            </w:r>
          </w:p>
        </w:tc>
        <w:tc>
          <w:tcPr>
            <w:tcW w:w="2077" w:type="dxa"/>
            <w:shd w:val="clear" w:color="auto" w:fill="auto"/>
          </w:tcPr>
          <w:p w14:paraId="06333F78" w14:textId="77777777" w:rsidR="009B5375" w:rsidRDefault="009B5375" w:rsidP="0091691D">
            <w:pPr>
              <w:pStyle w:val="DHHStabletext"/>
            </w:pPr>
            <w:r>
              <w:t>1.1</w:t>
            </w:r>
          </w:p>
          <w:p w14:paraId="1B5E2B86" w14:textId="10E97F4D" w:rsidR="009B5375" w:rsidRPr="001476BE" w:rsidRDefault="009B5375" w:rsidP="0091691D">
            <w:pPr>
              <w:pStyle w:val="DHHStabletext"/>
            </w:pPr>
            <w:r>
              <w:t>(1.0–1.2)</w:t>
            </w:r>
          </w:p>
        </w:tc>
        <w:tc>
          <w:tcPr>
            <w:tcW w:w="2077" w:type="dxa"/>
            <w:shd w:val="clear" w:color="auto" w:fill="auto"/>
          </w:tcPr>
          <w:p w14:paraId="47BBC7F9" w14:textId="77777777" w:rsidR="009B5375" w:rsidRDefault="009B5375" w:rsidP="0091691D">
            <w:pPr>
              <w:pStyle w:val="DHHStabletext"/>
            </w:pPr>
            <w:r>
              <w:t>1.2</w:t>
            </w:r>
          </w:p>
          <w:p w14:paraId="6F9E8A0F" w14:textId="730A8586" w:rsidR="009B5375" w:rsidRPr="001476BE" w:rsidRDefault="009B5375" w:rsidP="0091691D">
            <w:pPr>
              <w:pStyle w:val="DHHStabletext"/>
            </w:pPr>
            <w:r>
              <w:t>(1.1–1.3)</w:t>
            </w:r>
          </w:p>
        </w:tc>
      </w:tr>
      <w:tr w:rsidR="009B5375" w14:paraId="47B13D0F" w14:textId="77777777" w:rsidTr="0091691D">
        <w:trPr>
          <w:trHeight w:val="430"/>
        </w:trPr>
        <w:tc>
          <w:tcPr>
            <w:tcW w:w="2337" w:type="dxa"/>
            <w:shd w:val="clear" w:color="auto" w:fill="auto"/>
            <w:vAlign w:val="center"/>
          </w:tcPr>
          <w:p w14:paraId="63942F6F" w14:textId="0B3C72B3" w:rsidR="009B5375" w:rsidRPr="001476BE" w:rsidRDefault="009B5375" w:rsidP="0091691D">
            <w:pPr>
              <w:pStyle w:val="DHHStabletext"/>
            </w:pPr>
            <w:r>
              <w:t>GRICS</w:t>
            </w:r>
          </w:p>
        </w:tc>
        <w:tc>
          <w:tcPr>
            <w:tcW w:w="2077" w:type="dxa"/>
            <w:shd w:val="clear" w:color="auto" w:fill="auto"/>
          </w:tcPr>
          <w:p w14:paraId="7BAD3697" w14:textId="77777777" w:rsidR="009B5375" w:rsidRDefault="009B5375" w:rsidP="0091691D">
            <w:pPr>
              <w:pStyle w:val="DHHStabletext"/>
            </w:pPr>
            <w:r>
              <w:t>1.1</w:t>
            </w:r>
          </w:p>
          <w:p w14:paraId="4F0D1B84" w14:textId="06B5DC14" w:rsidR="009B5375" w:rsidRPr="001476BE" w:rsidRDefault="009B5375" w:rsidP="0091691D">
            <w:pPr>
              <w:pStyle w:val="DHHStabletext"/>
            </w:pPr>
            <w:r>
              <w:t>(1.0–1.2)</w:t>
            </w:r>
          </w:p>
        </w:tc>
        <w:tc>
          <w:tcPr>
            <w:tcW w:w="2077" w:type="dxa"/>
            <w:shd w:val="clear" w:color="auto" w:fill="auto"/>
          </w:tcPr>
          <w:p w14:paraId="487890F1" w14:textId="77777777" w:rsidR="009B5375" w:rsidRDefault="009B5375" w:rsidP="0091691D">
            <w:pPr>
              <w:pStyle w:val="DHHStabletext"/>
            </w:pPr>
            <w:r>
              <w:t>1.1</w:t>
            </w:r>
          </w:p>
          <w:p w14:paraId="44E578BC" w14:textId="14753138" w:rsidR="009B5375" w:rsidRPr="001476BE" w:rsidRDefault="009B5375" w:rsidP="0091691D">
            <w:pPr>
              <w:pStyle w:val="DHHStabletext"/>
            </w:pPr>
            <w:r>
              <w:t>(1.0–1.2)</w:t>
            </w:r>
          </w:p>
        </w:tc>
        <w:tc>
          <w:tcPr>
            <w:tcW w:w="2077" w:type="dxa"/>
            <w:shd w:val="clear" w:color="auto" w:fill="auto"/>
          </w:tcPr>
          <w:p w14:paraId="78FB0B1E" w14:textId="77777777" w:rsidR="009B5375" w:rsidRDefault="009B5375" w:rsidP="0091691D">
            <w:pPr>
              <w:pStyle w:val="DHHStabletext"/>
            </w:pPr>
            <w:r>
              <w:t>1.1</w:t>
            </w:r>
          </w:p>
          <w:p w14:paraId="32559FB6" w14:textId="68C57055" w:rsidR="009B5375" w:rsidRPr="001476BE" w:rsidRDefault="009B5375" w:rsidP="0091691D">
            <w:pPr>
              <w:pStyle w:val="DHHStabletext"/>
            </w:pPr>
            <w:r>
              <w:t>(1.0–1.2)</w:t>
            </w:r>
          </w:p>
        </w:tc>
        <w:tc>
          <w:tcPr>
            <w:tcW w:w="2077" w:type="dxa"/>
            <w:shd w:val="clear" w:color="auto" w:fill="auto"/>
          </w:tcPr>
          <w:p w14:paraId="0AF2112E" w14:textId="77777777" w:rsidR="009B5375" w:rsidRDefault="009B5375" w:rsidP="0091691D">
            <w:pPr>
              <w:pStyle w:val="DHHStabletext"/>
            </w:pPr>
            <w:r>
              <w:t>1.2</w:t>
            </w:r>
          </w:p>
          <w:p w14:paraId="19DCD3AC" w14:textId="75B1546C" w:rsidR="009B5375" w:rsidRPr="001476BE" w:rsidRDefault="009B5375" w:rsidP="0091691D">
            <w:pPr>
              <w:pStyle w:val="DHHStabletext"/>
            </w:pPr>
            <w:r>
              <w:t>(1.1–1.3)</w:t>
            </w:r>
          </w:p>
        </w:tc>
      </w:tr>
      <w:tr w:rsidR="009B5375" w14:paraId="388D0094" w14:textId="77777777" w:rsidTr="0091691D">
        <w:trPr>
          <w:trHeight w:val="430"/>
        </w:trPr>
        <w:tc>
          <w:tcPr>
            <w:tcW w:w="2337" w:type="dxa"/>
            <w:shd w:val="clear" w:color="auto" w:fill="auto"/>
            <w:vAlign w:val="center"/>
          </w:tcPr>
          <w:p w14:paraId="0FBCB840" w14:textId="591B4DF4" w:rsidR="009B5375" w:rsidRPr="001476BE" w:rsidRDefault="009B5375" w:rsidP="0091691D">
            <w:pPr>
              <w:pStyle w:val="DHHStabletext"/>
            </w:pPr>
            <w:r>
              <w:t>HRICS</w:t>
            </w:r>
          </w:p>
        </w:tc>
        <w:tc>
          <w:tcPr>
            <w:tcW w:w="2077" w:type="dxa"/>
            <w:shd w:val="clear" w:color="auto" w:fill="auto"/>
          </w:tcPr>
          <w:p w14:paraId="35F15D3F" w14:textId="77777777" w:rsidR="009B5375" w:rsidRDefault="009B5375" w:rsidP="0091691D">
            <w:pPr>
              <w:pStyle w:val="DHHStabletext"/>
            </w:pPr>
            <w:r>
              <w:t>1.1</w:t>
            </w:r>
          </w:p>
          <w:p w14:paraId="3D65258E" w14:textId="09C89827" w:rsidR="009B5375" w:rsidRPr="001476BE" w:rsidRDefault="009B5375" w:rsidP="0091691D">
            <w:pPr>
              <w:pStyle w:val="DHHStabletext"/>
            </w:pPr>
            <w:r>
              <w:t>(1.0–1.2)</w:t>
            </w:r>
          </w:p>
        </w:tc>
        <w:tc>
          <w:tcPr>
            <w:tcW w:w="2077" w:type="dxa"/>
            <w:shd w:val="clear" w:color="auto" w:fill="auto"/>
          </w:tcPr>
          <w:p w14:paraId="66A864F2" w14:textId="77777777" w:rsidR="009B5375" w:rsidRDefault="009B5375" w:rsidP="0091691D">
            <w:pPr>
              <w:pStyle w:val="DHHStabletext"/>
            </w:pPr>
            <w:r>
              <w:t>1.2</w:t>
            </w:r>
          </w:p>
          <w:p w14:paraId="6C5E9E90" w14:textId="75B1EE5A" w:rsidR="009B5375" w:rsidRPr="001476BE" w:rsidRDefault="009B5375" w:rsidP="0091691D">
            <w:pPr>
              <w:pStyle w:val="DHHStabletext"/>
            </w:pPr>
            <w:r>
              <w:t>(1.1–1.3)</w:t>
            </w:r>
          </w:p>
        </w:tc>
        <w:tc>
          <w:tcPr>
            <w:tcW w:w="2077" w:type="dxa"/>
            <w:shd w:val="clear" w:color="auto" w:fill="auto"/>
          </w:tcPr>
          <w:p w14:paraId="11A5D279" w14:textId="77777777" w:rsidR="009B5375" w:rsidRDefault="009B5375" w:rsidP="0091691D">
            <w:pPr>
              <w:pStyle w:val="DHHStabletext"/>
            </w:pPr>
            <w:r>
              <w:t>1.1</w:t>
            </w:r>
          </w:p>
          <w:p w14:paraId="04F5DC53" w14:textId="79735207" w:rsidR="009B5375" w:rsidRPr="001476BE" w:rsidRDefault="009B5375" w:rsidP="0091691D">
            <w:pPr>
              <w:pStyle w:val="DHHStabletext"/>
            </w:pPr>
            <w:r>
              <w:t>(1.0–1.2)</w:t>
            </w:r>
          </w:p>
        </w:tc>
        <w:tc>
          <w:tcPr>
            <w:tcW w:w="2077" w:type="dxa"/>
            <w:shd w:val="clear" w:color="auto" w:fill="auto"/>
          </w:tcPr>
          <w:p w14:paraId="5E677A07" w14:textId="77777777" w:rsidR="009B5375" w:rsidRDefault="009B5375" w:rsidP="0091691D">
            <w:pPr>
              <w:pStyle w:val="DHHStabletext"/>
            </w:pPr>
            <w:r>
              <w:t>1.2</w:t>
            </w:r>
          </w:p>
          <w:p w14:paraId="6711FFBE" w14:textId="279D7D6C" w:rsidR="009B5375" w:rsidRPr="001476BE" w:rsidRDefault="009B5375" w:rsidP="0091691D">
            <w:pPr>
              <w:pStyle w:val="DHHStabletext"/>
            </w:pPr>
            <w:r>
              <w:t>(1.1–1.3)</w:t>
            </w:r>
          </w:p>
        </w:tc>
      </w:tr>
      <w:tr w:rsidR="009B5375" w14:paraId="6067954A" w14:textId="77777777" w:rsidTr="0091691D">
        <w:trPr>
          <w:trHeight w:val="417"/>
        </w:trPr>
        <w:tc>
          <w:tcPr>
            <w:tcW w:w="2337" w:type="dxa"/>
            <w:shd w:val="clear" w:color="auto" w:fill="auto"/>
            <w:vAlign w:val="center"/>
          </w:tcPr>
          <w:p w14:paraId="03FC6471" w14:textId="6B21926F" w:rsidR="009B5375" w:rsidRPr="001476BE" w:rsidRDefault="009B5375" w:rsidP="0091691D">
            <w:pPr>
              <w:pStyle w:val="DHHStabletext"/>
            </w:pPr>
            <w:r>
              <w:t>LMICS</w:t>
            </w:r>
          </w:p>
        </w:tc>
        <w:tc>
          <w:tcPr>
            <w:tcW w:w="2077" w:type="dxa"/>
            <w:shd w:val="clear" w:color="auto" w:fill="auto"/>
          </w:tcPr>
          <w:p w14:paraId="1C7CCD34" w14:textId="77777777" w:rsidR="009B5375" w:rsidRDefault="009B5375" w:rsidP="0091691D">
            <w:pPr>
              <w:pStyle w:val="DHHStabletext"/>
            </w:pPr>
            <w:r>
              <w:t>1.1</w:t>
            </w:r>
          </w:p>
          <w:p w14:paraId="7F0CB895" w14:textId="1B389042" w:rsidR="009B5375" w:rsidRPr="001476BE" w:rsidRDefault="009B5375" w:rsidP="0091691D">
            <w:pPr>
              <w:pStyle w:val="DHHStabletext"/>
            </w:pPr>
            <w:r>
              <w:t>(1.0–1.2)</w:t>
            </w:r>
          </w:p>
        </w:tc>
        <w:tc>
          <w:tcPr>
            <w:tcW w:w="2077" w:type="dxa"/>
            <w:shd w:val="clear" w:color="auto" w:fill="auto"/>
          </w:tcPr>
          <w:p w14:paraId="37B5F407" w14:textId="77777777" w:rsidR="009B5375" w:rsidRDefault="009B5375" w:rsidP="0091691D">
            <w:pPr>
              <w:pStyle w:val="DHHStabletext"/>
            </w:pPr>
            <w:r>
              <w:t>1.1</w:t>
            </w:r>
          </w:p>
          <w:p w14:paraId="26123014" w14:textId="169F3B48" w:rsidR="009B5375" w:rsidRPr="001476BE" w:rsidRDefault="009B5375" w:rsidP="0091691D">
            <w:pPr>
              <w:pStyle w:val="DHHStabletext"/>
            </w:pPr>
            <w:r>
              <w:t>(1.0–1.2)</w:t>
            </w:r>
          </w:p>
        </w:tc>
        <w:tc>
          <w:tcPr>
            <w:tcW w:w="2077" w:type="dxa"/>
            <w:shd w:val="clear" w:color="auto" w:fill="auto"/>
          </w:tcPr>
          <w:p w14:paraId="75D9B441" w14:textId="77777777" w:rsidR="009B5375" w:rsidRDefault="009B5375" w:rsidP="0091691D">
            <w:pPr>
              <w:pStyle w:val="DHHStabletext"/>
            </w:pPr>
            <w:r>
              <w:t>1.1</w:t>
            </w:r>
          </w:p>
          <w:p w14:paraId="22CB4429" w14:textId="581EDEFC" w:rsidR="009B5375" w:rsidRPr="001476BE" w:rsidRDefault="009B5375" w:rsidP="0091691D">
            <w:pPr>
              <w:pStyle w:val="DHHStabletext"/>
            </w:pPr>
            <w:r>
              <w:t>(1.0–1.2)</w:t>
            </w:r>
          </w:p>
        </w:tc>
        <w:tc>
          <w:tcPr>
            <w:tcW w:w="2077" w:type="dxa"/>
            <w:shd w:val="clear" w:color="auto" w:fill="auto"/>
          </w:tcPr>
          <w:p w14:paraId="75024DFB" w14:textId="77777777" w:rsidR="009B5375" w:rsidRDefault="009B5375" w:rsidP="0091691D">
            <w:pPr>
              <w:pStyle w:val="DHHStabletext"/>
            </w:pPr>
            <w:r>
              <w:t>1.2</w:t>
            </w:r>
          </w:p>
          <w:p w14:paraId="6B02AB03" w14:textId="45E2C49C" w:rsidR="009B5375" w:rsidRPr="001476BE" w:rsidRDefault="009B5375" w:rsidP="0091691D">
            <w:pPr>
              <w:pStyle w:val="DHHStabletext"/>
            </w:pPr>
            <w:r>
              <w:t>(1.1–1.3)</w:t>
            </w:r>
          </w:p>
        </w:tc>
      </w:tr>
      <w:tr w:rsidR="009B5375" w14:paraId="11B75745" w14:textId="77777777" w:rsidTr="0091691D">
        <w:trPr>
          <w:trHeight w:val="38"/>
        </w:trPr>
        <w:tc>
          <w:tcPr>
            <w:tcW w:w="2337" w:type="dxa"/>
            <w:shd w:val="clear" w:color="auto" w:fill="auto"/>
            <w:vAlign w:val="center"/>
          </w:tcPr>
          <w:p w14:paraId="4F0D7D0C" w14:textId="01F44546" w:rsidR="009B5375" w:rsidRPr="001476BE" w:rsidRDefault="009B5375" w:rsidP="0091691D">
            <w:pPr>
              <w:pStyle w:val="DHHStabletext"/>
            </w:pPr>
            <w:r>
              <w:t>GICS</w:t>
            </w:r>
          </w:p>
        </w:tc>
        <w:tc>
          <w:tcPr>
            <w:tcW w:w="2077" w:type="dxa"/>
            <w:shd w:val="clear" w:color="auto" w:fill="auto"/>
          </w:tcPr>
          <w:p w14:paraId="4097ACD7" w14:textId="77777777" w:rsidR="009B5375" w:rsidRDefault="009B5375" w:rsidP="0091691D">
            <w:pPr>
              <w:pStyle w:val="DHHStabletext"/>
            </w:pPr>
            <w:r>
              <w:t>1.1</w:t>
            </w:r>
          </w:p>
          <w:p w14:paraId="4C4F9D8D" w14:textId="2C2B7BC9" w:rsidR="009B5375" w:rsidRPr="001476BE" w:rsidRDefault="009B5375" w:rsidP="0091691D">
            <w:pPr>
              <w:pStyle w:val="DHHStabletext"/>
            </w:pPr>
            <w:r>
              <w:t>(1.0–1.2)</w:t>
            </w:r>
          </w:p>
        </w:tc>
        <w:tc>
          <w:tcPr>
            <w:tcW w:w="2077" w:type="dxa"/>
            <w:shd w:val="clear" w:color="auto" w:fill="auto"/>
          </w:tcPr>
          <w:p w14:paraId="270CF6C0" w14:textId="77777777" w:rsidR="009B5375" w:rsidRDefault="009B5375" w:rsidP="0091691D">
            <w:pPr>
              <w:pStyle w:val="DHHStabletext"/>
            </w:pPr>
            <w:r>
              <w:t>1.2</w:t>
            </w:r>
          </w:p>
          <w:p w14:paraId="255C1885" w14:textId="6402FD54" w:rsidR="009B5375" w:rsidRPr="001476BE" w:rsidRDefault="009B5375" w:rsidP="0091691D">
            <w:pPr>
              <w:pStyle w:val="DHHStabletext"/>
            </w:pPr>
            <w:r>
              <w:t>(1.1–1.3)</w:t>
            </w:r>
          </w:p>
        </w:tc>
        <w:tc>
          <w:tcPr>
            <w:tcW w:w="2077" w:type="dxa"/>
            <w:shd w:val="clear" w:color="auto" w:fill="auto"/>
          </w:tcPr>
          <w:p w14:paraId="214FDFE7" w14:textId="77777777" w:rsidR="009B5375" w:rsidRDefault="009B5375" w:rsidP="0091691D">
            <w:pPr>
              <w:pStyle w:val="DHHStabletext"/>
            </w:pPr>
            <w:r>
              <w:t>1.2</w:t>
            </w:r>
          </w:p>
          <w:p w14:paraId="5925682D" w14:textId="335D60E9" w:rsidR="009B5375" w:rsidRPr="001476BE" w:rsidRDefault="009B5375" w:rsidP="0091691D">
            <w:pPr>
              <w:pStyle w:val="DHHStabletext"/>
            </w:pPr>
            <w:r>
              <w:t>(1.1–1.3)</w:t>
            </w:r>
          </w:p>
        </w:tc>
        <w:tc>
          <w:tcPr>
            <w:tcW w:w="2077" w:type="dxa"/>
            <w:shd w:val="clear" w:color="auto" w:fill="auto"/>
          </w:tcPr>
          <w:p w14:paraId="05D1DFCD" w14:textId="77777777" w:rsidR="009B5375" w:rsidRDefault="009B5375" w:rsidP="0091691D">
            <w:pPr>
              <w:pStyle w:val="DHHStabletext"/>
            </w:pPr>
            <w:r>
              <w:t>1.1</w:t>
            </w:r>
          </w:p>
          <w:p w14:paraId="0B1A7997" w14:textId="2F009F0F" w:rsidR="009B5375" w:rsidRPr="001476BE" w:rsidRDefault="009B5375" w:rsidP="0091691D">
            <w:pPr>
              <w:pStyle w:val="DHHStabletext"/>
            </w:pPr>
            <w:r>
              <w:t>(1.0–1.2)</w:t>
            </w:r>
          </w:p>
        </w:tc>
      </w:tr>
    </w:tbl>
    <w:p w14:paraId="4995CD5B" w14:textId="1B566E1A" w:rsidR="00665D4B" w:rsidRPr="00E060C8" w:rsidRDefault="00665D4B" w:rsidP="00E060C8">
      <w:pPr>
        <w:pStyle w:val="Heading4"/>
      </w:pPr>
      <w:r w:rsidRPr="00E43803">
        <w:t>Measure assessment</w:t>
      </w:r>
    </w:p>
    <w:p w14:paraId="2DCA5720" w14:textId="5DCAAC11" w:rsidR="00FE5799" w:rsidRPr="00E060C8" w:rsidRDefault="00FE5799" w:rsidP="00E060C8">
      <w:pPr>
        <w:autoSpaceDE w:val="0"/>
        <w:autoSpaceDN w:val="0"/>
        <w:adjustRightInd w:val="0"/>
        <w:spacing w:after="120" w:line="270" w:lineRule="atLeast"/>
        <w:rPr>
          <w:rFonts w:ascii="Arial" w:hAnsi="Arial" w:cs="Arial"/>
          <w:color w:val="C5511A"/>
        </w:rPr>
      </w:pPr>
      <w:r w:rsidRPr="009F01B1">
        <w:rPr>
          <w:rFonts w:ascii="Arial" w:hAnsi="Arial" w:cs="Arial"/>
        </w:rPr>
        <w:t>Traffic light rating:</w:t>
      </w:r>
      <w:r w:rsidR="00B87E35">
        <w:rPr>
          <w:rFonts w:ascii="Arial" w:hAnsi="Arial" w:cs="Arial"/>
        </w:rPr>
        <w:t xml:space="preserve"> </w:t>
      </w:r>
      <w:r w:rsidR="00902763"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49EBD745" w14:textId="4337F319" w:rsidR="00FE5799" w:rsidRPr="003E5FD3" w:rsidRDefault="00FE5799"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A00634">
        <w:rPr>
          <w:rFonts w:ascii="Arial" w:hAnsi="Arial" w:cs="Arial"/>
        </w:rPr>
        <w:t>Static or unchanging</w:t>
      </w:r>
    </w:p>
    <w:p w14:paraId="1FE49BF1" w14:textId="74D210DF" w:rsidR="000F35A4" w:rsidRPr="00223D80" w:rsidRDefault="00FE5799" w:rsidP="00E060C8">
      <w:pPr>
        <w:pStyle w:val="DHHSbody"/>
        <w:rPr>
          <w:rFonts w:cs="Arial"/>
          <w:lang w:eastAsia="en-AU"/>
        </w:rPr>
      </w:pPr>
      <w:r w:rsidRPr="00E53A3D">
        <w:rPr>
          <w:rFonts w:cs="Arial"/>
          <w:lang w:eastAsia="en-AU"/>
        </w:rPr>
        <w:t xml:space="preserve">Commentary: </w:t>
      </w:r>
      <w:r w:rsidR="00E418F4" w:rsidRPr="00E53A3D">
        <w:rPr>
          <w:rFonts w:cs="Arial"/>
          <w:lang w:eastAsia="en-AU"/>
        </w:rPr>
        <w:t xml:space="preserve">Figure </w:t>
      </w:r>
      <w:r w:rsidR="00A00634" w:rsidRPr="00E53A3D">
        <w:rPr>
          <w:rFonts w:cs="Arial"/>
          <w:lang w:eastAsia="en-AU"/>
        </w:rPr>
        <w:t xml:space="preserve">4.1 and Table 4.1 show </w:t>
      </w:r>
      <w:r w:rsidR="00CA440A" w:rsidRPr="00E53A3D">
        <w:rPr>
          <w:rFonts w:cs="Arial"/>
          <w:lang w:eastAsia="en-AU"/>
        </w:rPr>
        <w:t>there are disparities</w:t>
      </w:r>
      <w:r w:rsidR="001B00F7" w:rsidRPr="00E53A3D">
        <w:rPr>
          <w:rFonts w:cs="Arial"/>
          <w:lang w:eastAsia="en-AU"/>
        </w:rPr>
        <w:t xml:space="preserve"> </w:t>
      </w:r>
      <w:r w:rsidR="00CA440A" w:rsidRPr="00E53A3D">
        <w:rPr>
          <w:rFonts w:cs="Arial"/>
          <w:lang w:eastAsia="en-AU"/>
        </w:rPr>
        <w:t>in cancer outcomes between people living in</w:t>
      </w:r>
      <w:r w:rsidR="001B00F7" w:rsidRPr="00E53A3D">
        <w:rPr>
          <w:rFonts w:cs="Arial"/>
          <w:lang w:eastAsia="en-AU"/>
        </w:rPr>
        <w:t xml:space="preserve"> </w:t>
      </w:r>
      <w:r w:rsidR="00CA440A" w:rsidRPr="00E53A3D">
        <w:rPr>
          <w:rFonts w:cs="Arial"/>
          <w:lang w:eastAsia="en-AU"/>
        </w:rPr>
        <w:t>metropolitan versus non-metropolitan regions</w:t>
      </w:r>
      <w:r w:rsidR="00833817">
        <w:rPr>
          <w:rFonts w:cs="Arial"/>
          <w:lang w:eastAsia="en-AU"/>
        </w:rPr>
        <w:t>,</w:t>
      </w:r>
      <w:r w:rsidR="001B00F7" w:rsidRPr="00E53A3D">
        <w:rPr>
          <w:rFonts w:cs="Arial"/>
          <w:lang w:eastAsia="en-AU"/>
        </w:rPr>
        <w:t xml:space="preserve"> with </w:t>
      </w:r>
      <w:r w:rsidR="00B87E35" w:rsidRPr="00E53A3D">
        <w:rPr>
          <w:rFonts w:cs="Arial"/>
          <w:lang w:eastAsia="en-AU"/>
        </w:rPr>
        <w:t>the rate of</w:t>
      </w:r>
      <w:r w:rsidR="00A00634" w:rsidRPr="00E53A3D">
        <w:rPr>
          <w:rFonts w:cs="Arial"/>
          <w:lang w:eastAsia="en-AU"/>
        </w:rPr>
        <w:t xml:space="preserve"> </w:t>
      </w:r>
      <w:r w:rsidR="00B87E35" w:rsidRPr="00E53A3D">
        <w:rPr>
          <w:rFonts w:cs="Arial"/>
          <w:lang w:eastAsia="en-AU"/>
        </w:rPr>
        <w:t>preventable cancer incidence between ICS from</w:t>
      </w:r>
      <w:r w:rsidR="00A00634" w:rsidRPr="00E53A3D">
        <w:rPr>
          <w:rFonts w:cs="Arial"/>
          <w:lang w:eastAsia="en-AU"/>
        </w:rPr>
        <w:t xml:space="preserve"> 201</w:t>
      </w:r>
      <w:r w:rsidR="0018654B">
        <w:rPr>
          <w:rFonts w:cs="Arial"/>
          <w:lang w:eastAsia="en-AU"/>
        </w:rPr>
        <w:t>4</w:t>
      </w:r>
      <w:r w:rsidR="00A00634" w:rsidRPr="00E53A3D">
        <w:rPr>
          <w:rFonts w:cs="Arial"/>
          <w:lang w:eastAsia="en-AU"/>
        </w:rPr>
        <w:t xml:space="preserve"> </w:t>
      </w:r>
      <w:r w:rsidR="00B87E35" w:rsidRPr="00E53A3D">
        <w:rPr>
          <w:rFonts w:cs="Arial"/>
          <w:lang w:eastAsia="en-AU"/>
        </w:rPr>
        <w:t>to</w:t>
      </w:r>
      <w:r w:rsidR="00A00634" w:rsidRPr="00E53A3D">
        <w:rPr>
          <w:rFonts w:cs="Arial"/>
          <w:lang w:eastAsia="en-AU"/>
        </w:rPr>
        <w:t xml:space="preserve"> 2017 </w:t>
      </w:r>
      <w:r w:rsidR="00DA08AE" w:rsidRPr="00E53A3D">
        <w:rPr>
          <w:rFonts w:cs="Arial"/>
          <w:lang w:eastAsia="en-AU"/>
        </w:rPr>
        <w:t xml:space="preserve">generally </w:t>
      </w:r>
      <w:r w:rsidR="00B87E35" w:rsidRPr="00E53A3D">
        <w:rPr>
          <w:rFonts w:cs="Arial"/>
          <w:lang w:eastAsia="en-AU"/>
        </w:rPr>
        <w:t>lower in ICS</w:t>
      </w:r>
      <w:r w:rsidR="009824D7" w:rsidRPr="00E53A3D">
        <w:rPr>
          <w:rFonts w:cs="Arial"/>
          <w:lang w:eastAsia="en-AU"/>
        </w:rPr>
        <w:t>s</w:t>
      </w:r>
      <w:r w:rsidR="00B87E35" w:rsidRPr="00E53A3D">
        <w:rPr>
          <w:rFonts w:cs="Arial"/>
          <w:lang w:eastAsia="en-AU"/>
        </w:rPr>
        <w:t xml:space="preserve"> with large metropolitan areas such as Melbourne compared </w:t>
      </w:r>
      <w:r w:rsidR="001B50BF">
        <w:rPr>
          <w:rFonts w:cs="Arial"/>
          <w:lang w:eastAsia="en-AU"/>
        </w:rPr>
        <w:t xml:space="preserve">with </w:t>
      </w:r>
      <w:r w:rsidR="00B87E35" w:rsidRPr="00E53A3D">
        <w:rPr>
          <w:rFonts w:cs="Arial"/>
          <w:lang w:eastAsia="en-AU"/>
        </w:rPr>
        <w:t>those who service regional patients.</w:t>
      </w:r>
      <w:r w:rsidR="00111969" w:rsidRPr="00E53A3D">
        <w:rPr>
          <w:rFonts w:cs="Arial"/>
          <w:lang w:eastAsia="en-AU"/>
        </w:rPr>
        <w:t xml:space="preserve"> </w:t>
      </w:r>
      <w:r w:rsidR="000F35A4" w:rsidRPr="00E53A3D">
        <w:rPr>
          <w:rFonts w:cs="Arial"/>
          <w:lang w:eastAsia="en-AU"/>
        </w:rPr>
        <w:t>While no target has been set for this measure, the Department of Health and Human Services recognises and is addressing the need to improve access to cancer treatment within non-metropolitan regions.</w:t>
      </w:r>
      <w:r w:rsidR="000F35A4">
        <w:rPr>
          <w:lang w:eastAsia="en-AU"/>
        </w:rPr>
        <w:br w:type="page"/>
      </w:r>
    </w:p>
    <w:p w14:paraId="7D715BFC" w14:textId="668058F8" w:rsidR="00665D4B" w:rsidRPr="00665D4B" w:rsidRDefault="009B5026" w:rsidP="00665D4B">
      <w:pPr>
        <w:pStyle w:val="Heading3"/>
        <w:rPr>
          <w:lang w:eastAsia="en-AU"/>
        </w:rPr>
      </w:pPr>
      <w:bookmarkStart w:id="284" w:name="_Measure_4.2_–"/>
      <w:bookmarkStart w:id="285" w:name="_Toc19008040"/>
      <w:bookmarkEnd w:id="284"/>
      <w:r>
        <w:rPr>
          <w:lang w:eastAsia="en-AU"/>
        </w:rPr>
        <w:lastRenderedPageBreak/>
        <w:t xml:space="preserve">Measure 4.2 – Rate ratio of </w:t>
      </w:r>
      <w:r w:rsidR="00672DB2">
        <w:rPr>
          <w:lang w:eastAsia="en-AU"/>
        </w:rPr>
        <w:t xml:space="preserve">preventable </w:t>
      </w:r>
      <w:r>
        <w:rPr>
          <w:lang w:eastAsia="en-AU"/>
        </w:rPr>
        <w:t xml:space="preserve">cancer incidence between </w:t>
      </w:r>
      <w:r w:rsidR="002C35B2">
        <w:rPr>
          <w:lang w:eastAsia="en-AU"/>
        </w:rPr>
        <w:t>socioeconomic</w:t>
      </w:r>
      <w:r>
        <w:rPr>
          <w:lang w:eastAsia="en-AU"/>
        </w:rPr>
        <w:t xml:space="preserve"> quintiles</w:t>
      </w:r>
      <w:bookmarkEnd w:id="285"/>
    </w:p>
    <w:p w14:paraId="4DD6E0B3" w14:textId="49D2FCD3" w:rsidR="008349D5" w:rsidRPr="000D720B" w:rsidRDefault="008349D5" w:rsidP="001A17B2">
      <w:pPr>
        <w:pStyle w:val="DHHSfigurecaption"/>
        <w:rPr>
          <w:lang w:val="en"/>
        </w:rPr>
      </w:pPr>
      <w:bookmarkStart w:id="286" w:name="_Toc19008042"/>
      <w:bookmarkStart w:id="287" w:name="_Toc19008289"/>
      <w:bookmarkStart w:id="288" w:name="_Toc19008436"/>
      <w:bookmarkStart w:id="289" w:name="_Toc19008583"/>
      <w:bookmarkStart w:id="290" w:name="_Toc27414291"/>
      <w:r w:rsidRPr="003B3C7F">
        <w:rPr>
          <w:rFonts w:cs="Arial"/>
        </w:rPr>
        <w:t>Figure 4.2</w:t>
      </w:r>
      <w:r w:rsidR="00C17266">
        <w:rPr>
          <w:rFonts w:cs="Arial"/>
        </w:rPr>
        <w:t>:</w:t>
      </w:r>
      <w:r w:rsidRPr="003B3C7F">
        <w:rPr>
          <w:rFonts w:cs="Arial"/>
        </w:rPr>
        <w:t xml:space="preserve"> </w:t>
      </w:r>
      <w:r w:rsidRPr="003B3C7F">
        <w:t>Rate ratio of preventable cancer incidence</w:t>
      </w:r>
      <w:r w:rsidR="006F4D43">
        <w:t xml:space="preserve"> (with confidence intervals)</w:t>
      </w:r>
      <w:r w:rsidR="00DF1257">
        <w:t xml:space="preserve"> for Victoria</w:t>
      </w:r>
      <w:r w:rsidRPr="003B3C7F">
        <w:t xml:space="preserve"> in </w:t>
      </w:r>
      <w:r w:rsidR="00C17266">
        <w:t>SES</w:t>
      </w:r>
      <w:r w:rsidRPr="003B3C7F">
        <w:t xml:space="preserve"> quintiles 1</w:t>
      </w:r>
      <w:r w:rsidR="00C17266">
        <w:t>–</w:t>
      </w:r>
      <w:r w:rsidRPr="003B3C7F">
        <w:t xml:space="preserve">4 (where SES 1 is most disadvantaged) compared </w:t>
      </w:r>
      <w:r w:rsidR="001B50BF">
        <w:t>with</w:t>
      </w:r>
      <w:r w:rsidR="001B50BF" w:rsidRPr="003B3C7F">
        <w:t xml:space="preserve"> </w:t>
      </w:r>
      <w:r w:rsidRPr="003B3C7F">
        <w:t xml:space="preserve">the least disadvantaged </w:t>
      </w:r>
      <w:r w:rsidR="00C17266">
        <w:t xml:space="preserve">SES </w:t>
      </w:r>
      <w:r w:rsidR="00A816AA">
        <w:t>(quintile 5)</w:t>
      </w:r>
      <w:r w:rsidRPr="003B3C7F">
        <w:t>, grouped by year of diagnosis</w:t>
      </w:r>
      <w:r w:rsidR="00C17266">
        <w:t>,</w:t>
      </w:r>
      <w:r w:rsidRPr="003B3C7F">
        <w:t xml:space="preserve"> 201</w:t>
      </w:r>
      <w:r w:rsidR="0018654B">
        <w:t>4</w:t>
      </w:r>
      <w:r w:rsidR="00C17266">
        <w:t>–</w:t>
      </w:r>
      <w:r w:rsidRPr="003B3C7F">
        <w:t>2017</w:t>
      </w:r>
      <w:bookmarkEnd w:id="286"/>
      <w:bookmarkEnd w:id="287"/>
      <w:bookmarkEnd w:id="288"/>
      <w:bookmarkEnd w:id="289"/>
      <w:bookmarkEnd w:id="290"/>
    </w:p>
    <w:p w14:paraId="1EA9BADB" w14:textId="3AB22F0E" w:rsidR="004326FA" w:rsidRPr="004326FA" w:rsidRDefault="004326FA" w:rsidP="004326FA">
      <w:pPr>
        <w:pStyle w:val="DHHSbody"/>
      </w:pPr>
      <w:r>
        <w:rPr>
          <w:noProof/>
        </w:rPr>
        <w:drawing>
          <wp:inline distT="0" distB="0" distL="0" distR="0" wp14:anchorId="521BE289" wp14:editId="2CF1BBC2">
            <wp:extent cx="6750685" cy="5130800"/>
            <wp:effectExtent l="0" t="0" r="0" b="0"/>
            <wp:docPr id="92" name="Picture 92" descr="This figure shows a summary of 'Measure 4.2 - Rate ratio of preventable cancer incidence between socioeconomic quintiles'.  The data for this figure is available in this section for the study period 2014 to 2017 - refer to Table 4.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750685" cy="5130800"/>
                    </a:xfrm>
                    <a:prstGeom prst="rect">
                      <a:avLst/>
                    </a:prstGeom>
                    <a:noFill/>
                    <a:ln>
                      <a:noFill/>
                    </a:ln>
                  </pic:spPr>
                </pic:pic>
              </a:graphicData>
            </a:graphic>
          </wp:inline>
        </w:drawing>
      </w:r>
    </w:p>
    <w:p w14:paraId="7462F0BA" w14:textId="56435D98" w:rsidR="006F4D43" w:rsidRDefault="006F4D43" w:rsidP="00A06B87">
      <w:pPr>
        <w:pStyle w:val="NormalWeb"/>
        <w:jc w:val="center"/>
        <w:rPr>
          <w:rFonts w:ascii="Arial" w:hAnsi="Arial" w:cs="Arial"/>
          <w:sz w:val="18"/>
          <w:szCs w:val="18"/>
        </w:rPr>
      </w:pPr>
    </w:p>
    <w:p w14:paraId="319EA66C" w14:textId="4365A55E" w:rsidR="004326FA" w:rsidRPr="00FA1AAC" w:rsidRDefault="009F3391" w:rsidP="00FA1AAC">
      <w:pPr>
        <w:pStyle w:val="DHHStablefigurenote"/>
        <w:rPr>
          <w:b/>
        </w:rPr>
      </w:pPr>
      <w:r w:rsidRPr="00B51921">
        <w:t>Note</w:t>
      </w:r>
      <w:r w:rsidR="004F0FAA">
        <w:t>s</w:t>
      </w:r>
      <w:r w:rsidR="004F0FAA" w:rsidRPr="00886E6C">
        <w:t>:</w:t>
      </w:r>
      <w:r w:rsidRPr="00B51921">
        <w:rPr>
          <w:b/>
        </w:rPr>
        <w:t xml:space="preserve"> </w:t>
      </w:r>
    </w:p>
    <w:p w14:paraId="2E633BA7" w14:textId="77777777" w:rsidR="004326FA" w:rsidRDefault="004326FA" w:rsidP="00FA1AAC">
      <w:pPr>
        <w:pStyle w:val="DHHStablefigurenote"/>
      </w:pPr>
      <w:r w:rsidRPr="00A475FD">
        <w:t>Estimated and projected resident population files sourced from</w:t>
      </w:r>
      <w:r>
        <w:t xml:space="preserve"> the</w:t>
      </w:r>
      <w:r w:rsidRPr="00A475FD">
        <w:t xml:space="preserve"> ABS. Note that at the time of preparing results, </w:t>
      </w:r>
      <w:r>
        <w:t xml:space="preserve">the ABS had not yet finalised the </w:t>
      </w:r>
      <w:r w:rsidRPr="00A475FD">
        <w:t>2017</w:t>
      </w:r>
      <w:r>
        <w:t xml:space="preserve"> ERP</w:t>
      </w:r>
      <w:r w:rsidRPr="00A475FD">
        <w:t>.</w:t>
      </w:r>
    </w:p>
    <w:p w14:paraId="1F180E42" w14:textId="716A82B5" w:rsidR="00DF7535" w:rsidRPr="00223D80" w:rsidRDefault="004326FA" w:rsidP="00FA1AAC">
      <w:pPr>
        <w:pStyle w:val="DHHStablefigurenote"/>
      </w:pPr>
      <w:r>
        <w:t xml:space="preserve">The baseline socioeconomic status (SES) quintile used for calculating the rate of ratios for each year is quintile 5 (least disadvantaged) and is highlighted in </w:t>
      </w:r>
      <w:r w:rsidRPr="004326FA">
        <w:rPr>
          <w:color w:val="C00000"/>
        </w:rPr>
        <w:t>r</w:t>
      </w:r>
      <w:r w:rsidRPr="006B534F">
        <w:rPr>
          <w:color w:val="C00000"/>
        </w:rPr>
        <w:t>ed</w:t>
      </w:r>
      <w:r>
        <w:t>. A rate ratio greater than one indicates a higher incidence rate than the baseline ICS.</w:t>
      </w:r>
      <w:r w:rsidR="00DF7535" w:rsidRPr="00223D80">
        <w:rPr>
          <w:b/>
        </w:rPr>
        <w:br w:type="page"/>
      </w:r>
    </w:p>
    <w:p w14:paraId="04F967C1" w14:textId="4912C0D5" w:rsidR="006F4D43" w:rsidRPr="006F4D43" w:rsidRDefault="006F4D43" w:rsidP="002226C1">
      <w:pPr>
        <w:pStyle w:val="DHHStablecaption"/>
      </w:pPr>
      <w:bookmarkStart w:id="291" w:name="_Toc18908722"/>
      <w:bookmarkStart w:id="292" w:name="_Toc27414401"/>
      <w:r w:rsidRPr="005E3017">
        <w:lastRenderedPageBreak/>
        <w:t>Table 4.2</w:t>
      </w:r>
      <w:r w:rsidR="00C17266">
        <w:t>:</w:t>
      </w:r>
      <w:r w:rsidRPr="006F4D43">
        <w:t xml:space="preserve"> Rate ratio of preventable cancer incidence (with confidence intervals) for Victoria in </w:t>
      </w:r>
      <w:r w:rsidR="00C17266">
        <w:t>SES</w:t>
      </w:r>
      <w:r w:rsidRPr="006F4D43">
        <w:t xml:space="preserve"> quintiles 1</w:t>
      </w:r>
      <w:r w:rsidR="00C17266">
        <w:t>–</w:t>
      </w:r>
      <w:r w:rsidRPr="006F4D43">
        <w:t xml:space="preserve">4 (where SES 1 is most disadvantaged) compared </w:t>
      </w:r>
      <w:r w:rsidR="001B50BF">
        <w:t>with</w:t>
      </w:r>
      <w:r w:rsidR="001B50BF" w:rsidRPr="006F4D43">
        <w:t xml:space="preserve"> </w:t>
      </w:r>
      <w:r w:rsidRPr="006F4D43">
        <w:t xml:space="preserve">the least disadvantaged </w:t>
      </w:r>
      <w:r w:rsidR="00C17266">
        <w:t>SES</w:t>
      </w:r>
      <w:r w:rsidRPr="006F4D43">
        <w:t>, grouped by year of diagnosis</w:t>
      </w:r>
      <w:r w:rsidR="00C17266">
        <w:t>,</w:t>
      </w:r>
      <w:r w:rsidRPr="006F4D43">
        <w:t xml:space="preserve"> 201</w:t>
      </w:r>
      <w:r w:rsidR="00201CD8">
        <w:t>4</w:t>
      </w:r>
      <w:r w:rsidR="00C17266">
        <w:t>–</w:t>
      </w:r>
      <w:r w:rsidRPr="006F4D43">
        <w:t>2017</w:t>
      </w:r>
      <w:bookmarkEnd w:id="291"/>
      <w:bookmarkEnd w:id="292"/>
    </w:p>
    <w:tbl>
      <w:tblPr>
        <w:tblStyle w:val="TableGrid"/>
        <w:tblW w:w="10424" w:type="dxa"/>
        <w:tblInd w:w="-1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5403"/>
        <w:gridCol w:w="1351"/>
        <w:gridCol w:w="1215"/>
        <w:gridCol w:w="1214"/>
        <w:gridCol w:w="1241"/>
      </w:tblGrid>
      <w:tr w:rsidR="00000145" w14:paraId="64D92BFE" w14:textId="77777777" w:rsidTr="003B16AB">
        <w:trPr>
          <w:trHeight w:val="444"/>
        </w:trPr>
        <w:tc>
          <w:tcPr>
            <w:tcW w:w="5403" w:type="dxa"/>
            <w:shd w:val="clear" w:color="auto" w:fill="EDCDCF"/>
          </w:tcPr>
          <w:p w14:paraId="400290F7" w14:textId="2563B64F" w:rsidR="00000145" w:rsidRPr="001D12CA" w:rsidRDefault="00A31573" w:rsidP="000C2043">
            <w:pPr>
              <w:pStyle w:val="DHHStablecolhead"/>
            </w:pPr>
            <w:r>
              <w:t>SES</w:t>
            </w:r>
          </w:p>
        </w:tc>
        <w:tc>
          <w:tcPr>
            <w:tcW w:w="1351" w:type="dxa"/>
            <w:shd w:val="clear" w:color="auto" w:fill="EDCDCF"/>
          </w:tcPr>
          <w:p w14:paraId="2D4AED78" w14:textId="77777777" w:rsidR="00000145" w:rsidRPr="00000145" w:rsidRDefault="00000145" w:rsidP="000C2043">
            <w:pPr>
              <w:pStyle w:val="DHHStablecolhead"/>
            </w:pPr>
            <w:r w:rsidRPr="00000145">
              <w:t>2014</w:t>
            </w:r>
          </w:p>
          <w:p w14:paraId="69991B8A" w14:textId="625202EB" w:rsidR="00000145" w:rsidRPr="00000145" w:rsidRDefault="00000145" w:rsidP="000C2043">
            <w:pPr>
              <w:pStyle w:val="DHHStablecolhead"/>
            </w:pPr>
            <w:r w:rsidRPr="00000145">
              <w:t>(95% CI)</w:t>
            </w:r>
          </w:p>
        </w:tc>
        <w:tc>
          <w:tcPr>
            <w:tcW w:w="1215" w:type="dxa"/>
            <w:shd w:val="clear" w:color="auto" w:fill="EDCDCF"/>
          </w:tcPr>
          <w:p w14:paraId="2C005B95" w14:textId="77777777" w:rsidR="00000145" w:rsidRPr="00000145" w:rsidRDefault="00000145" w:rsidP="000C2043">
            <w:pPr>
              <w:pStyle w:val="DHHStablecolhead"/>
            </w:pPr>
            <w:r w:rsidRPr="00000145">
              <w:t>2015</w:t>
            </w:r>
          </w:p>
          <w:p w14:paraId="31C26AC1" w14:textId="24C63554" w:rsidR="00000145" w:rsidRPr="00000145" w:rsidRDefault="00000145" w:rsidP="000C2043">
            <w:pPr>
              <w:pStyle w:val="DHHStablecolhead"/>
            </w:pPr>
            <w:r w:rsidRPr="00000145">
              <w:t>(95% CI)</w:t>
            </w:r>
          </w:p>
        </w:tc>
        <w:tc>
          <w:tcPr>
            <w:tcW w:w="1214" w:type="dxa"/>
            <w:shd w:val="clear" w:color="auto" w:fill="EDCDCF"/>
          </w:tcPr>
          <w:p w14:paraId="757752BE" w14:textId="77777777" w:rsidR="00000145" w:rsidRPr="00000145" w:rsidRDefault="00000145" w:rsidP="000C2043">
            <w:pPr>
              <w:pStyle w:val="DHHStablecolhead"/>
            </w:pPr>
            <w:r w:rsidRPr="00000145">
              <w:t>2016</w:t>
            </w:r>
          </w:p>
          <w:p w14:paraId="0A863DFE" w14:textId="7DAE37C2" w:rsidR="00000145" w:rsidRPr="00000145" w:rsidRDefault="00000145" w:rsidP="000C2043">
            <w:pPr>
              <w:pStyle w:val="DHHStablecolhead"/>
            </w:pPr>
            <w:r w:rsidRPr="00000145">
              <w:t>(95% CI)</w:t>
            </w:r>
          </w:p>
        </w:tc>
        <w:tc>
          <w:tcPr>
            <w:tcW w:w="1241" w:type="dxa"/>
            <w:shd w:val="clear" w:color="auto" w:fill="EDCDCF"/>
          </w:tcPr>
          <w:p w14:paraId="0D7F9DF6" w14:textId="77777777" w:rsidR="00000145" w:rsidRPr="00000145" w:rsidRDefault="00000145" w:rsidP="000C2043">
            <w:pPr>
              <w:pStyle w:val="DHHStablecolhead"/>
            </w:pPr>
            <w:r w:rsidRPr="00000145">
              <w:t>2017</w:t>
            </w:r>
          </w:p>
          <w:p w14:paraId="5B04DE83" w14:textId="73DBA05C" w:rsidR="00000145" w:rsidRPr="00000145" w:rsidRDefault="00000145" w:rsidP="000C2043">
            <w:pPr>
              <w:pStyle w:val="DHHStablecolhead"/>
            </w:pPr>
            <w:r w:rsidRPr="00000145">
              <w:t>(95% CI)</w:t>
            </w:r>
          </w:p>
        </w:tc>
      </w:tr>
      <w:tr w:rsidR="00000145" w14:paraId="6E0BDDDE" w14:textId="77777777" w:rsidTr="003B16AB">
        <w:trPr>
          <w:trHeight w:val="338"/>
        </w:trPr>
        <w:tc>
          <w:tcPr>
            <w:tcW w:w="5403" w:type="dxa"/>
            <w:shd w:val="clear" w:color="auto" w:fill="auto"/>
          </w:tcPr>
          <w:p w14:paraId="25D854D4" w14:textId="1B36884C" w:rsidR="00000145" w:rsidRPr="004D4E2D" w:rsidRDefault="00000145" w:rsidP="00000145">
            <w:pPr>
              <w:pStyle w:val="DHHStabletext"/>
              <w:rPr>
                <w:b/>
              </w:rPr>
            </w:pPr>
            <w:r w:rsidRPr="00CA2AD7">
              <w:t xml:space="preserve">Quintile 1 </w:t>
            </w:r>
            <w:r w:rsidRPr="004D4E2D">
              <w:t>(</w:t>
            </w:r>
            <w:r>
              <w:t>m</w:t>
            </w:r>
            <w:r w:rsidRPr="004D4E2D">
              <w:t>ost disadvantaged</w:t>
            </w:r>
            <w:r w:rsidRPr="00CA2AD7">
              <w:t>)</w:t>
            </w:r>
          </w:p>
        </w:tc>
        <w:tc>
          <w:tcPr>
            <w:tcW w:w="1351" w:type="dxa"/>
            <w:shd w:val="clear" w:color="auto" w:fill="auto"/>
          </w:tcPr>
          <w:p w14:paraId="0CB5966A" w14:textId="77777777" w:rsidR="00000145" w:rsidRPr="00676EB9" w:rsidRDefault="00000145" w:rsidP="00000145">
            <w:pPr>
              <w:pStyle w:val="DHHStabletext"/>
            </w:pPr>
            <w:r w:rsidRPr="001C0198">
              <w:t>1.1</w:t>
            </w:r>
          </w:p>
          <w:p w14:paraId="65AA335B" w14:textId="7B15F0E3" w:rsidR="00000145" w:rsidRPr="003E7BB3" w:rsidRDefault="00000145" w:rsidP="00000145">
            <w:pPr>
              <w:pStyle w:val="DHHStabletext"/>
            </w:pPr>
            <w:r w:rsidRPr="00D2579A">
              <w:t>(1.0</w:t>
            </w:r>
            <w:r w:rsidRPr="00833817">
              <w:t>–</w:t>
            </w:r>
            <w:r w:rsidRPr="00461622">
              <w:t>1.2)</w:t>
            </w:r>
          </w:p>
        </w:tc>
        <w:tc>
          <w:tcPr>
            <w:tcW w:w="1215" w:type="dxa"/>
            <w:shd w:val="clear" w:color="auto" w:fill="auto"/>
          </w:tcPr>
          <w:p w14:paraId="7BFF77D7" w14:textId="77777777" w:rsidR="00000145" w:rsidRPr="00AA35AF" w:rsidRDefault="00000145" w:rsidP="00000145">
            <w:pPr>
              <w:pStyle w:val="DHHStabletext"/>
            </w:pPr>
            <w:r w:rsidRPr="00EC5EBB">
              <w:t>1.1</w:t>
            </w:r>
          </w:p>
          <w:p w14:paraId="6E702752" w14:textId="13C7400F" w:rsidR="00000145" w:rsidRPr="00A0588F" w:rsidRDefault="00000145" w:rsidP="00000145">
            <w:pPr>
              <w:pStyle w:val="DHHStabletext"/>
            </w:pPr>
            <w:r w:rsidRPr="004856A3">
              <w:t>(1.0</w:t>
            </w:r>
            <w:r w:rsidRPr="00892EDF">
              <w:t>–</w:t>
            </w:r>
            <w:r w:rsidRPr="00A0588F">
              <w:t>1.2)</w:t>
            </w:r>
          </w:p>
        </w:tc>
        <w:tc>
          <w:tcPr>
            <w:tcW w:w="1214" w:type="dxa"/>
            <w:shd w:val="clear" w:color="auto" w:fill="auto"/>
          </w:tcPr>
          <w:p w14:paraId="683E75F8" w14:textId="77777777" w:rsidR="00000145" w:rsidRPr="00886E6C" w:rsidRDefault="00000145" w:rsidP="00000145">
            <w:pPr>
              <w:pStyle w:val="DHHStabletext"/>
            </w:pPr>
            <w:r w:rsidRPr="00886E6C">
              <w:t>1.1</w:t>
            </w:r>
          </w:p>
          <w:p w14:paraId="4E79D862" w14:textId="51D34B98" w:rsidR="00000145" w:rsidRPr="004D4E2D" w:rsidRDefault="00000145" w:rsidP="00000145">
            <w:pPr>
              <w:pStyle w:val="DHHStabletext"/>
            </w:pPr>
            <w:r w:rsidRPr="004D4E2D">
              <w:t>(1.0–1.2)</w:t>
            </w:r>
          </w:p>
        </w:tc>
        <w:tc>
          <w:tcPr>
            <w:tcW w:w="1241" w:type="dxa"/>
            <w:shd w:val="clear" w:color="auto" w:fill="auto"/>
          </w:tcPr>
          <w:p w14:paraId="5CB23186" w14:textId="77777777" w:rsidR="00000145" w:rsidRPr="004D4E2D" w:rsidRDefault="00000145" w:rsidP="00000145">
            <w:pPr>
              <w:pStyle w:val="DHHStabletext"/>
            </w:pPr>
            <w:r w:rsidRPr="004D4E2D">
              <w:t>1.1</w:t>
            </w:r>
          </w:p>
          <w:p w14:paraId="4706E1A9" w14:textId="3FD76280" w:rsidR="00000145" w:rsidRPr="004D4E2D" w:rsidRDefault="00000145" w:rsidP="00000145">
            <w:pPr>
              <w:pStyle w:val="DHHStabletext"/>
            </w:pPr>
            <w:r w:rsidRPr="004D4E2D">
              <w:t>(1.0–1.2)</w:t>
            </w:r>
          </w:p>
        </w:tc>
      </w:tr>
      <w:tr w:rsidR="00000145" w14:paraId="2E8D3D73" w14:textId="77777777" w:rsidTr="003B16AB">
        <w:trPr>
          <w:trHeight w:val="384"/>
        </w:trPr>
        <w:tc>
          <w:tcPr>
            <w:tcW w:w="5403" w:type="dxa"/>
            <w:shd w:val="clear" w:color="auto" w:fill="auto"/>
            <w:vAlign w:val="center"/>
          </w:tcPr>
          <w:p w14:paraId="647F8219" w14:textId="77777777" w:rsidR="00000145" w:rsidRPr="004D4E2D" w:rsidRDefault="00000145" w:rsidP="00000145">
            <w:pPr>
              <w:pStyle w:val="DHHStabletext"/>
            </w:pPr>
            <w:r w:rsidRPr="00CA2AD7">
              <w:t>Quintile 2</w:t>
            </w:r>
          </w:p>
        </w:tc>
        <w:tc>
          <w:tcPr>
            <w:tcW w:w="1351" w:type="dxa"/>
            <w:shd w:val="clear" w:color="auto" w:fill="auto"/>
          </w:tcPr>
          <w:p w14:paraId="3FFA9A08" w14:textId="77777777" w:rsidR="00000145" w:rsidRPr="004D4E2D" w:rsidRDefault="00000145" w:rsidP="00000145">
            <w:pPr>
              <w:pStyle w:val="DHHStabletext"/>
            </w:pPr>
            <w:r w:rsidRPr="004D4E2D">
              <w:t>1.1</w:t>
            </w:r>
          </w:p>
          <w:p w14:paraId="26A55F5A" w14:textId="5DF14235" w:rsidR="00000145" w:rsidRPr="004D4E2D" w:rsidRDefault="00000145" w:rsidP="00000145">
            <w:pPr>
              <w:pStyle w:val="DHHStabletext"/>
            </w:pPr>
            <w:r w:rsidRPr="004D4E2D">
              <w:t>(1.0–1.2)</w:t>
            </w:r>
          </w:p>
        </w:tc>
        <w:tc>
          <w:tcPr>
            <w:tcW w:w="1215" w:type="dxa"/>
            <w:shd w:val="clear" w:color="auto" w:fill="auto"/>
          </w:tcPr>
          <w:p w14:paraId="334DBD33" w14:textId="77777777" w:rsidR="00000145" w:rsidRPr="004D4E2D" w:rsidRDefault="00000145" w:rsidP="00000145">
            <w:pPr>
              <w:pStyle w:val="DHHStabletext"/>
            </w:pPr>
            <w:r w:rsidRPr="004D4E2D">
              <w:t>1.0</w:t>
            </w:r>
          </w:p>
          <w:p w14:paraId="2A9CA386" w14:textId="376BB0E6" w:rsidR="00000145" w:rsidRPr="004D4E2D" w:rsidRDefault="00000145" w:rsidP="00000145">
            <w:pPr>
              <w:pStyle w:val="DHHStabletext"/>
            </w:pPr>
            <w:r w:rsidRPr="004D4E2D">
              <w:t>(0.9–1.1)</w:t>
            </w:r>
          </w:p>
        </w:tc>
        <w:tc>
          <w:tcPr>
            <w:tcW w:w="1214" w:type="dxa"/>
            <w:shd w:val="clear" w:color="auto" w:fill="auto"/>
          </w:tcPr>
          <w:p w14:paraId="44F2EDC4" w14:textId="77777777" w:rsidR="00000145" w:rsidRPr="004D4E2D" w:rsidRDefault="00000145" w:rsidP="00000145">
            <w:pPr>
              <w:pStyle w:val="DHHStabletext"/>
            </w:pPr>
            <w:r w:rsidRPr="004D4E2D">
              <w:t>1.1</w:t>
            </w:r>
          </w:p>
          <w:p w14:paraId="0CDB723A" w14:textId="3207DC76" w:rsidR="00000145" w:rsidRPr="004D4E2D" w:rsidRDefault="00000145" w:rsidP="00000145">
            <w:pPr>
              <w:pStyle w:val="DHHStabletext"/>
            </w:pPr>
            <w:r w:rsidRPr="004D4E2D">
              <w:t>(1.0–1.2)</w:t>
            </w:r>
          </w:p>
        </w:tc>
        <w:tc>
          <w:tcPr>
            <w:tcW w:w="1241" w:type="dxa"/>
            <w:shd w:val="clear" w:color="auto" w:fill="auto"/>
          </w:tcPr>
          <w:p w14:paraId="616FBA67" w14:textId="77777777" w:rsidR="00000145" w:rsidRPr="004D4E2D" w:rsidRDefault="00000145" w:rsidP="00000145">
            <w:pPr>
              <w:pStyle w:val="DHHStabletext"/>
            </w:pPr>
            <w:r w:rsidRPr="004D4E2D">
              <w:t>1.1</w:t>
            </w:r>
          </w:p>
          <w:p w14:paraId="4BA25B16" w14:textId="44EA9AD9" w:rsidR="00000145" w:rsidRPr="004D4E2D" w:rsidRDefault="00000145" w:rsidP="00000145">
            <w:pPr>
              <w:pStyle w:val="DHHStabletext"/>
            </w:pPr>
            <w:r w:rsidRPr="004D4E2D">
              <w:t>(1.0–1.2)</w:t>
            </w:r>
          </w:p>
        </w:tc>
      </w:tr>
      <w:tr w:rsidR="00000145" w14:paraId="46B1C0C4" w14:textId="77777777" w:rsidTr="003B16AB">
        <w:trPr>
          <w:trHeight w:val="384"/>
        </w:trPr>
        <w:tc>
          <w:tcPr>
            <w:tcW w:w="5403" w:type="dxa"/>
            <w:shd w:val="clear" w:color="auto" w:fill="auto"/>
            <w:vAlign w:val="center"/>
          </w:tcPr>
          <w:p w14:paraId="4040DA8A" w14:textId="77777777" w:rsidR="00000145" w:rsidRPr="004D4E2D" w:rsidRDefault="00000145" w:rsidP="00000145">
            <w:pPr>
              <w:pStyle w:val="DHHStabletext"/>
            </w:pPr>
            <w:r w:rsidRPr="00CA2AD7">
              <w:t>Quintile 3</w:t>
            </w:r>
          </w:p>
        </w:tc>
        <w:tc>
          <w:tcPr>
            <w:tcW w:w="1351" w:type="dxa"/>
            <w:shd w:val="clear" w:color="auto" w:fill="auto"/>
          </w:tcPr>
          <w:p w14:paraId="27780845" w14:textId="77777777" w:rsidR="00000145" w:rsidRPr="004D4E2D" w:rsidRDefault="00000145" w:rsidP="00000145">
            <w:pPr>
              <w:pStyle w:val="DHHStabletext"/>
            </w:pPr>
            <w:r w:rsidRPr="004D4E2D">
              <w:t>1.0</w:t>
            </w:r>
          </w:p>
          <w:p w14:paraId="086A10FC" w14:textId="0B85E564" w:rsidR="00000145" w:rsidRPr="004D4E2D" w:rsidRDefault="00000145" w:rsidP="00000145">
            <w:pPr>
              <w:pStyle w:val="DHHStabletext"/>
            </w:pPr>
            <w:r w:rsidRPr="004D4E2D">
              <w:t>(0.9–1.1)</w:t>
            </w:r>
          </w:p>
        </w:tc>
        <w:tc>
          <w:tcPr>
            <w:tcW w:w="1215" w:type="dxa"/>
            <w:shd w:val="clear" w:color="auto" w:fill="auto"/>
          </w:tcPr>
          <w:p w14:paraId="52C0FB97" w14:textId="77777777" w:rsidR="00000145" w:rsidRPr="004D4E2D" w:rsidRDefault="00000145" w:rsidP="00000145">
            <w:pPr>
              <w:pStyle w:val="DHHStabletext"/>
            </w:pPr>
            <w:r w:rsidRPr="004D4E2D">
              <w:t>1.0</w:t>
            </w:r>
          </w:p>
          <w:p w14:paraId="561D4094" w14:textId="6B7D4545" w:rsidR="00000145" w:rsidRPr="004D4E2D" w:rsidRDefault="00000145" w:rsidP="00000145">
            <w:pPr>
              <w:pStyle w:val="DHHStabletext"/>
            </w:pPr>
            <w:r w:rsidRPr="004D4E2D">
              <w:t>(0.9–1.1)</w:t>
            </w:r>
          </w:p>
        </w:tc>
        <w:tc>
          <w:tcPr>
            <w:tcW w:w="1214" w:type="dxa"/>
            <w:shd w:val="clear" w:color="auto" w:fill="auto"/>
          </w:tcPr>
          <w:p w14:paraId="697548BC" w14:textId="77777777" w:rsidR="00000145" w:rsidRPr="004D4E2D" w:rsidRDefault="00000145" w:rsidP="00000145">
            <w:pPr>
              <w:pStyle w:val="DHHStabletext"/>
            </w:pPr>
            <w:r w:rsidRPr="004D4E2D">
              <w:t>1.0</w:t>
            </w:r>
          </w:p>
          <w:p w14:paraId="221E5474" w14:textId="72A17753" w:rsidR="00000145" w:rsidRPr="004D4E2D" w:rsidRDefault="00000145" w:rsidP="00000145">
            <w:pPr>
              <w:pStyle w:val="DHHStabletext"/>
            </w:pPr>
            <w:r w:rsidRPr="004D4E2D">
              <w:t>(0.9–1.1)</w:t>
            </w:r>
          </w:p>
        </w:tc>
        <w:tc>
          <w:tcPr>
            <w:tcW w:w="1241" w:type="dxa"/>
            <w:shd w:val="clear" w:color="auto" w:fill="auto"/>
          </w:tcPr>
          <w:p w14:paraId="69E3861E" w14:textId="77777777" w:rsidR="00000145" w:rsidRPr="004D4E2D" w:rsidRDefault="00000145" w:rsidP="00000145">
            <w:pPr>
              <w:pStyle w:val="DHHStabletext"/>
            </w:pPr>
            <w:r w:rsidRPr="004D4E2D">
              <w:t>1.0</w:t>
            </w:r>
          </w:p>
          <w:p w14:paraId="47C75FC4" w14:textId="77434235" w:rsidR="00000145" w:rsidRPr="004D4E2D" w:rsidRDefault="00000145" w:rsidP="00000145">
            <w:pPr>
              <w:pStyle w:val="DHHStabletext"/>
            </w:pPr>
            <w:r w:rsidRPr="004D4E2D">
              <w:t>(0.9–1.1)</w:t>
            </w:r>
          </w:p>
        </w:tc>
      </w:tr>
      <w:tr w:rsidR="00000145" w14:paraId="79D32C5B" w14:textId="77777777" w:rsidTr="003B16AB">
        <w:trPr>
          <w:trHeight w:val="372"/>
        </w:trPr>
        <w:tc>
          <w:tcPr>
            <w:tcW w:w="5403" w:type="dxa"/>
            <w:shd w:val="clear" w:color="auto" w:fill="auto"/>
            <w:vAlign w:val="center"/>
          </w:tcPr>
          <w:p w14:paraId="37762BD6" w14:textId="77777777" w:rsidR="00000145" w:rsidRPr="004D4E2D" w:rsidRDefault="00000145" w:rsidP="00000145">
            <w:pPr>
              <w:pStyle w:val="DHHStabletext"/>
              <w:rPr>
                <w:b/>
              </w:rPr>
            </w:pPr>
            <w:r w:rsidRPr="00CA2AD7">
              <w:t>Quintile 4</w:t>
            </w:r>
          </w:p>
        </w:tc>
        <w:tc>
          <w:tcPr>
            <w:tcW w:w="1351" w:type="dxa"/>
            <w:shd w:val="clear" w:color="auto" w:fill="auto"/>
          </w:tcPr>
          <w:p w14:paraId="3A491C28" w14:textId="77777777" w:rsidR="00000145" w:rsidRPr="004D4E2D" w:rsidRDefault="00000145" w:rsidP="00000145">
            <w:pPr>
              <w:pStyle w:val="DHHStabletext"/>
            </w:pPr>
            <w:r w:rsidRPr="004D4E2D">
              <w:t>1.0</w:t>
            </w:r>
          </w:p>
          <w:p w14:paraId="6214046E" w14:textId="2ABDE3A7" w:rsidR="00000145" w:rsidRPr="004D4E2D" w:rsidRDefault="00000145" w:rsidP="00000145">
            <w:pPr>
              <w:pStyle w:val="DHHStabletext"/>
            </w:pPr>
            <w:r w:rsidRPr="004D4E2D">
              <w:t>(0.9–1.1)</w:t>
            </w:r>
          </w:p>
        </w:tc>
        <w:tc>
          <w:tcPr>
            <w:tcW w:w="1215" w:type="dxa"/>
            <w:shd w:val="clear" w:color="auto" w:fill="auto"/>
          </w:tcPr>
          <w:p w14:paraId="210992E5" w14:textId="77777777" w:rsidR="00000145" w:rsidRPr="004D4E2D" w:rsidRDefault="00000145" w:rsidP="00000145">
            <w:pPr>
              <w:pStyle w:val="DHHStabletext"/>
            </w:pPr>
            <w:r w:rsidRPr="004D4E2D">
              <w:t>1.0</w:t>
            </w:r>
          </w:p>
          <w:p w14:paraId="16A631EB" w14:textId="396E4A3C" w:rsidR="00000145" w:rsidRPr="004D4E2D" w:rsidRDefault="00000145" w:rsidP="00000145">
            <w:pPr>
              <w:pStyle w:val="DHHStabletext"/>
            </w:pPr>
            <w:r w:rsidRPr="004D4E2D">
              <w:t>(0.9–1.1)</w:t>
            </w:r>
          </w:p>
        </w:tc>
        <w:tc>
          <w:tcPr>
            <w:tcW w:w="1214" w:type="dxa"/>
            <w:shd w:val="clear" w:color="auto" w:fill="auto"/>
          </w:tcPr>
          <w:p w14:paraId="104DD148" w14:textId="77777777" w:rsidR="00000145" w:rsidRPr="004D4E2D" w:rsidRDefault="00000145" w:rsidP="00000145">
            <w:pPr>
              <w:pStyle w:val="DHHStabletext"/>
            </w:pPr>
            <w:r w:rsidRPr="004D4E2D">
              <w:t>1.0</w:t>
            </w:r>
          </w:p>
          <w:p w14:paraId="2611226E" w14:textId="5722C21A" w:rsidR="00000145" w:rsidRPr="004D4E2D" w:rsidRDefault="00000145" w:rsidP="00000145">
            <w:pPr>
              <w:pStyle w:val="DHHStabletext"/>
            </w:pPr>
            <w:r w:rsidRPr="004D4E2D">
              <w:t>(0.9–1.1)</w:t>
            </w:r>
          </w:p>
        </w:tc>
        <w:tc>
          <w:tcPr>
            <w:tcW w:w="1241" w:type="dxa"/>
            <w:shd w:val="clear" w:color="auto" w:fill="auto"/>
          </w:tcPr>
          <w:p w14:paraId="229CBD56" w14:textId="77777777" w:rsidR="00000145" w:rsidRPr="004D4E2D" w:rsidRDefault="00000145" w:rsidP="00000145">
            <w:pPr>
              <w:pStyle w:val="DHHStabletext"/>
            </w:pPr>
            <w:r w:rsidRPr="004D4E2D">
              <w:t>1.0</w:t>
            </w:r>
          </w:p>
          <w:p w14:paraId="36587026" w14:textId="30F0C472" w:rsidR="00000145" w:rsidRPr="004D4E2D" w:rsidRDefault="00000145" w:rsidP="00000145">
            <w:pPr>
              <w:pStyle w:val="DHHStabletext"/>
            </w:pPr>
            <w:r w:rsidRPr="004D4E2D">
              <w:t>(0.9–1.1)</w:t>
            </w:r>
          </w:p>
        </w:tc>
      </w:tr>
      <w:tr w:rsidR="00000145" w14:paraId="2DD50541" w14:textId="77777777" w:rsidTr="003B16AB">
        <w:trPr>
          <w:trHeight w:val="372"/>
        </w:trPr>
        <w:tc>
          <w:tcPr>
            <w:tcW w:w="5403" w:type="dxa"/>
            <w:shd w:val="clear" w:color="auto" w:fill="auto"/>
            <w:vAlign w:val="center"/>
          </w:tcPr>
          <w:p w14:paraId="4F72F100" w14:textId="77777777" w:rsidR="00F55236" w:rsidRDefault="00000145" w:rsidP="00000145">
            <w:pPr>
              <w:pStyle w:val="DHHStabletext"/>
            </w:pPr>
            <w:r w:rsidRPr="00CA2AD7">
              <w:t xml:space="preserve">Quintile 5 – </w:t>
            </w:r>
            <w:r w:rsidR="00F55236">
              <w:t xml:space="preserve">(least disadvantaged) </w:t>
            </w:r>
          </w:p>
          <w:p w14:paraId="55D93062" w14:textId="026DF594" w:rsidR="00000145" w:rsidRPr="00CA2AD7" w:rsidRDefault="00F55236" w:rsidP="00000145">
            <w:pPr>
              <w:pStyle w:val="DHHStabletext"/>
            </w:pPr>
            <w:r>
              <w:t>(</w:t>
            </w:r>
            <w:r w:rsidR="00000145" w:rsidRPr="00CA2AD7">
              <w:t xml:space="preserve">refer to note below Figure </w:t>
            </w:r>
            <w:r w:rsidR="00000145" w:rsidRPr="001C0198">
              <w:t>4.2.1</w:t>
            </w:r>
            <w:r>
              <w:t>)</w:t>
            </w:r>
          </w:p>
        </w:tc>
        <w:tc>
          <w:tcPr>
            <w:tcW w:w="1351" w:type="dxa"/>
            <w:shd w:val="clear" w:color="auto" w:fill="auto"/>
          </w:tcPr>
          <w:p w14:paraId="0821F745" w14:textId="03C8BD7C" w:rsidR="00000145" w:rsidRPr="004D4E2D" w:rsidRDefault="00000145" w:rsidP="00000145">
            <w:pPr>
              <w:pStyle w:val="DHHStabletext"/>
            </w:pPr>
            <w:r>
              <w:t>N/A</w:t>
            </w:r>
          </w:p>
        </w:tc>
        <w:tc>
          <w:tcPr>
            <w:tcW w:w="1215" w:type="dxa"/>
            <w:shd w:val="clear" w:color="auto" w:fill="auto"/>
          </w:tcPr>
          <w:p w14:paraId="1A17D97A" w14:textId="68061E33" w:rsidR="00000145" w:rsidRPr="004D4E2D" w:rsidRDefault="00000145" w:rsidP="00000145">
            <w:pPr>
              <w:pStyle w:val="DHHStabletext"/>
            </w:pPr>
            <w:r>
              <w:t>N/A</w:t>
            </w:r>
          </w:p>
        </w:tc>
        <w:tc>
          <w:tcPr>
            <w:tcW w:w="1214" w:type="dxa"/>
            <w:shd w:val="clear" w:color="auto" w:fill="auto"/>
          </w:tcPr>
          <w:p w14:paraId="1FFED4C5" w14:textId="4DC179F2" w:rsidR="00000145" w:rsidRPr="004D4E2D" w:rsidRDefault="00000145" w:rsidP="00000145">
            <w:pPr>
              <w:pStyle w:val="DHHStabletext"/>
            </w:pPr>
            <w:r>
              <w:t>N/A</w:t>
            </w:r>
          </w:p>
        </w:tc>
        <w:tc>
          <w:tcPr>
            <w:tcW w:w="1241" w:type="dxa"/>
            <w:shd w:val="clear" w:color="auto" w:fill="auto"/>
          </w:tcPr>
          <w:p w14:paraId="0E354CEE" w14:textId="12701694" w:rsidR="00000145" w:rsidRPr="004D4E2D" w:rsidRDefault="00000145" w:rsidP="00000145">
            <w:pPr>
              <w:pStyle w:val="DHHStabletext"/>
            </w:pPr>
            <w:r>
              <w:t>N/A</w:t>
            </w:r>
          </w:p>
        </w:tc>
      </w:tr>
    </w:tbl>
    <w:p w14:paraId="16631C9B" w14:textId="3FDEB960" w:rsidR="00665D4B" w:rsidRPr="00E060C8" w:rsidRDefault="00665D4B" w:rsidP="00E060C8">
      <w:pPr>
        <w:pStyle w:val="Heading4"/>
      </w:pPr>
      <w:r w:rsidRPr="00E43803">
        <w:t>Measure assessment</w:t>
      </w:r>
    </w:p>
    <w:p w14:paraId="23EEAD17" w14:textId="5E7A7DDA" w:rsidR="00FE5799" w:rsidRPr="00E060C8" w:rsidRDefault="00FE5799" w:rsidP="00E060C8">
      <w:pPr>
        <w:autoSpaceDE w:val="0"/>
        <w:autoSpaceDN w:val="0"/>
        <w:adjustRightInd w:val="0"/>
        <w:spacing w:after="120" w:line="270" w:lineRule="atLeast"/>
        <w:rPr>
          <w:rFonts w:ascii="Arial" w:hAnsi="Arial" w:cs="Arial"/>
          <w:color w:val="C5511A"/>
        </w:rPr>
      </w:pPr>
      <w:r w:rsidRPr="00902763">
        <w:rPr>
          <w:rFonts w:ascii="Arial" w:hAnsi="Arial" w:cs="Arial"/>
        </w:rPr>
        <w:t xml:space="preserve">Traffic light rating: </w:t>
      </w:r>
      <w:r w:rsidR="00902763"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57A96064" w14:textId="1C3AF634" w:rsidR="00FE5799" w:rsidRPr="003E5FD3" w:rsidRDefault="00FE5799" w:rsidP="00E060C8">
      <w:pPr>
        <w:autoSpaceDE w:val="0"/>
        <w:autoSpaceDN w:val="0"/>
        <w:adjustRightInd w:val="0"/>
        <w:spacing w:after="120" w:line="270" w:lineRule="atLeast"/>
        <w:rPr>
          <w:rFonts w:ascii="Arial" w:hAnsi="Arial" w:cs="Arial"/>
        </w:rPr>
      </w:pPr>
      <w:r w:rsidRPr="00902763">
        <w:rPr>
          <w:rFonts w:ascii="Arial" w:hAnsi="Arial" w:cs="Arial"/>
        </w:rPr>
        <w:t xml:space="preserve">Overall trend: </w:t>
      </w:r>
      <w:r w:rsidR="00902763" w:rsidRPr="00902763">
        <w:rPr>
          <w:rFonts w:ascii="Arial" w:hAnsi="Arial" w:cs="Arial"/>
        </w:rPr>
        <w:t xml:space="preserve">Static </w:t>
      </w:r>
      <w:r w:rsidR="00902763">
        <w:rPr>
          <w:rFonts w:ascii="Arial" w:hAnsi="Arial" w:cs="Arial"/>
        </w:rPr>
        <w:t>or unchanging</w:t>
      </w:r>
    </w:p>
    <w:p w14:paraId="354FAA36" w14:textId="725ECB67" w:rsidR="007B7006" w:rsidRPr="00223D80" w:rsidRDefault="00FE5799" w:rsidP="00223D80">
      <w:pPr>
        <w:pStyle w:val="DHHSbody"/>
      </w:pPr>
      <w:r w:rsidRPr="00BD1EB3">
        <w:rPr>
          <w:lang w:eastAsia="en-AU"/>
        </w:rPr>
        <w:t xml:space="preserve">Commentary: </w:t>
      </w:r>
      <w:r w:rsidR="00BD1EB3" w:rsidRPr="00BD1EB3">
        <w:rPr>
          <w:lang w:val="en"/>
        </w:rPr>
        <w:t xml:space="preserve">Socioeconomic </w:t>
      </w:r>
      <w:r w:rsidR="00975651">
        <w:rPr>
          <w:lang w:val="en"/>
        </w:rPr>
        <w:t>disparities</w:t>
      </w:r>
      <w:r w:rsidR="00BD1EB3" w:rsidRPr="00BD1EB3">
        <w:rPr>
          <w:lang w:val="en"/>
        </w:rPr>
        <w:t xml:space="preserve"> in incidence have been described for a range of cancers </w:t>
      </w:r>
      <w:r w:rsidR="00BD1EB3">
        <w:rPr>
          <w:lang w:val="en"/>
        </w:rPr>
        <w:t>globally</w:t>
      </w:r>
      <w:r w:rsidR="00BD1EB3" w:rsidRPr="00BD1EB3">
        <w:rPr>
          <w:lang w:val="en"/>
        </w:rPr>
        <w:t xml:space="preserve"> across various measures of socioeconomic circumstances</w:t>
      </w:r>
      <w:r w:rsidR="00BD1EB3">
        <w:rPr>
          <w:lang w:val="en"/>
        </w:rPr>
        <w:t>.</w:t>
      </w:r>
      <w:r w:rsidR="00BD1EB3">
        <w:rPr>
          <w:rStyle w:val="FootnoteReference"/>
          <w:lang w:val="en"/>
        </w:rPr>
        <w:footnoteReference w:id="43"/>
      </w:r>
      <w:r w:rsidR="007B7006">
        <w:rPr>
          <w:lang w:val="en"/>
        </w:rPr>
        <w:t xml:space="preserve"> </w:t>
      </w:r>
      <w:r w:rsidR="00291674">
        <w:rPr>
          <w:lang w:eastAsia="en-AU"/>
        </w:rPr>
        <w:t xml:space="preserve">Figure </w:t>
      </w:r>
      <w:r w:rsidR="00EB0AAE">
        <w:rPr>
          <w:lang w:eastAsia="en-AU"/>
        </w:rPr>
        <w:t xml:space="preserve">4.2.1 and Table 4.2 show that the rate of preventable cancer incidence increases as </w:t>
      </w:r>
      <w:r w:rsidR="00DE7FFE">
        <w:rPr>
          <w:lang w:eastAsia="en-AU"/>
        </w:rPr>
        <w:t>SES</w:t>
      </w:r>
      <w:r w:rsidR="00EB0AAE">
        <w:rPr>
          <w:lang w:eastAsia="en-AU"/>
        </w:rPr>
        <w:t xml:space="preserve"> decreases. </w:t>
      </w:r>
      <w:r w:rsidR="005E3017">
        <w:rPr>
          <w:lang w:eastAsia="en-AU"/>
        </w:rPr>
        <w:t xml:space="preserve">For example, in the period </w:t>
      </w:r>
      <w:r w:rsidR="00922BB2">
        <w:rPr>
          <w:lang w:eastAsia="en-AU"/>
        </w:rPr>
        <w:t xml:space="preserve">from </w:t>
      </w:r>
      <w:r w:rsidR="005E3017">
        <w:rPr>
          <w:lang w:eastAsia="en-AU"/>
        </w:rPr>
        <w:t>2010 to 2017, Victorians who were in the most disadvantaged quintile (</w:t>
      </w:r>
      <w:r w:rsidR="00922BB2">
        <w:rPr>
          <w:lang w:eastAsia="en-AU"/>
        </w:rPr>
        <w:t xml:space="preserve">first </w:t>
      </w:r>
      <w:r w:rsidR="005E3017">
        <w:rPr>
          <w:lang w:eastAsia="en-AU"/>
        </w:rPr>
        <w:t xml:space="preserve">quintile) </w:t>
      </w:r>
      <w:r w:rsidR="00690FF8">
        <w:rPr>
          <w:lang w:eastAsia="en-AU"/>
        </w:rPr>
        <w:t>had a potentially preventable cancer incidence rate that was 1.1 time</w:t>
      </w:r>
      <w:r w:rsidR="00DB7AC1">
        <w:rPr>
          <w:lang w:eastAsia="en-AU"/>
        </w:rPr>
        <w:t>s</w:t>
      </w:r>
      <w:r w:rsidR="00690FF8">
        <w:rPr>
          <w:lang w:eastAsia="en-AU"/>
        </w:rPr>
        <w:t xml:space="preserve"> higher tha</w:t>
      </w:r>
      <w:r w:rsidR="00DC3F7C">
        <w:rPr>
          <w:lang w:eastAsia="en-AU"/>
        </w:rPr>
        <w:t>n</w:t>
      </w:r>
      <w:r w:rsidR="00690FF8">
        <w:rPr>
          <w:lang w:eastAsia="en-AU"/>
        </w:rPr>
        <w:t xml:space="preserve"> the potentially preventable cancer incidence for all Victorians. </w:t>
      </w:r>
      <w:r w:rsidR="008D380E" w:rsidRPr="007B6267">
        <w:rPr>
          <w:lang w:eastAsia="en-AU"/>
        </w:rPr>
        <w:t>While a target has not been set for this measure</w:t>
      </w:r>
      <w:r w:rsidR="00E95BD0" w:rsidRPr="007B6267">
        <w:rPr>
          <w:lang w:eastAsia="en-AU"/>
        </w:rPr>
        <w:t xml:space="preserve">, studying </w:t>
      </w:r>
      <w:r w:rsidR="007B6267" w:rsidRPr="007B6267">
        <w:rPr>
          <w:lang w:val="en"/>
        </w:rPr>
        <w:t>the relationship between socioeconomic circumstances and cancer incidence in Victoria</w:t>
      </w:r>
      <w:r w:rsidR="007B6267" w:rsidRPr="007B6267">
        <w:rPr>
          <w:lang w:eastAsia="en-AU"/>
        </w:rPr>
        <w:t xml:space="preserve"> </w:t>
      </w:r>
      <w:r w:rsidR="00E95BD0" w:rsidRPr="007B6267">
        <w:rPr>
          <w:lang w:val="en"/>
        </w:rPr>
        <w:t xml:space="preserve">may identify opportunities to improve the reach and effectiveness of </w:t>
      </w:r>
      <w:r w:rsidR="00653F08">
        <w:rPr>
          <w:lang w:val="en"/>
        </w:rPr>
        <w:t>cancer</w:t>
      </w:r>
      <w:r w:rsidR="00922BB2">
        <w:rPr>
          <w:lang w:val="en"/>
        </w:rPr>
        <w:t>-</w:t>
      </w:r>
      <w:r w:rsidR="00653F08">
        <w:rPr>
          <w:lang w:val="en"/>
        </w:rPr>
        <w:t>related</w:t>
      </w:r>
      <w:r w:rsidR="00E95BD0" w:rsidRPr="007B6267">
        <w:rPr>
          <w:lang w:val="en"/>
        </w:rPr>
        <w:t xml:space="preserve"> improvement activities.</w:t>
      </w:r>
      <w:r w:rsidR="007B7006">
        <w:rPr>
          <w:lang w:eastAsia="en-AU"/>
        </w:rPr>
        <w:br w:type="page"/>
      </w:r>
    </w:p>
    <w:p w14:paraId="519FEE25" w14:textId="5972F41D" w:rsidR="00665D4B" w:rsidRDefault="009B5026" w:rsidP="00665D4B">
      <w:pPr>
        <w:pStyle w:val="Heading3"/>
        <w:rPr>
          <w:lang w:eastAsia="en-AU"/>
        </w:rPr>
      </w:pPr>
      <w:bookmarkStart w:id="293" w:name="_Measure_4.3_–"/>
      <w:bookmarkStart w:id="294" w:name="_Toc19008043"/>
      <w:bookmarkEnd w:id="293"/>
      <w:r>
        <w:rPr>
          <w:lang w:eastAsia="en-AU"/>
        </w:rPr>
        <w:lastRenderedPageBreak/>
        <w:t>Measure 4.3 – Rate ratio of</w:t>
      </w:r>
      <w:r w:rsidRPr="009B5026">
        <w:rPr>
          <w:lang w:eastAsia="en-AU"/>
        </w:rPr>
        <w:t xml:space="preserve"> </w:t>
      </w:r>
      <w:r w:rsidR="00B47705">
        <w:rPr>
          <w:lang w:eastAsia="en-AU"/>
        </w:rPr>
        <w:t xml:space="preserve">preventable </w:t>
      </w:r>
      <w:r>
        <w:rPr>
          <w:lang w:eastAsia="en-AU"/>
        </w:rPr>
        <w:t>cancer incidence between Aboriginal and non-Aboriginal Victorians</w:t>
      </w:r>
      <w:bookmarkEnd w:id="294"/>
    </w:p>
    <w:p w14:paraId="2AC4C266" w14:textId="2B14E87F" w:rsidR="00712148" w:rsidRPr="00FA1AAC" w:rsidRDefault="00564C6D" w:rsidP="00712148">
      <w:pPr>
        <w:pStyle w:val="DHHSfigurecaption"/>
      </w:pPr>
      <w:bookmarkStart w:id="295" w:name="_Toc27414292"/>
      <w:bookmarkStart w:id="296" w:name="_Toc19008044"/>
      <w:bookmarkStart w:id="297" w:name="_Toc19008290"/>
      <w:bookmarkStart w:id="298" w:name="_Toc19008437"/>
      <w:bookmarkStart w:id="299" w:name="_Toc19008584"/>
      <w:r w:rsidRPr="00A062F8">
        <w:t>Figure 4.3</w:t>
      </w:r>
      <w:r w:rsidR="00C17266">
        <w:t>:</w:t>
      </w:r>
      <w:r w:rsidRPr="00A062F8">
        <w:t xml:space="preserve"> Rate ratio of preventable cancer incidence</w:t>
      </w:r>
      <w:r w:rsidR="006F570F">
        <w:t xml:space="preserve"> (with confidence intervals)</w:t>
      </w:r>
      <w:r w:rsidR="00F34179">
        <w:t xml:space="preserve"> for</w:t>
      </w:r>
      <w:r w:rsidRPr="00A062F8">
        <w:t xml:space="preserve"> </w:t>
      </w:r>
      <w:r w:rsidR="00712148" w:rsidRPr="00A062F8">
        <w:t xml:space="preserve">Aboriginal </w:t>
      </w:r>
      <w:r w:rsidR="00712148">
        <w:t xml:space="preserve">Victorians relative to </w:t>
      </w:r>
      <w:r w:rsidR="00712148" w:rsidRPr="00A062F8">
        <w:t>non-Aboriginal Victorians</w:t>
      </w:r>
      <w:r w:rsidR="00712148">
        <w:t>,</w:t>
      </w:r>
      <w:r w:rsidR="00712148" w:rsidRPr="00A062F8">
        <w:t xml:space="preserve"> by year</w:t>
      </w:r>
      <w:r w:rsidR="00712148">
        <w:t xml:space="preserve"> of diagnosis</w:t>
      </w:r>
      <w:r w:rsidR="00712148" w:rsidRPr="00A062F8">
        <w:t>, 201</w:t>
      </w:r>
      <w:r w:rsidR="00712148">
        <w:t>4–</w:t>
      </w:r>
      <w:r w:rsidR="00712148" w:rsidRPr="00A062F8">
        <w:t>2017</w:t>
      </w:r>
      <w:bookmarkEnd w:id="295"/>
    </w:p>
    <w:bookmarkEnd w:id="296"/>
    <w:bookmarkEnd w:id="297"/>
    <w:bookmarkEnd w:id="298"/>
    <w:bookmarkEnd w:id="299"/>
    <w:p w14:paraId="75657B50" w14:textId="6D1A2F71" w:rsidR="00530018" w:rsidRPr="00C238C1" w:rsidRDefault="0037381D" w:rsidP="00C238C1">
      <w:pPr>
        <w:pStyle w:val="DHHSbody"/>
        <w:jc w:val="center"/>
        <w:rPr>
          <w:b/>
          <w:lang w:eastAsia="en-AU"/>
        </w:rPr>
      </w:pPr>
      <w:r w:rsidRPr="00DF2E40">
        <w:rPr>
          <w:noProof/>
        </w:rPr>
        <mc:AlternateContent>
          <mc:Choice Requires="wps">
            <w:drawing>
              <wp:anchor distT="45720" distB="45720" distL="114300" distR="114300" simplePos="0" relativeHeight="251944960" behindDoc="0" locked="0" layoutInCell="1" allowOverlap="1" wp14:anchorId="6F2D02E4" wp14:editId="6752AD46">
                <wp:simplePos x="0" y="0"/>
                <wp:positionH relativeFrom="margin">
                  <wp:posOffset>5304028</wp:posOffset>
                </wp:positionH>
                <wp:positionV relativeFrom="paragraph">
                  <wp:posOffset>3928110</wp:posOffset>
                </wp:positionV>
                <wp:extent cx="1252093" cy="36576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093" cy="365760"/>
                        </a:xfrm>
                        <a:prstGeom prst="rect">
                          <a:avLst/>
                        </a:prstGeom>
                        <a:noFill/>
                        <a:ln w="9525">
                          <a:noFill/>
                          <a:miter lim="800000"/>
                          <a:headEnd/>
                          <a:tailEnd/>
                        </a:ln>
                      </wps:spPr>
                      <wps:txbx>
                        <w:txbxContent>
                          <w:p w14:paraId="4D4C68FF" w14:textId="01C546CE" w:rsidR="00110FC6" w:rsidRPr="00B91C4A" w:rsidRDefault="00110FC6">
                            <w:pPr>
                              <w:rPr>
                                <w:rFonts w:ascii="Arial" w:hAnsi="Arial" w:cs="Arial"/>
                                <w:b/>
                                <w:color w:val="AF272F"/>
                                <w:sz w:val="14"/>
                                <w:szCs w:val="14"/>
                              </w:rPr>
                            </w:pPr>
                            <w:r w:rsidRPr="00B91C4A">
                              <w:rPr>
                                <w:rFonts w:ascii="Arial" w:hAnsi="Arial" w:cs="Arial"/>
                                <w:b/>
                                <w:color w:val="AF272F"/>
                                <w:sz w:val="14"/>
                                <w:szCs w:val="14"/>
                              </w:rPr>
                              <w:t>A rate</w:t>
                            </w:r>
                            <w:r>
                              <w:rPr>
                                <w:rFonts w:ascii="Arial" w:hAnsi="Arial" w:cs="Arial"/>
                                <w:b/>
                                <w:color w:val="AF272F"/>
                                <w:sz w:val="14"/>
                                <w:szCs w:val="14"/>
                              </w:rPr>
                              <w:t xml:space="preserve"> ratio</w:t>
                            </w:r>
                            <w:r w:rsidRPr="00B91C4A">
                              <w:rPr>
                                <w:rFonts w:ascii="Arial" w:hAnsi="Arial" w:cs="Arial"/>
                                <w:b/>
                                <w:color w:val="AF272F"/>
                                <w:sz w:val="14"/>
                                <w:szCs w:val="14"/>
                              </w:rPr>
                              <w:t xml:space="preserve"> of 1.0 indicates no difference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2D02E4" id="_x0000_t202" coordsize="21600,21600" o:spt="202" path="m,l,21600r21600,l21600,xe">
                <v:stroke joinstyle="miter"/>
                <v:path gradientshapeok="t" o:connecttype="rect"/>
              </v:shapetype>
              <v:shape id="Text Box 2" o:spid="_x0000_s1026" type="#_x0000_t202" style="position:absolute;left:0;text-align:left;margin-left:417.65pt;margin-top:309.3pt;width:98.6pt;height:28.8pt;z-index:25194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" filled="f" stroked="f">
                <v:textbox>
                  <w:txbxContent>
                    <w:p w14:paraId="4D4C68FF" w14:textId="01C546CE" w:rsidR="00110FC6" w:rsidRPr="00B91C4A" w:rsidRDefault="00110FC6">
                      <w:pPr>
                        <w:rPr>
                          <w:rFonts w:ascii="Arial" w:hAnsi="Arial" w:cs="Arial"/>
                          <w:b/>
                          <w:color w:val="AF272F"/>
                          <w:sz w:val="14"/>
                          <w:szCs w:val="14"/>
                        </w:rPr>
                      </w:pPr>
                      <w:r w:rsidRPr="00B91C4A">
                        <w:rPr>
                          <w:rFonts w:ascii="Arial" w:hAnsi="Arial" w:cs="Arial"/>
                          <w:b/>
                          <w:color w:val="AF272F"/>
                          <w:sz w:val="14"/>
                          <w:szCs w:val="14"/>
                        </w:rPr>
                        <w:t>A rate</w:t>
                      </w:r>
                      <w:r>
                        <w:rPr>
                          <w:rFonts w:ascii="Arial" w:hAnsi="Arial" w:cs="Arial"/>
                          <w:b/>
                          <w:color w:val="AF272F"/>
                          <w:sz w:val="14"/>
                          <w:szCs w:val="14"/>
                        </w:rPr>
                        <w:t xml:space="preserve"> ratio</w:t>
                      </w:r>
                      <w:r w:rsidRPr="00B91C4A">
                        <w:rPr>
                          <w:rFonts w:ascii="Arial" w:hAnsi="Arial" w:cs="Arial"/>
                          <w:b/>
                          <w:color w:val="AF272F"/>
                          <w:sz w:val="14"/>
                          <w:szCs w:val="14"/>
                        </w:rPr>
                        <w:t xml:space="preserve"> of 1.0 indicates no difference</w:t>
                      </w:r>
                    </w:p>
                  </w:txbxContent>
                </v:textbox>
                <w10:wrap anchorx="margin"/>
              </v:shape>
            </w:pict>
          </mc:Fallback>
        </mc:AlternateContent>
      </w:r>
      <w:r w:rsidR="00BC2399">
        <w:rPr>
          <w:noProof/>
        </w:rPr>
        <w:drawing>
          <wp:inline distT="0" distB="0" distL="0" distR="0" wp14:anchorId="11B83F83" wp14:editId="48BE574F">
            <wp:extent cx="6696075" cy="5089924"/>
            <wp:effectExtent l="0" t="0" r="0" b="0"/>
            <wp:docPr id="93" name="Picture 93" descr="This figure shows a summary of 'Measure 4.3 - Rate ratio of preventable cancer incidence between Aboriginal and non-Aboriginal Victorians'.  The data for this figure is available in this section for the study period 2014 to 2017 - refer to Table 4.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98281" cy="5091601"/>
                    </a:xfrm>
                    <a:prstGeom prst="rect">
                      <a:avLst/>
                    </a:prstGeom>
                    <a:noFill/>
                    <a:ln>
                      <a:noFill/>
                    </a:ln>
                  </pic:spPr>
                </pic:pic>
              </a:graphicData>
            </a:graphic>
          </wp:inline>
        </w:drawing>
      </w:r>
    </w:p>
    <w:p w14:paraId="67F9D7EB" w14:textId="3D0D5894" w:rsidR="00FF7120" w:rsidRPr="00FF7120" w:rsidRDefault="00FF7120" w:rsidP="00FA1AAC">
      <w:pPr>
        <w:pStyle w:val="DHHStablefigurenote"/>
      </w:pPr>
      <w:r w:rsidRPr="00FF7120">
        <w:t>Note</w:t>
      </w:r>
      <w:r w:rsidR="004F0FAA">
        <w:t>s</w:t>
      </w:r>
      <w:r w:rsidRPr="00FF7120">
        <w:t xml:space="preserve">: </w:t>
      </w:r>
    </w:p>
    <w:p w14:paraId="34864225" w14:textId="2F98797B" w:rsidR="00BC2399" w:rsidRDefault="00BC2399" w:rsidP="00FA1AAC">
      <w:pPr>
        <w:pStyle w:val="DHHStablefigurenote"/>
      </w:pPr>
      <w:r>
        <w:t>These rate ratios are calculated as the Aboriginal and Torres Strait Islander adjusted incidence rate compared to non-</w:t>
      </w:r>
      <w:r w:rsidRPr="00BC2399">
        <w:t xml:space="preserve"> </w:t>
      </w:r>
      <w:r>
        <w:t xml:space="preserve">Aboriginal and Torres Strait Islander for each year. A rate ratio greater than one indicates a higher incidence rate for Aboriginal and Torres Strait Islander individuals than non-Aboriginal and Torres Strait Islander individuals. </w:t>
      </w:r>
    </w:p>
    <w:p w14:paraId="5CC7E2FD" w14:textId="485308D2" w:rsidR="00A475FD" w:rsidRPr="00A475FD" w:rsidRDefault="00A475FD" w:rsidP="00FA1AAC">
      <w:pPr>
        <w:pStyle w:val="DHHStablefigurenote"/>
      </w:pPr>
      <w:r w:rsidRPr="00A475FD">
        <w:t>E</w:t>
      </w:r>
      <w:r w:rsidR="00044B95">
        <w:t>R</w:t>
      </w:r>
      <w:r w:rsidR="005A0F87">
        <w:t>P</w:t>
      </w:r>
      <w:r w:rsidRPr="00A475FD">
        <w:t xml:space="preserve"> </w:t>
      </w:r>
      <w:r w:rsidR="00B51921">
        <w:t>files were sourced from ABS.</w:t>
      </w:r>
      <w:r w:rsidR="00952FC7">
        <w:t xml:space="preserve"> </w:t>
      </w:r>
      <w:r w:rsidR="00B51921">
        <w:t xml:space="preserve">Note at the time of preparing this report, </w:t>
      </w:r>
      <w:r w:rsidR="00C14C0C">
        <w:t xml:space="preserve">the ABS had not yet finalised </w:t>
      </w:r>
      <w:r w:rsidR="00C14C0C" w:rsidRPr="00A475FD">
        <w:t>2017</w:t>
      </w:r>
      <w:r w:rsidR="00C14C0C">
        <w:t xml:space="preserve"> ERP</w:t>
      </w:r>
      <w:r w:rsidR="00B51921">
        <w:t>.</w:t>
      </w:r>
      <w:r w:rsidR="005A0F87">
        <w:t xml:space="preserve"> The E</w:t>
      </w:r>
      <w:r w:rsidR="00044B95">
        <w:t>R</w:t>
      </w:r>
      <w:r w:rsidR="005A0F87">
        <w:t xml:space="preserve">P for the </w:t>
      </w:r>
      <w:r w:rsidR="00680DD3">
        <w:t>n</w:t>
      </w:r>
      <w:r w:rsidR="005A0F87">
        <w:t>on-</w:t>
      </w:r>
      <w:r w:rsidR="00DC7655">
        <w:t>A</w:t>
      </w:r>
      <w:r w:rsidR="005A0F87">
        <w:t>boriginal population</w:t>
      </w:r>
      <w:r w:rsidR="00C14C0C">
        <w:t xml:space="preserve"> in Victoria</w:t>
      </w:r>
      <w:r w:rsidR="005A0F87">
        <w:t xml:space="preserve"> was calculated by subtracting the</w:t>
      </w:r>
      <w:r w:rsidR="00BF714A">
        <w:t xml:space="preserve"> </w:t>
      </w:r>
      <w:r w:rsidR="00BF714A" w:rsidRPr="00BF714A">
        <w:rPr>
          <w:rFonts w:eastAsia="SourceSansPro-Regular"/>
          <w:lang w:eastAsia="en-AU"/>
        </w:rPr>
        <w:t>Aboriginal and Torres Strait Islander</w:t>
      </w:r>
      <w:r w:rsidR="005A0F87">
        <w:t xml:space="preserve"> </w:t>
      </w:r>
      <w:r w:rsidR="005A0F87" w:rsidRPr="005A0F87">
        <w:rPr>
          <w:b/>
        </w:rPr>
        <w:t>projected</w:t>
      </w:r>
      <w:r w:rsidR="005A0F87">
        <w:t xml:space="preserve"> population from the total ERP.</w:t>
      </w:r>
    </w:p>
    <w:p w14:paraId="6EE27799" w14:textId="2ED41CB5" w:rsidR="00087406" w:rsidRPr="00087406" w:rsidRDefault="00087406" w:rsidP="002226C1">
      <w:pPr>
        <w:pStyle w:val="DHHStablecaption"/>
      </w:pPr>
      <w:bookmarkStart w:id="300" w:name="_Toc18908723"/>
      <w:bookmarkStart w:id="301" w:name="_Toc27414402"/>
      <w:r w:rsidRPr="00A50F56">
        <w:t>Table 4.3</w:t>
      </w:r>
      <w:r w:rsidR="008D2095">
        <w:t>:</w:t>
      </w:r>
      <w:r w:rsidRPr="00A50F56">
        <w:t xml:space="preserve"> Rate</w:t>
      </w:r>
      <w:r w:rsidRPr="00A062F8">
        <w:t xml:space="preserve"> ratio of preventable cancer incidence </w:t>
      </w:r>
      <w:r w:rsidR="00831604">
        <w:t xml:space="preserve">(with confidence intervals) </w:t>
      </w:r>
      <w:r w:rsidRPr="00A062F8">
        <w:t>between Aboriginal and non-Aboriginal Victorians</w:t>
      </w:r>
      <w:r w:rsidR="00C14C0C">
        <w:t>,</w:t>
      </w:r>
      <w:r w:rsidRPr="00A062F8">
        <w:t xml:space="preserve"> by year</w:t>
      </w:r>
      <w:r>
        <w:t xml:space="preserve"> of diagnosis</w:t>
      </w:r>
      <w:r w:rsidRPr="00A062F8">
        <w:t>, 201</w:t>
      </w:r>
      <w:r w:rsidR="00AB332F">
        <w:t>4</w:t>
      </w:r>
      <w:r w:rsidR="008D2095">
        <w:t>–</w:t>
      </w:r>
      <w:r w:rsidRPr="00A062F8">
        <w:t>2017</w:t>
      </w:r>
      <w:bookmarkEnd w:id="300"/>
      <w:bookmarkEnd w:id="301"/>
    </w:p>
    <w:tbl>
      <w:tblPr>
        <w:tblpPr w:leftFromText="180" w:rightFromText="180" w:vertAnchor="text" w:horzAnchor="margin" w:tblpY="145"/>
        <w:tblW w:w="10723" w:type="dxa"/>
        <w:tblBorders>
          <w:bottom w:val="single" w:sz="4" w:space="0" w:color="C00000"/>
          <w:insideH w:val="single" w:sz="4" w:space="0" w:color="C00000"/>
        </w:tblBorders>
        <w:shd w:val="clear" w:color="auto" w:fill="EDCDCF"/>
        <w:tblLook w:val="04A0" w:firstRow="1" w:lastRow="0" w:firstColumn="1" w:lastColumn="0" w:noHBand="0" w:noVBand="1"/>
      </w:tblPr>
      <w:tblGrid>
        <w:gridCol w:w="2253"/>
        <w:gridCol w:w="1887"/>
        <w:gridCol w:w="2119"/>
        <w:gridCol w:w="2198"/>
        <w:gridCol w:w="2266"/>
      </w:tblGrid>
      <w:tr w:rsidR="00C238C1" w:rsidRPr="0069114D" w14:paraId="4C2E750D" w14:textId="77777777" w:rsidTr="00CF10FF">
        <w:trPr>
          <w:trHeight w:val="210"/>
        </w:trPr>
        <w:tc>
          <w:tcPr>
            <w:tcW w:w="2253" w:type="dxa"/>
            <w:shd w:val="clear" w:color="auto" w:fill="EDCDCF"/>
            <w:vAlign w:val="center"/>
          </w:tcPr>
          <w:p w14:paraId="64F5F9D4" w14:textId="77777777" w:rsidR="00C238C1" w:rsidRPr="004736B9" w:rsidRDefault="00C238C1" w:rsidP="00CF10FF">
            <w:pPr>
              <w:pStyle w:val="DHHStablecolhead"/>
            </w:pPr>
            <w:r w:rsidRPr="004736B9">
              <w:t>Year</w:t>
            </w:r>
          </w:p>
        </w:tc>
        <w:tc>
          <w:tcPr>
            <w:tcW w:w="1887" w:type="dxa"/>
            <w:shd w:val="clear" w:color="auto" w:fill="EDCDCF"/>
            <w:vAlign w:val="center"/>
          </w:tcPr>
          <w:p w14:paraId="327D9AFE" w14:textId="77777777" w:rsidR="00C238C1" w:rsidRPr="004736B9" w:rsidRDefault="00C238C1" w:rsidP="00CF10FF">
            <w:pPr>
              <w:pStyle w:val="DHHStablecolhead"/>
            </w:pPr>
            <w:r w:rsidRPr="004736B9">
              <w:t>2014</w:t>
            </w:r>
          </w:p>
        </w:tc>
        <w:tc>
          <w:tcPr>
            <w:tcW w:w="2119" w:type="dxa"/>
            <w:shd w:val="clear" w:color="auto" w:fill="EDCDCF"/>
            <w:vAlign w:val="center"/>
          </w:tcPr>
          <w:p w14:paraId="17AFE3D5" w14:textId="77777777" w:rsidR="00C238C1" w:rsidRPr="004736B9" w:rsidRDefault="00C238C1" w:rsidP="00CF10FF">
            <w:pPr>
              <w:pStyle w:val="DHHStablecolhead"/>
            </w:pPr>
            <w:r w:rsidRPr="004736B9">
              <w:t>2015</w:t>
            </w:r>
          </w:p>
        </w:tc>
        <w:tc>
          <w:tcPr>
            <w:tcW w:w="2198" w:type="dxa"/>
            <w:shd w:val="clear" w:color="auto" w:fill="EDCDCF"/>
            <w:vAlign w:val="center"/>
          </w:tcPr>
          <w:p w14:paraId="51C428E3" w14:textId="77777777" w:rsidR="00C238C1" w:rsidRPr="004736B9" w:rsidRDefault="00C238C1" w:rsidP="00CF10FF">
            <w:pPr>
              <w:pStyle w:val="DHHStablecolhead"/>
            </w:pPr>
            <w:r w:rsidRPr="004736B9">
              <w:t>2016</w:t>
            </w:r>
          </w:p>
        </w:tc>
        <w:tc>
          <w:tcPr>
            <w:tcW w:w="2266" w:type="dxa"/>
            <w:shd w:val="clear" w:color="auto" w:fill="EDCDCF"/>
            <w:vAlign w:val="center"/>
          </w:tcPr>
          <w:p w14:paraId="6D616361" w14:textId="77777777" w:rsidR="00C238C1" w:rsidRPr="004736B9" w:rsidRDefault="00C238C1" w:rsidP="00CF10FF">
            <w:pPr>
              <w:pStyle w:val="DHHStablecolhead"/>
            </w:pPr>
            <w:r w:rsidRPr="004736B9">
              <w:t>2017</w:t>
            </w:r>
          </w:p>
        </w:tc>
      </w:tr>
      <w:tr w:rsidR="00CF10FF" w:rsidRPr="0069114D" w14:paraId="3CDC8D14" w14:textId="77777777" w:rsidTr="00CF10FF">
        <w:trPr>
          <w:trHeight w:val="489"/>
        </w:trPr>
        <w:tc>
          <w:tcPr>
            <w:tcW w:w="2253" w:type="dxa"/>
            <w:shd w:val="clear" w:color="auto" w:fill="auto"/>
            <w:vAlign w:val="center"/>
          </w:tcPr>
          <w:p w14:paraId="42E6C2E2" w14:textId="338EB140" w:rsidR="00CF10FF" w:rsidRPr="00CF10FF" w:rsidRDefault="00CF10FF" w:rsidP="00CF10FF">
            <w:pPr>
              <w:pStyle w:val="DHHStabletext"/>
            </w:pPr>
            <w:r w:rsidRPr="00CF10FF">
              <w:t>Result</w:t>
            </w:r>
          </w:p>
        </w:tc>
        <w:tc>
          <w:tcPr>
            <w:tcW w:w="1887" w:type="dxa"/>
            <w:shd w:val="clear" w:color="auto" w:fill="auto"/>
            <w:vAlign w:val="center"/>
          </w:tcPr>
          <w:p w14:paraId="29CF2A26" w14:textId="11CEFD85" w:rsidR="00CF10FF" w:rsidRPr="00CF10FF" w:rsidRDefault="00CF10FF" w:rsidP="00CF10FF">
            <w:pPr>
              <w:pStyle w:val="DHHStabletext"/>
            </w:pPr>
            <w:r w:rsidRPr="00CF10FF">
              <w:t>1.5</w:t>
            </w:r>
          </w:p>
        </w:tc>
        <w:tc>
          <w:tcPr>
            <w:tcW w:w="2119" w:type="dxa"/>
            <w:shd w:val="clear" w:color="auto" w:fill="auto"/>
            <w:vAlign w:val="center"/>
          </w:tcPr>
          <w:p w14:paraId="0B90C9AD" w14:textId="6117AC30" w:rsidR="00CF10FF" w:rsidRPr="00CF10FF" w:rsidRDefault="00CF10FF" w:rsidP="00CF10FF">
            <w:pPr>
              <w:pStyle w:val="DHHStabletext"/>
            </w:pPr>
            <w:r w:rsidRPr="00CF10FF">
              <w:t>2.2</w:t>
            </w:r>
          </w:p>
        </w:tc>
        <w:tc>
          <w:tcPr>
            <w:tcW w:w="2198" w:type="dxa"/>
            <w:shd w:val="clear" w:color="auto" w:fill="auto"/>
            <w:vAlign w:val="center"/>
          </w:tcPr>
          <w:p w14:paraId="4C95AB78" w14:textId="7C6CAC32" w:rsidR="00CF10FF" w:rsidRPr="00CF10FF" w:rsidRDefault="00CF10FF" w:rsidP="00CF10FF">
            <w:pPr>
              <w:pStyle w:val="DHHStabletext"/>
            </w:pPr>
            <w:r w:rsidRPr="00CF10FF">
              <w:t>2.1</w:t>
            </w:r>
          </w:p>
        </w:tc>
        <w:tc>
          <w:tcPr>
            <w:tcW w:w="2266" w:type="dxa"/>
            <w:shd w:val="clear" w:color="auto" w:fill="auto"/>
            <w:vAlign w:val="center"/>
          </w:tcPr>
          <w:p w14:paraId="24DFE839" w14:textId="14CB0746" w:rsidR="00CF10FF" w:rsidRPr="00CF10FF" w:rsidRDefault="00CF10FF" w:rsidP="00CF10FF">
            <w:pPr>
              <w:pStyle w:val="DHHStabletext"/>
            </w:pPr>
            <w:r w:rsidRPr="00CF10FF">
              <w:t>1.8</w:t>
            </w:r>
          </w:p>
        </w:tc>
      </w:tr>
      <w:tr w:rsidR="00C238C1" w:rsidRPr="0069114D" w14:paraId="7B5062C9" w14:textId="77777777" w:rsidTr="00CF10FF">
        <w:trPr>
          <w:trHeight w:val="489"/>
        </w:trPr>
        <w:tc>
          <w:tcPr>
            <w:tcW w:w="2253" w:type="dxa"/>
            <w:shd w:val="clear" w:color="auto" w:fill="auto"/>
            <w:vAlign w:val="center"/>
          </w:tcPr>
          <w:p w14:paraId="0AADD317" w14:textId="5588D6DB" w:rsidR="00C238C1" w:rsidRPr="00CF10FF" w:rsidRDefault="00C238C1" w:rsidP="00CF10FF">
            <w:pPr>
              <w:pStyle w:val="DHHStabletext"/>
            </w:pPr>
            <w:r w:rsidRPr="00CF10FF">
              <w:t>(95% CI)</w:t>
            </w:r>
          </w:p>
        </w:tc>
        <w:tc>
          <w:tcPr>
            <w:tcW w:w="1887" w:type="dxa"/>
            <w:shd w:val="clear" w:color="auto" w:fill="auto"/>
            <w:vAlign w:val="center"/>
          </w:tcPr>
          <w:p w14:paraId="1C64B282" w14:textId="0F7539F1" w:rsidR="00C238C1" w:rsidRPr="00CF10FF" w:rsidRDefault="00C238C1" w:rsidP="00CF10FF">
            <w:pPr>
              <w:pStyle w:val="DHHStabletext"/>
            </w:pPr>
            <w:r w:rsidRPr="00CF10FF">
              <w:t>(1.3–1.7)</w:t>
            </w:r>
          </w:p>
        </w:tc>
        <w:tc>
          <w:tcPr>
            <w:tcW w:w="2119" w:type="dxa"/>
            <w:shd w:val="clear" w:color="auto" w:fill="auto"/>
            <w:vAlign w:val="center"/>
          </w:tcPr>
          <w:p w14:paraId="30B57A11" w14:textId="30D6D181" w:rsidR="00C238C1" w:rsidRPr="00CF10FF" w:rsidRDefault="00C238C1" w:rsidP="00CF10FF">
            <w:pPr>
              <w:pStyle w:val="DHHStabletext"/>
            </w:pPr>
            <w:r w:rsidRPr="00CF10FF">
              <w:t>(2.0–2.4)</w:t>
            </w:r>
          </w:p>
        </w:tc>
        <w:tc>
          <w:tcPr>
            <w:tcW w:w="2198" w:type="dxa"/>
            <w:shd w:val="clear" w:color="auto" w:fill="auto"/>
            <w:vAlign w:val="center"/>
          </w:tcPr>
          <w:p w14:paraId="77F96764" w14:textId="168A6120" w:rsidR="00C238C1" w:rsidRPr="00CF10FF" w:rsidRDefault="00C238C1" w:rsidP="00CF10FF">
            <w:pPr>
              <w:pStyle w:val="DHHStabletext"/>
            </w:pPr>
            <w:r w:rsidRPr="00CF10FF">
              <w:t>(1.9–2.3)</w:t>
            </w:r>
          </w:p>
        </w:tc>
        <w:tc>
          <w:tcPr>
            <w:tcW w:w="2266" w:type="dxa"/>
            <w:shd w:val="clear" w:color="auto" w:fill="auto"/>
            <w:vAlign w:val="center"/>
          </w:tcPr>
          <w:p w14:paraId="45E19CFD" w14:textId="46AE18C9" w:rsidR="00C238C1" w:rsidRPr="00CF10FF" w:rsidRDefault="00C238C1" w:rsidP="00CF10FF">
            <w:pPr>
              <w:pStyle w:val="DHHStabletext"/>
            </w:pPr>
            <w:r w:rsidRPr="00CF10FF">
              <w:t>(1.6–1.9)</w:t>
            </w:r>
          </w:p>
        </w:tc>
      </w:tr>
    </w:tbl>
    <w:p w14:paraId="669EEFBE" w14:textId="1FF99FA1" w:rsidR="00665D4B" w:rsidRPr="00E060C8" w:rsidRDefault="00665D4B" w:rsidP="00E060C8">
      <w:pPr>
        <w:pStyle w:val="Heading4"/>
        <w:spacing w:before="0" w:line="270" w:lineRule="atLeast"/>
      </w:pPr>
      <w:r w:rsidRPr="00E43803">
        <w:lastRenderedPageBreak/>
        <w:t>Measure assessment</w:t>
      </w:r>
    </w:p>
    <w:p w14:paraId="47F80D3C" w14:textId="1FA0E80D" w:rsidR="00FE5799" w:rsidRPr="00E060C8" w:rsidRDefault="00FE5799" w:rsidP="00E060C8">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3A3878" w:rsidRPr="00EC3B7A">
        <w:rPr>
          <w:rFonts w:ascii="Arial" w:hAnsi="Arial" w:cs="Arial"/>
          <w:b/>
          <w:color w:val="C00000"/>
        </w:rPr>
        <w:t>Red</w:t>
      </w:r>
      <w:r w:rsidR="00EC3B7A">
        <w:rPr>
          <w:rFonts w:ascii="Arial" w:hAnsi="Arial" w:cs="Arial"/>
          <w:b/>
          <w:color w:val="C00000"/>
        </w:rPr>
        <w:t xml:space="preserve"> </w:t>
      </w:r>
      <w:r w:rsidR="00EC3B7A">
        <w:rPr>
          <w:rFonts w:ascii="Arial" w:hAnsi="Arial" w:cs="Arial"/>
          <w:color w:val="C00000"/>
        </w:rPr>
        <w:t>(result is of concern)</w:t>
      </w:r>
    </w:p>
    <w:p w14:paraId="05F7D34A" w14:textId="7AF2F6E3" w:rsidR="00FE5799" w:rsidRPr="003E5FD3" w:rsidRDefault="00FE5799"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3A3878">
        <w:rPr>
          <w:rFonts w:ascii="Arial" w:hAnsi="Arial" w:cs="Arial"/>
        </w:rPr>
        <w:t>Static o</w:t>
      </w:r>
      <w:r w:rsidR="001D6235">
        <w:rPr>
          <w:rFonts w:ascii="Arial" w:hAnsi="Arial" w:cs="Arial"/>
        </w:rPr>
        <w:t>r</w:t>
      </w:r>
      <w:r w:rsidR="003A3878">
        <w:rPr>
          <w:rFonts w:ascii="Arial" w:hAnsi="Arial" w:cs="Arial"/>
        </w:rPr>
        <w:t xml:space="preserve"> unchanging</w:t>
      </w:r>
    </w:p>
    <w:p w14:paraId="76E3DF31" w14:textId="172A38C8" w:rsidR="00BD19A0" w:rsidRDefault="00FE5799" w:rsidP="00E060C8">
      <w:pPr>
        <w:pStyle w:val="DHHSbody"/>
        <w:rPr>
          <w:spacing w:val="7"/>
          <w:lang w:val="en"/>
        </w:rPr>
      </w:pPr>
      <w:r w:rsidRPr="005615CF">
        <w:rPr>
          <w:lang w:eastAsia="en-AU"/>
        </w:rPr>
        <w:t xml:space="preserve">Commentary: </w:t>
      </w:r>
      <w:r w:rsidR="000C6CA7" w:rsidRPr="005615CF">
        <w:rPr>
          <w:lang w:eastAsia="en-AU"/>
        </w:rPr>
        <w:t xml:space="preserve">Reducing the impact of </w:t>
      </w:r>
      <w:r w:rsidR="007C69DF" w:rsidRPr="005615CF">
        <w:rPr>
          <w:lang w:eastAsia="en-AU"/>
        </w:rPr>
        <w:t xml:space="preserve">preventable </w:t>
      </w:r>
      <w:r w:rsidR="000C6CA7" w:rsidRPr="005615CF">
        <w:rPr>
          <w:lang w:eastAsia="en-AU"/>
        </w:rPr>
        <w:t>cancer among Aboriginal and Torres Strait Islander people is a crucial aspect in ‘closing the gap’ in health outcomes.</w:t>
      </w:r>
      <w:r w:rsidR="0073144C" w:rsidRPr="005615CF">
        <w:rPr>
          <w:lang w:eastAsia="en-AU"/>
        </w:rPr>
        <w:t xml:space="preserve"> Although Aboriginal and Torres Strait Islander people are less likely to have some types of cancer, they are significantly more likely to have cancers that have a poor prognosis, but that are largely preventable, such as lung and liver cancer.</w:t>
      </w:r>
      <w:r w:rsidR="0073144C" w:rsidRPr="005615CF">
        <w:rPr>
          <w:rStyle w:val="FootnoteReference"/>
          <w:rFonts w:eastAsia="SourceSansPro-Regular" w:cs="Arial"/>
          <w:lang w:eastAsia="en-AU"/>
        </w:rPr>
        <w:footnoteReference w:id="44"/>
      </w:r>
      <w:r w:rsidR="00952FC7">
        <w:rPr>
          <w:lang w:eastAsia="en-AU"/>
        </w:rPr>
        <w:t xml:space="preserve"> </w:t>
      </w:r>
      <w:r w:rsidR="00D57065" w:rsidRPr="005615CF">
        <w:rPr>
          <w:lang w:eastAsia="en-AU"/>
        </w:rPr>
        <w:t>In the literature</w:t>
      </w:r>
      <w:r w:rsidR="007F6D1C" w:rsidRPr="005615CF">
        <w:rPr>
          <w:lang w:eastAsia="en-AU"/>
        </w:rPr>
        <w:t>,</w:t>
      </w:r>
      <w:r w:rsidR="00D57065" w:rsidRPr="005615CF">
        <w:rPr>
          <w:lang w:eastAsia="en-AU"/>
        </w:rPr>
        <w:t xml:space="preserve"> r</w:t>
      </w:r>
      <w:r w:rsidR="00622AEB" w:rsidRPr="005615CF">
        <w:rPr>
          <w:lang w:eastAsia="en-AU"/>
        </w:rPr>
        <w:t xml:space="preserve">isk factors for higher incidence of preventable cancers remain </w:t>
      </w:r>
      <w:r w:rsidR="00622AEB" w:rsidRPr="008A25BA">
        <w:t>prevalent</w:t>
      </w:r>
      <w:r w:rsidR="00622AEB" w:rsidRPr="005615CF">
        <w:rPr>
          <w:lang w:eastAsia="en-AU"/>
        </w:rPr>
        <w:t xml:space="preserve"> in </w:t>
      </w:r>
      <w:r w:rsidR="00FB32DE" w:rsidRPr="008A25BA">
        <w:t xml:space="preserve">Aboriginal and Torres Strait Islander </w:t>
      </w:r>
      <w:r w:rsidR="00680DD3" w:rsidRPr="008A25BA">
        <w:t>people</w:t>
      </w:r>
      <w:r w:rsidR="00FB32DE" w:rsidRPr="008A25BA">
        <w:t>, includ</w:t>
      </w:r>
      <w:r w:rsidR="00D57065" w:rsidRPr="008A25BA">
        <w:t>e</w:t>
      </w:r>
      <w:r w:rsidR="00FB32DE" w:rsidRPr="008A25BA">
        <w:t xml:space="preserve"> smoking, risky drinking and poor diet</w:t>
      </w:r>
      <w:r w:rsidR="00D57065" w:rsidRPr="008A25BA">
        <w:t>.</w:t>
      </w:r>
      <w:r w:rsidR="00304C4A">
        <w:rPr>
          <w:rStyle w:val="FootnoteReference"/>
        </w:rPr>
        <w:footnoteReference w:id="45"/>
      </w:r>
      <w:r w:rsidR="00FB32DE" w:rsidRPr="00304C4A">
        <w:rPr>
          <w:vertAlign w:val="superscript"/>
        </w:rPr>
        <w:t xml:space="preserve"> </w:t>
      </w:r>
      <w:r w:rsidR="007F6D1C" w:rsidRPr="008A25BA">
        <w:t xml:space="preserve">Figure </w:t>
      </w:r>
      <w:r w:rsidR="002507B8">
        <w:t xml:space="preserve">4.3 </w:t>
      </w:r>
      <w:r w:rsidR="007F6D1C" w:rsidRPr="00304C4A">
        <w:t>and Table 4.3 show that between 201</w:t>
      </w:r>
      <w:r w:rsidR="00E52688">
        <w:t>4</w:t>
      </w:r>
      <w:r w:rsidR="007F6D1C" w:rsidRPr="00304C4A">
        <w:t xml:space="preserve"> and 2017 Aboriginal Victorians were between</w:t>
      </w:r>
      <w:r w:rsidR="0056722C" w:rsidRPr="00304C4A">
        <w:t xml:space="preserve"> one</w:t>
      </w:r>
      <w:r w:rsidR="007F6D1C" w:rsidRPr="00304C4A">
        <w:t xml:space="preserve"> and </w:t>
      </w:r>
      <w:r w:rsidR="009C6A0A" w:rsidRPr="00304C4A">
        <w:t xml:space="preserve">a half to over </w:t>
      </w:r>
      <w:r w:rsidR="007F6D1C" w:rsidRPr="00304C4A">
        <w:t xml:space="preserve">two times </w:t>
      </w:r>
      <w:r w:rsidR="009C6A0A" w:rsidRPr="00304C4A">
        <w:t xml:space="preserve">more </w:t>
      </w:r>
      <w:r w:rsidR="007F6D1C" w:rsidRPr="00304C4A">
        <w:t>likely to have a high incidence rate of preventable cancer than non-Aboriginal Victorians.</w:t>
      </w:r>
      <w:r w:rsidR="00952FC7" w:rsidRPr="00304C4A">
        <w:t xml:space="preserve"> </w:t>
      </w:r>
      <w:r w:rsidR="00DB1296" w:rsidRPr="00304C4A">
        <w:t>While a target has not been set for this measure</w:t>
      </w:r>
      <w:r w:rsidR="00AC6FBB" w:rsidRPr="00304C4A">
        <w:t>,</w:t>
      </w:r>
      <w:r w:rsidR="00DB1296" w:rsidRPr="00304C4A">
        <w:t xml:space="preserve"> it is recognised</w:t>
      </w:r>
      <w:r w:rsidR="009C6A19" w:rsidRPr="00304C4A">
        <w:t xml:space="preserve"> that </w:t>
      </w:r>
      <w:r w:rsidR="00AC6FBB" w:rsidRPr="00304C4A">
        <w:t>to</w:t>
      </w:r>
      <w:r w:rsidR="009C6A19" w:rsidRPr="00304C4A">
        <w:t xml:space="preserve"> </w:t>
      </w:r>
      <w:r w:rsidR="009C6A0A" w:rsidRPr="00304C4A">
        <w:t>address this disparity</w:t>
      </w:r>
      <w:r w:rsidR="00705E0C" w:rsidRPr="00304C4A">
        <w:t>,</w:t>
      </w:r>
      <w:r w:rsidR="005523D6" w:rsidRPr="00304C4A">
        <w:t xml:space="preserve"> programs</w:t>
      </w:r>
      <w:r w:rsidR="00A50DA5">
        <w:t xml:space="preserve"> (including screening programs)</w:t>
      </w:r>
      <w:r w:rsidR="005523D6" w:rsidRPr="00304C4A">
        <w:t xml:space="preserve"> </w:t>
      </w:r>
      <w:r w:rsidR="00705E0C" w:rsidRPr="00304C4A">
        <w:t xml:space="preserve">designed to </w:t>
      </w:r>
      <w:r w:rsidR="005523D6" w:rsidRPr="00304C4A">
        <w:t>improve equity in cancer outcomes for all Victorians</w:t>
      </w:r>
      <w:r w:rsidR="00705E0C" w:rsidRPr="00304C4A">
        <w:t xml:space="preserve"> are warranted.</w:t>
      </w:r>
    </w:p>
    <w:p w14:paraId="52B0565F" w14:textId="77777777" w:rsidR="00BD19A0" w:rsidRDefault="00BD19A0">
      <w:pPr>
        <w:rPr>
          <w:rFonts w:ascii="Arial" w:eastAsia="Times" w:hAnsi="Arial" w:cs="Arial"/>
          <w:spacing w:val="7"/>
          <w:lang w:val="en"/>
        </w:rPr>
      </w:pPr>
      <w:r>
        <w:rPr>
          <w:rFonts w:cs="Arial"/>
          <w:spacing w:val="7"/>
          <w:lang w:val="en"/>
        </w:rPr>
        <w:br w:type="page"/>
      </w:r>
    </w:p>
    <w:p w14:paraId="7D7598A7" w14:textId="6F47C1FE" w:rsidR="00473E5F" w:rsidRPr="00B91C4A" w:rsidRDefault="00473E5F" w:rsidP="006053E7">
      <w:pPr>
        <w:pStyle w:val="Heading2"/>
      </w:pPr>
      <w:bookmarkStart w:id="302" w:name="_Toc19008045"/>
      <w:bookmarkStart w:id="303" w:name="_Toc33457070"/>
      <w:r w:rsidRPr="00B91C4A">
        <w:lastRenderedPageBreak/>
        <w:t>Key result:</w:t>
      </w:r>
      <w:r w:rsidR="009B5026" w:rsidRPr="00B91C4A">
        <w:t xml:space="preserve"> Equitably reduce cancer deaths</w:t>
      </w:r>
      <w:bookmarkEnd w:id="302"/>
      <w:bookmarkEnd w:id="303"/>
    </w:p>
    <w:p w14:paraId="236E295E" w14:textId="07315101" w:rsidR="00E8458B" w:rsidRDefault="00E8458B" w:rsidP="00E8458B">
      <w:pPr>
        <w:pStyle w:val="Heading3"/>
        <w:rPr>
          <w:lang w:eastAsia="en-AU"/>
        </w:rPr>
      </w:pPr>
      <w:bookmarkStart w:id="304" w:name="_Measure_5.1_–"/>
      <w:bookmarkStart w:id="305" w:name="_Toc19008046"/>
      <w:bookmarkEnd w:id="304"/>
      <w:r>
        <w:rPr>
          <w:lang w:eastAsia="en-AU"/>
        </w:rPr>
        <w:t>Measure 5.1 – Rate ratio of premature death rate due to cancer between Integrated Cancer Services</w:t>
      </w:r>
      <w:bookmarkEnd w:id="305"/>
    </w:p>
    <w:p w14:paraId="67216372" w14:textId="0EA44D81" w:rsidR="00C84A36" w:rsidRDefault="00C84A36" w:rsidP="00A41066">
      <w:pPr>
        <w:pStyle w:val="DHHSfigurecaption"/>
        <w:rPr>
          <w:rFonts w:eastAsiaTheme="majorEastAsia"/>
        </w:rPr>
      </w:pPr>
      <w:bookmarkStart w:id="306" w:name="_Toc19008047"/>
      <w:bookmarkStart w:id="307" w:name="_Toc19008291"/>
      <w:bookmarkStart w:id="308" w:name="_Toc19008438"/>
      <w:bookmarkStart w:id="309" w:name="_Toc19008585"/>
      <w:bookmarkStart w:id="310" w:name="_Toc27414293"/>
      <w:r w:rsidRPr="009E2CB6">
        <w:t>Figure 5.1</w:t>
      </w:r>
      <w:r w:rsidR="008D2095">
        <w:t>:</w:t>
      </w:r>
      <w:r w:rsidR="009E2CB6" w:rsidRPr="009E2CB6">
        <w:t xml:space="preserve"> </w:t>
      </w:r>
      <w:r w:rsidR="009E2CB6" w:rsidRPr="009E2CB6">
        <w:rPr>
          <w:rFonts w:eastAsiaTheme="majorEastAsia"/>
        </w:rPr>
        <w:t>Rate ratio of premature death</w:t>
      </w:r>
      <w:r w:rsidR="00C05912">
        <w:rPr>
          <w:rFonts w:eastAsiaTheme="majorEastAsia"/>
        </w:rPr>
        <w:t xml:space="preserve"> (with confidence intervals) </w:t>
      </w:r>
      <w:r w:rsidR="009E2CB6" w:rsidRPr="009E2CB6">
        <w:rPr>
          <w:rFonts w:eastAsiaTheme="majorEastAsia"/>
        </w:rPr>
        <w:t xml:space="preserve">due to cancer in ICS of residence compared </w:t>
      </w:r>
      <w:r w:rsidR="008D2095">
        <w:rPr>
          <w:rFonts w:eastAsiaTheme="majorEastAsia"/>
        </w:rPr>
        <w:t>with</w:t>
      </w:r>
      <w:r w:rsidR="008D2095" w:rsidRPr="009E2CB6">
        <w:rPr>
          <w:rFonts w:eastAsiaTheme="majorEastAsia"/>
        </w:rPr>
        <w:t xml:space="preserve"> </w:t>
      </w:r>
      <w:r w:rsidR="009E2CB6" w:rsidRPr="009E2CB6">
        <w:rPr>
          <w:rFonts w:eastAsiaTheme="majorEastAsia"/>
        </w:rPr>
        <w:t>the ICS of residence with the lowest premature death rate, grouped by year of diagnosis</w:t>
      </w:r>
      <w:r w:rsidR="008D2095">
        <w:rPr>
          <w:rFonts w:eastAsiaTheme="majorEastAsia"/>
        </w:rPr>
        <w:t xml:space="preserve">, </w:t>
      </w:r>
      <w:r w:rsidR="009E2CB6" w:rsidRPr="009E2CB6">
        <w:rPr>
          <w:rFonts w:eastAsiaTheme="majorEastAsia"/>
        </w:rPr>
        <w:t>201</w:t>
      </w:r>
      <w:r w:rsidR="0034015B">
        <w:rPr>
          <w:rFonts w:eastAsiaTheme="majorEastAsia"/>
        </w:rPr>
        <w:t>4</w:t>
      </w:r>
      <w:r w:rsidR="008D2095">
        <w:rPr>
          <w:rFonts w:eastAsiaTheme="majorEastAsia"/>
        </w:rPr>
        <w:t>–</w:t>
      </w:r>
      <w:r w:rsidR="009E2CB6" w:rsidRPr="009E2CB6">
        <w:rPr>
          <w:rFonts w:eastAsiaTheme="majorEastAsia"/>
        </w:rPr>
        <w:t>2017</w:t>
      </w:r>
      <w:bookmarkEnd w:id="306"/>
      <w:bookmarkEnd w:id="307"/>
      <w:bookmarkEnd w:id="308"/>
      <w:bookmarkEnd w:id="309"/>
      <w:bookmarkEnd w:id="310"/>
    </w:p>
    <w:p w14:paraId="503E1173" w14:textId="16E5DD49" w:rsidR="00BD5267" w:rsidRPr="00BD5267" w:rsidRDefault="00BD5267" w:rsidP="00BD5267">
      <w:pPr>
        <w:pStyle w:val="DHHSbody"/>
      </w:pPr>
      <w:r>
        <w:rPr>
          <w:noProof/>
        </w:rPr>
        <w:drawing>
          <wp:inline distT="0" distB="0" distL="0" distR="0" wp14:anchorId="6B8B888F" wp14:editId="173886E4">
            <wp:extent cx="6709558" cy="5224780"/>
            <wp:effectExtent l="0" t="0" r="0" b="0"/>
            <wp:docPr id="80" name="Picture 80" descr="This figure shows a summary of 'Measure 5.1 - Rate ratio of premature cancer incidence between Integrated Cancer Services'.  The data for this figure is available in this section for the study period 2014 to 2017 - refer to Table 5.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718230" cy="5231533"/>
                    </a:xfrm>
                    <a:prstGeom prst="rect">
                      <a:avLst/>
                    </a:prstGeom>
                    <a:noFill/>
                    <a:ln>
                      <a:noFill/>
                    </a:ln>
                  </pic:spPr>
                </pic:pic>
              </a:graphicData>
            </a:graphic>
          </wp:inline>
        </w:drawing>
      </w:r>
    </w:p>
    <w:p w14:paraId="6F0F0374" w14:textId="7D0888E6" w:rsidR="00E8331B" w:rsidRDefault="00E8331B" w:rsidP="00E8331B">
      <w:pPr>
        <w:pStyle w:val="DHHSbody"/>
        <w:jc w:val="center"/>
        <w:rPr>
          <w:i/>
          <w:iCs/>
          <w:sz w:val="18"/>
          <w:szCs w:val="18"/>
          <w:lang w:eastAsia="en-AU"/>
        </w:rPr>
      </w:pPr>
    </w:p>
    <w:p w14:paraId="56EF072F" w14:textId="4B78EB5F" w:rsidR="00E8331B" w:rsidRDefault="00307506" w:rsidP="00FA1AAC">
      <w:pPr>
        <w:pStyle w:val="DHHStablefigurenote"/>
      </w:pPr>
      <w:r w:rsidRPr="00A41066">
        <w:rPr>
          <w:iCs/>
          <w:lang w:eastAsia="en-AU"/>
        </w:rPr>
        <w:t>Note:</w:t>
      </w:r>
      <w:r w:rsidRPr="00317888">
        <w:rPr>
          <w:lang w:eastAsia="en-AU"/>
        </w:rPr>
        <w:t xml:space="preserve"> </w:t>
      </w:r>
      <w:r w:rsidRPr="00317888">
        <w:t>E</w:t>
      </w:r>
      <w:r w:rsidR="00044B95">
        <w:t>R</w:t>
      </w:r>
      <w:r w:rsidRPr="00317888">
        <w:t>P files were sourced from</w:t>
      </w:r>
      <w:r w:rsidR="002507B8">
        <w:t xml:space="preserve"> the</w:t>
      </w:r>
      <w:r w:rsidRPr="00317888">
        <w:t xml:space="preserve"> ABS.</w:t>
      </w:r>
      <w:r w:rsidR="00952FC7">
        <w:t xml:space="preserve"> </w:t>
      </w:r>
      <w:r w:rsidR="0007079F">
        <w:t xml:space="preserve">Note at the time of preparing this report, </w:t>
      </w:r>
      <w:r w:rsidR="002507B8">
        <w:t xml:space="preserve">the ABS had not yet finalised </w:t>
      </w:r>
      <w:r w:rsidR="002507B8" w:rsidRPr="00A475FD">
        <w:t>2017</w:t>
      </w:r>
      <w:r w:rsidR="002507B8">
        <w:t xml:space="preserve"> ERP</w:t>
      </w:r>
      <w:r w:rsidR="0007079F">
        <w:t xml:space="preserve">. </w:t>
      </w:r>
    </w:p>
    <w:p w14:paraId="78EA7340" w14:textId="1DBA6A49" w:rsidR="00BD5267" w:rsidRPr="00BD5267" w:rsidRDefault="00BD5267" w:rsidP="00FA1AAC">
      <w:pPr>
        <w:pStyle w:val="DHHStablefigurenote"/>
        <w:rPr>
          <w:iCs/>
          <w:lang w:eastAsia="en-AU"/>
        </w:rPr>
      </w:pPr>
      <w:r>
        <w:t xml:space="preserve">The baseline ICS for calculating the rate ratios for each year is the ICS with the lowest adjusted incidence rate for the year of interest and is highlighted in </w:t>
      </w:r>
      <w:r w:rsidRPr="00BD5267">
        <w:rPr>
          <w:color w:val="C00000"/>
        </w:rPr>
        <w:t>red.</w:t>
      </w:r>
      <w:r>
        <w:rPr>
          <w:color w:val="C00000"/>
        </w:rPr>
        <w:t xml:space="preserve"> </w:t>
      </w:r>
      <w:r w:rsidRPr="00BD5267">
        <w:t>A rate ratio greater than one indicates a higher incidence rate than the baseline ICS.</w:t>
      </w:r>
    </w:p>
    <w:p w14:paraId="25A64439" w14:textId="77777777" w:rsidR="00BD5267" w:rsidRDefault="00BD5267">
      <w:pPr>
        <w:rPr>
          <w:rFonts w:ascii="Arial" w:hAnsi="Arial"/>
          <w:b/>
          <w:lang w:eastAsia="en-US"/>
        </w:rPr>
      </w:pPr>
      <w:bookmarkStart w:id="311" w:name="_Toc18908724"/>
      <w:r>
        <w:br w:type="page"/>
      </w:r>
    </w:p>
    <w:p w14:paraId="29873657" w14:textId="14C005AC" w:rsidR="009974BB" w:rsidRPr="004736B9" w:rsidRDefault="00E74213" w:rsidP="0091523F">
      <w:pPr>
        <w:pStyle w:val="DHHStablecaption"/>
        <w:rPr>
          <w:i/>
        </w:rPr>
      </w:pPr>
      <w:bookmarkStart w:id="312" w:name="_Toc27414403"/>
      <w:r w:rsidRPr="004736B9">
        <w:lastRenderedPageBreak/>
        <w:t>Table</w:t>
      </w:r>
      <w:r w:rsidR="009974BB" w:rsidRPr="004736B9">
        <w:t xml:space="preserve"> 5.1</w:t>
      </w:r>
      <w:r w:rsidR="008D2095" w:rsidRPr="004736B9">
        <w:t>:</w:t>
      </w:r>
      <w:r w:rsidR="009974BB" w:rsidRPr="004736B9">
        <w:t xml:space="preserve"> Rate ratio of premature death (with confidence intervals) due to cancer in ICS of residence compared </w:t>
      </w:r>
      <w:r w:rsidR="008D2095" w:rsidRPr="004736B9">
        <w:t xml:space="preserve">with </w:t>
      </w:r>
      <w:r w:rsidR="009974BB" w:rsidRPr="004736B9">
        <w:t>the ICS of residence with the lowest premature death rate, grouped by year of diagnosis</w:t>
      </w:r>
      <w:r w:rsidR="008D2095" w:rsidRPr="004736B9">
        <w:t>,</w:t>
      </w:r>
      <w:r w:rsidR="009974BB" w:rsidRPr="004736B9">
        <w:t xml:space="preserve"> 201</w:t>
      </w:r>
      <w:r w:rsidR="0034015B" w:rsidRPr="004736B9">
        <w:t>4</w:t>
      </w:r>
      <w:r w:rsidR="008D2095" w:rsidRPr="004736B9">
        <w:t>–</w:t>
      </w:r>
      <w:r w:rsidR="009974BB" w:rsidRPr="004736B9">
        <w:t>2017</w:t>
      </w:r>
      <w:bookmarkEnd w:id="311"/>
      <w:bookmarkEnd w:id="312"/>
    </w:p>
    <w:tbl>
      <w:tblPr>
        <w:tblStyle w:val="TableGrid"/>
        <w:tblW w:w="10392" w:type="dxa"/>
        <w:tblInd w:w="-1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1795"/>
        <w:gridCol w:w="2157"/>
        <w:gridCol w:w="2158"/>
        <w:gridCol w:w="2229"/>
        <w:gridCol w:w="2053"/>
      </w:tblGrid>
      <w:tr w:rsidR="003B718D" w14:paraId="718F57C1" w14:textId="77777777" w:rsidTr="001F1EA2">
        <w:trPr>
          <w:trHeight w:val="475"/>
          <w:tblHeader/>
        </w:trPr>
        <w:tc>
          <w:tcPr>
            <w:tcW w:w="1795" w:type="dxa"/>
            <w:shd w:val="clear" w:color="auto" w:fill="EDCDCF"/>
          </w:tcPr>
          <w:p w14:paraId="72CA6141" w14:textId="32DE8075" w:rsidR="003B718D" w:rsidRPr="00D6450C" w:rsidRDefault="003B718D" w:rsidP="00D6450C">
            <w:pPr>
              <w:pStyle w:val="DHHStablecolhead"/>
            </w:pPr>
            <w:r w:rsidRPr="00D6450C">
              <w:t>ICS</w:t>
            </w:r>
          </w:p>
        </w:tc>
        <w:tc>
          <w:tcPr>
            <w:tcW w:w="2157" w:type="dxa"/>
            <w:shd w:val="clear" w:color="auto" w:fill="EDCDCF"/>
          </w:tcPr>
          <w:p w14:paraId="31766346" w14:textId="77777777" w:rsidR="003B718D" w:rsidRPr="00D6450C" w:rsidRDefault="003B718D" w:rsidP="00D6450C">
            <w:pPr>
              <w:pStyle w:val="DHHStablecolhead"/>
            </w:pPr>
            <w:r w:rsidRPr="00D6450C">
              <w:t>2014</w:t>
            </w:r>
          </w:p>
          <w:p w14:paraId="2C2C0FDB" w14:textId="0A564BA6" w:rsidR="003B718D" w:rsidRPr="00D6450C" w:rsidRDefault="003B718D" w:rsidP="00D6450C">
            <w:pPr>
              <w:pStyle w:val="DHHStablecolhead"/>
            </w:pPr>
            <w:r w:rsidRPr="00D6450C">
              <w:t>(95% CI)</w:t>
            </w:r>
          </w:p>
        </w:tc>
        <w:tc>
          <w:tcPr>
            <w:tcW w:w="2158" w:type="dxa"/>
            <w:shd w:val="clear" w:color="auto" w:fill="EDCDCF"/>
          </w:tcPr>
          <w:p w14:paraId="1B13DA15" w14:textId="77777777" w:rsidR="003B718D" w:rsidRPr="00D6450C" w:rsidRDefault="003B718D" w:rsidP="00D6450C">
            <w:pPr>
              <w:pStyle w:val="DHHStablecolhead"/>
            </w:pPr>
            <w:r w:rsidRPr="00D6450C">
              <w:t>2015</w:t>
            </w:r>
          </w:p>
          <w:p w14:paraId="31690260" w14:textId="63A21AEA" w:rsidR="003B718D" w:rsidRPr="00D6450C" w:rsidRDefault="003B718D" w:rsidP="00D6450C">
            <w:pPr>
              <w:pStyle w:val="DHHStablecolhead"/>
            </w:pPr>
            <w:r w:rsidRPr="00D6450C">
              <w:t>(95% CI)</w:t>
            </w:r>
          </w:p>
        </w:tc>
        <w:tc>
          <w:tcPr>
            <w:tcW w:w="2229" w:type="dxa"/>
            <w:shd w:val="clear" w:color="auto" w:fill="EDCDCF"/>
          </w:tcPr>
          <w:p w14:paraId="69E2F34C" w14:textId="77777777" w:rsidR="003B718D" w:rsidRPr="00D6450C" w:rsidRDefault="003B718D" w:rsidP="00D6450C">
            <w:pPr>
              <w:pStyle w:val="DHHStablecolhead"/>
            </w:pPr>
            <w:r w:rsidRPr="00D6450C">
              <w:t>2016</w:t>
            </w:r>
          </w:p>
          <w:p w14:paraId="248CF119" w14:textId="429CA258" w:rsidR="003B718D" w:rsidRPr="00D6450C" w:rsidRDefault="003B718D" w:rsidP="00D6450C">
            <w:pPr>
              <w:pStyle w:val="DHHStablecolhead"/>
            </w:pPr>
            <w:r w:rsidRPr="00D6450C">
              <w:t>(95% CI)</w:t>
            </w:r>
          </w:p>
        </w:tc>
        <w:tc>
          <w:tcPr>
            <w:tcW w:w="2053" w:type="dxa"/>
            <w:shd w:val="clear" w:color="auto" w:fill="EDCDCF"/>
          </w:tcPr>
          <w:p w14:paraId="210D7C8B" w14:textId="77777777" w:rsidR="003B718D" w:rsidRPr="00D6450C" w:rsidRDefault="003B718D" w:rsidP="00D6450C">
            <w:pPr>
              <w:pStyle w:val="DHHStablecolhead"/>
            </w:pPr>
            <w:r w:rsidRPr="00D6450C">
              <w:t>2017</w:t>
            </w:r>
          </w:p>
          <w:p w14:paraId="4E0A05DA" w14:textId="1D6FAAC1" w:rsidR="003B718D" w:rsidRPr="00D6450C" w:rsidRDefault="003B718D" w:rsidP="00D6450C">
            <w:pPr>
              <w:pStyle w:val="DHHStablecolhead"/>
            </w:pPr>
            <w:r w:rsidRPr="00D6450C">
              <w:t>(95% CI)</w:t>
            </w:r>
          </w:p>
        </w:tc>
      </w:tr>
      <w:tr w:rsidR="003B718D" w14:paraId="400F4D4B" w14:textId="77777777" w:rsidTr="001F1EA2">
        <w:trPr>
          <w:trHeight w:val="356"/>
        </w:trPr>
        <w:tc>
          <w:tcPr>
            <w:tcW w:w="1795" w:type="dxa"/>
            <w:shd w:val="clear" w:color="auto" w:fill="auto"/>
            <w:vAlign w:val="center"/>
          </w:tcPr>
          <w:p w14:paraId="17EE4281" w14:textId="77777777" w:rsidR="003B718D" w:rsidRPr="00E8331B" w:rsidRDefault="003B718D" w:rsidP="001F1EA2">
            <w:pPr>
              <w:pStyle w:val="DHHStabletext"/>
            </w:pPr>
            <w:r w:rsidRPr="00E8331B">
              <w:t>NEMICS</w:t>
            </w:r>
          </w:p>
        </w:tc>
        <w:tc>
          <w:tcPr>
            <w:tcW w:w="2157" w:type="dxa"/>
            <w:shd w:val="clear" w:color="auto" w:fill="auto"/>
            <w:vAlign w:val="center"/>
          </w:tcPr>
          <w:p w14:paraId="193171CB" w14:textId="77777777" w:rsidR="003B718D" w:rsidRPr="00E8331B" w:rsidRDefault="003B718D" w:rsidP="001F1EA2">
            <w:pPr>
              <w:pStyle w:val="DHHStabletext"/>
            </w:pPr>
            <w:r w:rsidRPr="00E8331B">
              <w:t>1.0</w:t>
            </w:r>
          </w:p>
          <w:p w14:paraId="7A22BAED" w14:textId="3A514E2D" w:rsidR="003B718D" w:rsidRPr="00E8331B" w:rsidRDefault="003B718D" w:rsidP="001F1EA2">
            <w:pPr>
              <w:pStyle w:val="DHHStabletext"/>
            </w:pPr>
            <w:r w:rsidRPr="00E8331B">
              <w:t>(0.9–1.1)</w:t>
            </w:r>
          </w:p>
        </w:tc>
        <w:tc>
          <w:tcPr>
            <w:tcW w:w="2158" w:type="dxa"/>
            <w:shd w:val="clear" w:color="auto" w:fill="auto"/>
            <w:vAlign w:val="center"/>
          </w:tcPr>
          <w:p w14:paraId="216A049E" w14:textId="261831F4" w:rsidR="003B718D" w:rsidRPr="00E8331B" w:rsidRDefault="006F570F" w:rsidP="001F1EA2">
            <w:pPr>
              <w:pStyle w:val="DHHStabletext"/>
            </w:pPr>
            <w:r>
              <w:t>Ref Point</w:t>
            </w:r>
          </w:p>
        </w:tc>
        <w:tc>
          <w:tcPr>
            <w:tcW w:w="2229" w:type="dxa"/>
            <w:shd w:val="clear" w:color="auto" w:fill="auto"/>
            <w:vAlign w:val="center"/>
          </w:tcPr>
          <w:p w14:paraId="36E98D0C" w14:textId="77777777" w:rsidR="003B718D" w:rsidRPr="00E8331B" w:rsidRDefault="003B718D" w:rsidP="001F1EA2">
            <w:pPr>
              <w:pStyle w:val="DHHStabletext"/>
            </w:pPr>
            <w:r w:rsidRPr="00E8331B">
              <w:t>1.0</w:t>
            </w:r>
          </w:p>
          <w:p w14:paraId="7B3FF83D" w14:textId="2970FE4F" w:rsidR="003B718D" w:rsidRPr="00E8331B" w:rsidRDefault="003B718D" w:rsidP="001F1EA2">
            <w:pPr>
              <w:pStyle w:val="DHHStabletext"/>
            </w:pPr>
            <w:r w:rsidRPr="00E8331B">
              <w:t>(0.8–1.2)</w:t>
            </w:r>
          </w:p>
        </w:tc>
        <w:tc>
          <w:tcPr>
            <w:tcW w:w="2053" w:type="dxa"/>
            <w:shd w:val="clear" w:color="auto" w:fill="auto"/>
            <w:vAlign w:val="center"/>
          </w:tcPr>
          <w:p w14:paraId="60232A01" w14:textId="4CD9A658" w:rsidR="003B718D" w:rsidRPr="00E8331B" w:rsidRDefault="006F570F" w:rsidP="001F1EA2">
            <w:pPr>
              <w:pStyle w:val="DHHStabletext"/>
            </w:pPr>
            <w:r>
              <w:t>Ref Point</w:t>
            </w:r>
          </w:p>
        </w:tc>
      </w:tr>
      <w:tr w:rsidR="003B718D" w14:paraId="1A1771EC" w14:textId="77777777" w:rsidTr="001F1EA2">
        <w:trPr>
          <w:trHeight w:val="404"/>
        </w:trPr>
        <w:tc>
          <w:tcPr>
            <w:tcW w:w="1795" w:type="dxa"/>
            <w:shd w:val="clear" w:color="auto" w:fill="auto"/>
            <w:vAlign w:val="center"/>
          </w:tcPr>
          <w:p w14:paraId="0F312386" w14:textId="77777777" w:rsidR="003B718D" w:rsidRPr="00E8331B" w:rsidRDefault="003B718D" w:rsidP="001F1EA2">
            <w:pPr>
              <w:pStyle w:val="DHHStabletext"/>
            </w:pPr>
            <w:r w:rsidRPr="00E8331B">
              <w:t>SMICS</w:t>
            </w:r>
          </w:p>
        </w:tc>
        <w:tc>
          <w:tcPr>
            <w:tcW w:w="2157" w:type="dxa"/>
            <w:shd w:val="clear" w:color="auto" w:fill="auto"/>
            <w:vAlign w:val="center"/>
          </w:tcPr>
          <w:p w14:paraId="425178DD" w14:textId="6074FA18" w:rsidR="003B718D" w:rsidRPr="00E8331B" w:rsidRDefault="006F570F" w:rsidP="001F1EA2">
            <w:pPr>
              <w:pStyle w:val="DHHStabletext"/>
            </w:pPr>
            <w:r>
              <w:t>Ref Point</w:t>
            </w:r>
          </w:p>
        </w:tc>
        <w:tc>
          <w:tcPr>
            <w:tcW w:w="2158" w:type="dxa"/>
            <w:shd w:val="clear" w:color="auto" w:fill="auto"/>
          </w:tcPr>
          <w:p w14:paraId="5AEE7227" w14:textId="77777777" w:rsidR="003B718D" w:rsidRPr="00E8331B" w:rsidRDefault="003B718D" w:rsidP="001F1EA2">
            <w:pPr>
              <w:pStyle w:val="DHHStabletext"/>
            </w:pPr>
            <w:r w:rsidRPr="00E8331B">
              <w:t>1.1</w:t>
            </w:r>
          </w:p>
          <w:p w14:paraId="09FC31A4" w14:textId="10270F78" w:rsidR="003B718D" w:rsidRPr="00E8331B" w:rsidRDefault="003B718D" w:rsidP="001F1EA2">
            <w:pPr>
              <w:pStyle w:val="DHHStabletext"/>
            </w:pPr>
            <w:r w:rsidRPr="00E8331B">
              <w:t>(1.0–1.2)</w:t>
            </w:r>
          </w:p>
        </w:tc>
        <w:tc>
          <w:tcPr>
            <w:tcW w:w="2229" w:type="dxa"/>
            <w:shd w:val="clear" w:color="auto" w:fill="auto"/>
          </w:tcPr>
          <w:p w14:paraId="53A6F247" w14:textId="77777777" w:rsidR="003B718D" w:rsidRPr="00E8331B" w:rsidRDefault="003B718D" w:rsidP="001F1EA2">
            <w:pPr>
              <w:pStyle w:val="DHHStabletext"/>
            </w:pPr>
            <w:r w:rsidRPr="00E8331B">
              <w:t>1.1</w:t>
            </w:r>
          </w:p>
          <w:p w14:paraId="17530340" w14:textId="6ED8D9C3" w:rsidR="003B718D" w:rsidRPr="00E8331B" w:rsidRDefault="003B718D" w:rsidP="001F1EA2">
            <w:pPr>
              <w:pStyle w:val="DHHStabletext"/>
            </w:pPr>
            <w:r w:rsidRPr="00E8331B">
              <w:t>(0.9–1.2)</w:t>
            </w:r>
          </w:p>
        </w:tc>
        <w:tc>
          <w:tcPr>
            <w:tcW w:w="2053" w:type="dxa"/>
            <w:shd w:val="clear" w:color="auto" w:fill="auto"/>
            <w:vAlign w:val="center"/>
          </w:tcPr>
          <w:p w14:paraId="02F6873B" w14:textId="77777777" w:rsidR="003B718D" w:rsidRPr="00E8331B" w:rsidRDefault="003B718D" w:rsidP="001F1EA2">
            <w:pPr>
              <w:pStyle w:val="DHHStabletext"/>
            </w:pPr>
            <w:r w:rsidRPr="00E8331B">
              <w:t>1.0</w:t>
            </w:r>
          </w:p>
          <w:p w14:paraId="66B07222" w14:textId="45892B5C" w:rsidR="003B718D" w:rsidRPr="00E8331B" w:rsidRDefault="003B718D" w:rsidP="001F1EA2">
            <w:pPr>
              <w:pStyle w:val="DHHStabletext"/>
            </w:pPr>
            <w:r w:rsidRPr="00E8331B">
              <w:t>(0.9–1.1)</w:t>
            </w:r>
          </w:p>
        </w:tc>
      </w:tr>
      <w:tr w:rsidR="003B718D" w14:paraId="2BB1D3E8" w14:textId="77777777" w:rsidTr="001F1EA2">
        <w:trPr>
          <w:trHeight w:val="404"/>
        </w:trPr>
        <w:tc>
          <w:tcPr>
            <w:tcW w:w="1795" w:type="dxa"/>
            <w:shd w:val="clear" w:color="auto" w:fill="auto"/>
            <w:vAlign w:val="center"/>
          </w:tcPr>
          <w:p w14:paraId="3A8F10A4" w14:textId="77777777" w:rsidR="003B718D" w:rsidRPr="00E8331B" w:rsidRDefault="003B718D" w:rsidP="001F1EA2">
            <w:pPr>
              <w:pStyle w:val="DHHStabletext"/>
            </w:pPr>
            <w:r w:rsidRPr="00E8331B">
              <w:t>WCMICS</w:t>
            </w:r>
          </w:p>
        </w:tc>
        <w:tc>
          <w:tcPr>
            <w:tcW w:w="2157" w:type="dxa"/>
            <w:shd w:val="clear" w:color="auto" w:fill="auto"/>
          </w:tcPr>
          <w:p w14:paraId="7C3F7555" w14:textId="77777777" w:rsidR="003B718D" w:rsidRPr="00E8331B" w:rsidRDefault="003B718D" w:rsidP="001F1EA2">
            <w:pPr>
              <w:pStyle w:val="DHHStabletext"/>
            </w:pPr>
            <w:r w:rsidRPr="00E8331B">
              <w:t>1.1</w:t>
            </w:r>
          </w:p>
          <w:p w14:paraId="68FD71B7" w14:textId="5A45CF18" w:rsidR="003B718D" w:rsidRPr="00E8331B" w:rsidRDefault="003B718D" w:rsidP="001F1EA2">
            <w:pPr>
              <w:pStyle w:val="DHHStabletext"/>
            </w:pPr>
            <w:r w:rsidRPr="00E8331B">
              <w:t>(1.0–1.2)</w:t>
            </w:r>
          </w:p>
        </w:tc>
        <w:tc>
          <w:tcPr>
            <w:tcW w:w="2158" w:type="dxa"/>
            <w:shd w:val="clear" w:color="auto" w:fill="auto"/>
          </w:tcPr>
          <w:p w14:paraId="4EC54CEC" w14:textId="77777777" w:rsidR="003B718D" w:rsidRPr="00E8331B" w:rsidRDefault="003B718D" w:rsidP="001F1EA2">
            <w:pPr>
              <w:pStyle w:val="DHHStabletext"/>
            </w:pPr>
            <w:r w:rsidRPr="00E8331B">
              <w:t>1.1</w:t>
            </w:r>
          </w:p>
          <w:p w14:paraId="4E2A3B38" w14:textId="0C22BECB" w:rsidR="003B718D" w:rsidRPr="00E8331B" w:rsidRDefault="003B718D" w:rsidP="001F1EA2">
            <w:pPr>
              <w:pStyle w:val="DHHStabletext"/>
            </w:pPr>
            <w:r w:rsidRPr="00E8331B">
              <w:t>(1.0–1.2)</w:t>
            </w:r>
          </w:p>
        </w:tc>
        <w:tc>
          <w:tcPr>
            <w:tcW w:w="2229" w:type="dxa"/>
            <w:shd w:val="clear" w:color="auto" w:fill="auto"/>
          </w:tcPr>
          <w:p w14:paraId="480553D3" w14:textId="77777777" w:rsidR="003B718D" w:rsidRPr="00E8331B" w:rsidRDefault="003B718D" w:rsidP="001F1EA2">
            <w:pPr>
              <w:pStyle w:val="DHHStabletext"/>
            </w:pPr>
            <w:r w:rsidRPr="00E8331B">
              <w:t>1.1</w:t>
            </w:r>
          </w:p>
          <w:p w14:paraId="2A8E778F" w14:textId="012F3C23" w:rsidR="003B718D" w:rsidRPr="00E8331B" w:rsidRDefault="003B718D" w:rsidP="001F1EA2">
            <w:pPr>
              <w:pStyle w:val="DHHStabletext"/>
            </w:pPr>
            <w:r w:rsidRPr="00E8331B">
              <w:t>(1.0–1.3)</w:t>
            </w:r>
          </w:p>
        </w:tc>
        <w:tc>
          <w:tcPr>
            <w:tcW w:w="2053" w:type="dxa"/>
            <w:shd w:val="clear" w:color="auto" w:fill="auto"/>
          </w:tcPr>
          <w:p w14:paraId="358F4C97" w14:textId="77777777" w:rsidR="003B718D" w:rsidRPr="00E8331B" w:rsidRDefault="003B718D" w:rsidP="001F1EA2">
            <w:pPr>
              <w:pStyle w:val="DHHStabletext"/>
            </w:pPr>
            <w:r w:rsidRPr="00E8331B">
              <w:t>1.1</w:t>
            </w:r>
          </w:p>
          <w:p w14:paraId="6AF3F2AD" w14:textId="0B4D0F29" w:rsidR="003B718D" w:rsidRPr="00E8331B" w:rsidRDefault="003B718D" w:rsidP="001F1EA2">
            <w:pPr>
              <w:pStyle w:val="DHHStabletext"/>
            </w:pPr>
            <w:r w:rsidRPr="00E8331B">
              <w:t>(1.0–1.2)</w:t>
            </w:r>
          </w:p>
        </w:tc>
      </w:tr>
      <w:tr w:rsidR="003B718D" w14:paraId="434531AC" w14:textId="77777777" w:rsidTr="001F1EA2">
        <w:trPr>
          <w:trHeight w:val="390"/>
        </w:trPr>
        <w:tc>
          <w:tcPr>
            <w:tcW w:w="1795" w:type="dxa"/>
            <w:shd w:val="clear" w:color="auto" w:fill="auto"/>
            <w:vAlign w:val="center"/>
          </w:tcPr>
          <w:p w14:paraId="0C637F8C" w14:textId="77777777" w:rsidR="003B718D" w:rsidRPr="00E8331B" w:rsidRDefault="003B718D" w:rsidP="001F1EA2">
            <w:pPr>
              <w:pStyle w:val="DHHStabletext"/>
            </w:pPr>
            <w:r w:rsidRPr="00E8331B">
              <w:t>BSWRICS</w:t>
            </w:r>
          </w:p>
        </w:tc>
        <w:tc>
          <w:tcPr>
            <w:tcW w:w="2157" w:type="dxa"/>
            <w:shd w:val="clear" w:color="auto" w:fill="auto"/>
          </w:tcPr>
          <w:p w14:paraId="13179E72" w14:textId="77777777" w:rsidR="003B718D" w:rsidRPr="00E8331B" w:rsidRDefault="003B718D" w:rsidP="001F1EA2">
            <w:pPr>
              <w:pStyle w:val="DHHStabletext"/>
            </w:pPr>
            <w:r w:rsidRPr="00E8331B">
              <w:t>1.2</w:t>
            </w:r>
          </w:p>
          <w:p w14:paraId="229F1768" w14:textId="4326AF26" w:rsidR="003B718D" w:rsidRPr="00E8331B" w:rsidRDefault="003B718D" w:rsidP="001F1EA2">
            <w:pPr>
              <w:pStyle w:val="DHHStabletext"/>
            </w:pPr>
            <w:r w:rsidRPr="00E8331B">
              <w:t>(1.1–1.3)</w:t>
            </w:r>
          </w:p>
        </w:tc>
        <w:tc>
          <w:tcPr>
            <w:tcW w:w="2158" w:type="dxa"/>
            <w:shd w:val="clear" w:color="auto" w:fill="auto"/>
          </w:tcPr>
          <w:p w14:paraId="6C408F2C" w14:textId="77777777" w:rsidR="003B718D" w:rsidRPr="00E8331B" w:rsidRDefault="003B718D" w:rsidP="001F1EA2">
            <w:pPr>
              <w:pStyle w:val="DHHStabletext"/>
            </w:pPr>
            <w:r w:rsidRPr="00E8331B">
              <w:t>1.3</w:t>
            </w:r>
          </w:p>
          <w:p w14:paraId="78194FF7" w14:textId="2BFE2E71" w:rsidR="003B718D" w:rsidRPr="00E8331B" w:rsidRDefault="003B718D" w:rsidP="001F1EA2">
            <w:pPr>
              <w:pStyle w:val="DHHStabletext"/>
            </w:pPr>
            <w:r w:rsidRPr="00E8331B">
              <w:t>(1.2–1.4)</w:t>
            </w:r>
          </w:p>
        </w:tc>
        <w:tc>
          <w:tcPr>
            <w:tcW w:w="2229" w:type="dxa"/>
            <w:shd w:val="clear" w:color="auto" w:fill="auto"/>
          </w:tcPr>
          <w:p w14:paraId="653E9CC2" w14:textId="77777777" w:rsidR="003B718D" w:rsidRPr="00E8331B" w:rsidRDefault="003B718D" w:rsidP="001F1EA2">
            <w:pPr>
              <w:pStyle w:val="DHHStabletext"/>
            </w:pPr>
            <w:r w:rsidRPr="00E8331B">
              <w:t>1.1</w:t>
            </w:r>
          </w:p>
          <w:p w14:paraId="5572BB66" w14:textId="34D8EE00" w:rsidR="003B718D" w:rsidRPr="00E8331B" w:rsidRDefault="003B718D" w:rsidP="001F1EA2">
            <w:pPr>
              <w:pStyle w:val="DHHStabletext"/>
            </w:pPr>
            <w:r w:rsidRPr="00E8331B">
              <w:t>(1.0–1.3)</w:t>
            </w:r>
          </w:p>
        </w:tc>
        <w:tc>
          <w:tcPr>
            <w:tcW w:w="2053" w:type="dxa"/>
            <w:shd w:val="clear" w:color="auto" w:fill="auto"/>
          </w:tcPr>
          <w:p w14:paraId="2F7FA5BA" w14:textId="77777777" w:rsidR="003B718D" w:rsidRPr="00E8331B" w:rsidRDefault="003B718D" w:rsidP="001F1EA2">
            <w:pPr>
              <w:pStyle w:val="DHHStabletext"/>
            </w:pPr>
            <w:r w:rsidRPr="00E8331B">
              <w:t>1.1</w:t>
            </w:r>
          </w:p>
          <w:p w14:paraId="70DF5823" w14:textId="264B4959" w:rsidR="003B718D" w:rsidRPr="00E8331B" w:rsidRDefault="003B718D" w:rsidP="001F1EA2">
            <w:pPr>
              <w:pStyle w:val="DHHStabletext"/>
            </w:pPr>
            <w:r w:rsidRPr="00E8331B">
              <w:t>(1.0–1.2)</w:t>
            </w:r>
          </w:p>
        </w:tc>
      </w:tr>
      <w:tr w:rsidR="003B718D" w14:paraId="0E305A16" w14:textId="77777777" w:rsidTr="001F1EA2">
        <w:trPr>
          <w:trHeight w:val="404"/>
        </w:trPr>
        <w:tc>
          <w:tcPr>
            <w:tcW w:w="1795" w:type="dxa"/>
            <w:shd w:val="clear" w:color="auto" w:fill="auto"/>
            <w:vAlign w:val="center"/>
          </w:tcPr>
          <w:p w14:paraId="29CF15E9" w14:textId="77777777" w:rsidR="003B718D" w:rsidRPr="00E8331B" w:rsidRDefault="003B718D" w:rsidP="001F1EA2">
            <w:pPr>
              <w:pStyle w:val="DHHStabletext"/>
            </w:pPr>
            <w:r w:rsidRPr="00E8331B">
              <w:t>GRICS</w:t>
            </w:r>
          </w:p>
        </w:tc>
        <w:tc>
          <w:tcPr>
            <w:tcW w:w="2157" w:type="dxa"/>
            <w:shd w:val="clear" w:color="auto" w:fill="auto"/>
          </w:tcPr>
          <w:p w14:paraId="6EAEDBFD" w14:textId="77777777" w:rsidR="003B718D" w:rsidRPr="00E8331B" w:rsidRDefault="003B718D" w:rsidP="001F1EA2">
            <w:pPr>
              <w:pStyle w:val="DHHStabletext"/>
            </w:pPr>
            <w:r w:rsidRPr="00E8331B">
              <w:t>1.1</w:t>
            </w:r>
          </w:p>
          <w:p w14:paraId="2C2BEB8F" w14:textId="3E1A2011" w:rsidR="003B718D" w:rsidRPr="00E8331B" w:rsidRDefault="003B718D" w:rsidP="001F1EA2">
            <w:pPr>
              <w:pStyle w:val="DHHStabletext"/>
            </w:pPr>
            <w:r w:rsidRPr="00E8331B">
              <w:t>(1.0–1.3)</w:t>
            </w:r>
          </w:p>
        </w:tc>
        <w:tc>
          <w:tcPr>
            <w:tcW w:w="2158" w:type="dxa"/>
            <w:shd w:val="clear" w:color="auto" w:fill="auto"/>
          </w:tcPr>
          <w:p w14:paraId="120866D1" w14:textId="77777777" w:rsidR="003B718D" w:rsidRPr="00E8331B" w:rsidRDefault="003B718D" w:rsidP="001F1EA2">
            <w:pPr>
              <w:pStyle w:val="DHHStabletext"/>
            </w:pPr>
            <w:r w:rsidRPr="00E8331B">
              <w:t>1.3</w:t>
            </w:r>
          </w:p>
          <w:p w14:paraId="7B6B98D7" w14:textId="514868F9" w:rsidR="003B718D" w:rsidRPr="00E8331B" w:rsidRDefault="003B718D" w:rsidP="001F1EA2">
            <w:pPr>
              <w:pStyle w:val="DHHStabletext"/>
            </w:pPr>
            <w:r w:rsidRPr="00E8331B">
              <w:t>(1.2–1.4)</w:t>
            </w:r>
          </w:p>
        </w:tc>
        <w:tc>
          <w:tcPr>
            <w:tcW w:w="2229" w:type="dxa"/>
            <w:shd w:val="clear" w:color="auto" w:fill="auto"/>
          </w:tcPr>
          <w:p w14:paraId="0C993792" w14:textId="77777777" w:rsidR="003B718D" w:rsidRPr="00E8331B" w:rsidRDefault="003B718D" w:rsidP="001F1EA2">
            <w:pPr>
              <w:pStyle w:val="DHHStabletext"/>
            </w:pPr>
            <w:r w:rsidRPr="00E8331B">
              <w:t>1.3</w:t>
            </w:r>
          </w:p>
          <w:p w14:paraId="6C385E85" w14:textId="3984C07A" w:rsidR="003B718D" w:rsidRPr="00E8331B" w:rsidRDefault="003B718D" w:rsidP="001F1EA2">
            <w:pPr>
              <w:pStyle w:val="DHHStabletext"/>
            </w:pPr>
            <w:r w:rsidRPr="00E8331B">
              <w:t>(1.1–1.5)</w:t>
            </w:r>
          </w:p>
        </w:tc>
        <w:tc>
          <w:tcPr>
            <w:tcW w:w="2053" w:type="dxa"/>
            <w:shd w:val="clear" w:color="auto" w:fill="auto"/>
          </w:tcPr>
          <w:p w14:paraId="730B12BA" w14:textId="77777777" w:rsidR="003B718D" w:rsidRPr="00E8331B" w:rsidRDefault="003B718D" w:rsidP="001F1EA2">
            <w:pPr>
              <w:pStyle w:val="DHHStabletext"/>
            </w:pPr>
            <w:r w:rsidRPr="00E8331B">
              <w:t>1.4</w:t>
            </w:r>
          </w:p>
          <w:p w14:paraId="0F38B97B" w14:textId="3149B0AD" w:rsidR="003B718D" w:rsidRPr="00E8331B" w:rsidRDefault="003B718D" w:rsidP="001F1EA2">
            <w:pPr>
              <w:pStyle w:val="DHHStabletext"/>
            </w:pPr>
            <w:r w:rsidRPr="00E8331B">
              <w:t>(1.3–1.6)</w:t>
            </w:r>
          </w:p>
        </w:tc>
      </w:tr>
      <w:tr w:rsidR="003B718D" w14:paraId="7175A6DC" w14:textId="77777777" w:rsidTr="001F1EA2">
        <w:trPr>
          <w:trHeight w:val="404"/>
        </w:trPr>
        <w:tc>
          <w:tcPr>
            <w:tcW w:w="1795" w:type="dxa"/>
            <w:shd w:val="clear" w:color="auto" w:fill="auto"/>
            <w:vAlign w:val="center"/>
          </w:tcPr>
          <w:p w14:paraId="4B7362CD" w14:textId="77777777" w:rsidR="003B718D" w:rsidRPr="00E8331B" w:rsidRDefault="003B718D" w:rsidP="001F1EA2">
            <w:pPr>
              <w:pStyle w:val="DHHStabletext"/>
            </w:pPr>
            <w:r w:rsidRPr="00E8331B">
              <w:t>HRICS</w:t>
            </w:r>
          </w:p>
        </w:tc>
        <w:tc>
          <w:tcPr>
            <w:tcW w:w="2157" w:type="dxa"/>
            <w:shd w:val="clear" w:color="auto" w:fill="auto"/>
          </w:tcPr>
          <w:p w14:paraId="5AC8DCB3" w14:textId="77777777" w:rsidR="003B718D" w:rsidRPr="00E8331B" w:rsidRDefault="003B718D" w:rsidP="001F1EA2">
            <w:pPr>
              <w:pStyle w:val="DHHStabletext"/>
            </w:pPr>
            <w:r w:rsidRPr="00E8331B">
              <w:t>1.0</w:t>
            </w:r>
          </w:p>
          <w:p w14:paraId="647A2AE8" w14:textId="5C30E173" w:rsidR="003B718D" w:rsidRPr="00E8331B" w:rsidRDefault="003B718D" w:rsidP="001F1EA2">
            <w:pPr>
              <w:pStyle w:val="DHHStabletext"/>
            </w:pPr>
            <w:r w:rsidRPr="00E8331B">
              <w:t>(0.9–1.2)</w:t>
            </w:r>
          </w:p>
        </w:tc>
        <w:tc>
          <w:tcPr>
            <w:tcW w:w="2158" w:type="dxa"/>
            <w:shd w:val="clear" w:color="auto" w:fill="auto"/>
          </w:tcPr>
          <w:p w14:paraId="7F465B51" w14:textId="77777777" w:rsidR="003B718D" w:rsidRPr="00E8331B" w:rsidRDefault="003B718D" w:rsidP="001F1EA2">
            <w:pPr>
              <w:pStyle w:val="DHHStabletext"/>
            </w:pPr>
            <w:r w:rsidRPr="00E8331B">
              <w:t>1.1</w:t>
            </w:r>
          </w:p>
          <w:p w14:paraId="7C0EA545" w14:textId="61EFF853" w:rsidR="003B718D" w:rsidRPr="00E8331B" w:rsidRDefault="003B718D" w:rsidP="001F1EA2">
            <w:pPr>
              <w:pStyle w:val="DHHStabletext"/>
            </w:pPr>
            <w:r w:rsidRPr="00E8331B">
              <w:t>(1.0–1.2)</w:t>
            </w:r>
          </w:p>
        </w:tc>
        <w:tc>
          <w:tcPr>
            <w:tcW w:w="2229" w:type="dxa"/>
            <w:shd w:val="clear" w:color="auto" w:fill="auto"/>
            <w:vAlign w:val="center"/>
          </w:tcPr>
          <w:p w14:paraId="3A4B2225" w14:textId="161E8234" w:rsidR="003B718D" w:rsidRPr="00E8331B" w:rsidRDefault="006F570F" w:rsidP="001F1EA2">
            <w:pPr>
              <w:pStyle w:val="DHHStabletext"/>
            </w:pPr>
            <w:r>
              <w:t>Ref Point</w:t>
            </w:r>
          </w:p>
        </w:tc>
        <w:tc>
          <w:tcPr>
            <w:tcW w:w="2053" w:type="dxa"/>
            <w:shd w:val="clear" w:color="auto" w:fill="auto"/>
          </w:tcPr>
          <w:p w14:paraId="313D2043" w14:textId="77777777" w:rsidR="003B718D" w:rsidRPr="00E8331B" w:rsidRDefault="003B718D" w:rsidP="001F1EA2">
            <w:pPr>
              <w:pStyle w:val="DHHStabletext"/>
            </w:pPr>
            <w:r w:rsidRPr="00E8331B">
              <w:t>1.1</w:t>
            </w:r>
          </w:p>
          <w:p w14:paraId="445AFBAB" w14:textId="730BB26A" w:rsidR="003B718D" w:rsidRPr="00E8331B" w:rsidRDefault="003B718D" w:rsidP="001F1EA2">
            <w:pPr>
              <w:pStyle w:val="DHHStabletext"/>
            </w:pPr>
            <w:r w:rsidRPr="00E8331B">
              <w:t>(0.9–1.2)</w:t>
            </w:r>
          </w:p>
        </w:tc>
      </w:tr>
      <w:tr w:rsidR="003B718D" w14:paraId="283CD1C9" w14:textId="77777777" w:rsidTr="001F1EA2">
        <w:trPr>
          <w:trHeight w:val="390"/>
        </w:trPr>
        <w:tc>
          <w:tcPr>
            <w:tcW w:w="1795" w:type="dxa"/>
            <w:shd w:val="clear" w:color="auto" w:fill="auto"/>
            <w:vAlign w:val="center"/>
          </w:tcPr>
          <w:p w14:paraId="16CA3F3D" w14:textId="77777777" w:rsidR="003B718D" w:rsidRPr="00E8331B" w:rsidRDefault="003B718D" w:rsidP="001F1EA2">
            <w:pPr>
              <w:pStyle w:val="DHHStabletext"/>
            </w:pPr>
            <w:r w:rsidRPr="00E8331B">
              <w:t>LMICS</w:t>
            </w:r>
          </w:p>
        </w:tc>
        <w:tc>
          <w:tcPr>
            <w:tcW w:w="2157" w:type="dxa"/>
            <w:shd w:val="clear" w:color="auto" w:fill="auto"/>
          </w:tcPr>
          <w:p w14:paraId="00BA9B22" w14:textId="77777777" w:rsidR="003B718D" w:rsidRPr="00E8331B" w:rsidRDefault="003B718D" w:rsidP="001F1EA2">
            <w:pPr>
              <w:pStyle w:val="DHHStabletext"/>
            </w:pPr>
            <w:r w:rsidRPr="00E8331B">
              <w:t>1.2</w:t>
            </w:r>
          </w:p>
          <w:p w14:paraId="1F3D2E73" w14:textId="0C285A77" w:rsidR="003B718D" w:rsidRPr="00E8331B" w:rsidRDefault="003B718D" w:rsidP="001F1EA2">
            <w:pPr>
              <w:pStyle w:val="DHHStabletext"/>
            </w:pPr>
            <w:r w:rsidRPr="00E8331B">
              <w:t>(1.1–1.3)</w:t>
            </w:r>
          </w:p>
        </w:tc>
        <w:tc>
          <w:tcPr>
            <w:tcW w:w="2158" w:type="dxa"/>
            <w:shd w:val="clear" w:color="auto" w:fill="auto"/>
          </w:tcPr>
          <w:p w14:paraId="2DC1209C" w14:textId="77777777" w:rsidR="003B718D" w:rsidRPr="00E8331B" w:rsidRDefault="003B718D" w:rsidP="001F1EA2">
            <w:pPr>
              <w:pStyle w:val="DHHStabletext"/>
            </w:pPr>
            <w:r w:rsidRPr="00E8331B">
              <w:t>1.1</w:t>
            </w:r>
          </w:p>
          <w:p w14:paraId="6B4CD653" w14:textId="4E1684D5" w:rsidR="003B718D" w:rsidRPr="00E8331B" w:rsidRDefault="003B718D" w:rsidP="001F1EA2">
            <w:pPr>
              <w:pStyle w:val="DHHStabletext"/>
            </w:pPr>
            <w:r w:rsidRPr="00E8331B">
              <w:t>(1.0–1.3)</w:t>
            </w:r>
          </w:p>
        </w:tc>
        <w:tc>
          <w:tcPr>
            <w:tcW w:w="2229" w:type="dxa"/>
            <w:shd w:val="clear" w:color="auto" w:fill="auto"/>
          </w:tcPr>
          <w:p w14:paraId="4F8E4D97" w14:textId="77777777" w:rsidR="003B718D" w:rsidRPr="00E8331B" w:rsidRDefault="003B718D" w:rsidP="001F1EA2">
            <w:pPr>
              <w:pStyle w:val="DHHStabletext"/>
            </w:pPr>
            <w:r w:rsidRPr="00E8331B">
              <w:t>1.3</w:t>
            </w:r>
          </w:p>
          <w:p w14:paraId="5BA95DA2" w14:textId="65DBBA3E" w:rsidR="003B718D" w:rsidRPr="00E8331B" w:rsidRDefault="003B718D" w:rsidP="001F1EA2">
            <w:pPr>
              <w:pStyle w:val="DHHStabletext"/>
            </w:pPr>
            <w:r w:rsidRPr="00E8331B">
              <w:t>(1.1–1.5)</w:t>
            </w:r>
          </w:p>
        </w:tc>
        <w:tc>
          <w:tcPr>
            <w:tcW w:w="2053" w:type="dxa"/>
            <w:shd w:val="clear" w:color="auto" w:fill="auto"/>
          </w:tcPr>
          <w:p w14:paraId="3EAE2F0E" w14:textId="77777777" w:rsidR="003B718D" w:rsidRPr="00E8331B" w:rsidRDefault="003B718D" w:rsidP="001F1EA2">
            <w:pPr>
              <w:pStyle w:val="DHHStabletext"/>
            </w:pPr>
            <w:r w:rsidRPr="00E8331B">
              <w:t>1.3</w:t>
            </w:r>
          </w:p>
          <w:p w14:paraId="5E9F81A0" w14:textId="22C876FC" w:rsidR="003B718D" w:rsidRPr="00E8331B" w:rsidRDefault="003B718D" w:rsidP="001F1EA2">
            <w:pPr>
              <w:pStyle w:val="DHHStabletext"/>
            </w:pPr>
            <w:r w:rsidRPr="00E8331B">
              <w:t>(1.2–1.4)</w:t>
            </w:r>
          </w:p>
        </w:tc>
      </w:tr>
      <w:tr w:rsidR="003B718D" w14:paraId="79507BEB" w14:textId="77777777" w:rsidTr="001F1EA2">
        <w:trPr>
          <w:trHeight w:val="37"/>
        </w:trPr>
        <w:tc>
          <w:tcPr>
            <w:tcW w:w="1795" w:type="dxa"/>
            <w:shd w:val="clear" w:color="auto" w:fill="auto"/>
            <w:vAlign w:val="center"/>
          </w:tcPr>
          <w:p w14:paraId="43E405EB" w14:textId="77777777" w:rsidR="003B718D" w:rsidRPr="00E8331B" w:rsidRDefault="003B718D" w:rsidP="001F1EA2">
            <w:pPr>
              <w:pStyle w:val="DHHStabletext"/>
            </w:pPr>
            <w:r w:rsidRPr="00E8331B">
              <w:t>GICS</w:t>
            </w:r>
          </w:p>
        </w:tc>
        <w:tc>
          <w:tcPr>
            <w:tcW w:w="2157" w:type="dxa"/>
            <w:shd w:val="clear" w:color="auto" w:fill="auto"/>
          </w:tcPr>
          <w:p w14:paraId="15EEFD61" w14:textId="77777777" w:rsidR="003B718D" w:rsidRPr="00E8331B" w:rsidRDefault="003B718D" w:rsidP="001F1EA2">
            <w:pPr>
              <w:pStyle w:val="DHHStabletext"/>
            </w:pPr>
            <w:r w:rsidRPr="00E8331B">
              <w:t>1.1</w:t>
            </w:r>
          </w:p>
          <w:p w14:paraId="19BC76DE" w14:textId="032343DA" w:rsidR="003B718D" w:rsidRPr="00E8331B" w:rsidRDefault="003B718D" w:rsidP="001F1EA2">
            <w:pPr>
              <w:pStyle w:val="DHHStabletext"/>
            </w:pPr>
            <w:r w:rsidRPr="00E8331B">
              <w:t>(1.0–1.3)</w:t>
            </w:r>
          </w:p>
        </w:tc>
        <w:tc>
          <w:tcPr>
            <w:tcW w:w="2158" w:type="dxa"/>
            <w:shd w:val="clear" w:color="auto" w:fill="auto"/>
          </w:tcPr>
          <w:p w14:paraId="165CE8CD" w14:textId="77777777" w:rsidR="003B718D" w:rsidRPr="00E8331B" w:rsidRDefault="003B718D" w:rsidP="001F1EA2">
            <w:pPr>
              <w:pStyle w:val="DHHStabletext"/>
            </w:pPr>
            <w:r w:rsidRPr="00E8331B">
              <w:t>1.2</w:t>
            </w:r>
          </w:p>
          <w:p w14:paraId="2EBCC608" w14:textId="50F2C2CF" w:rsidR="003B718D" w:rsidRPr="00E8331B" w:rsidRDefault="003B718D" w:rsidP="001F1EA2">
            <w:pPr>
              <w:pStyle w:val="DHHStabletext"/>
            </w:pPr>
            <w:r w:rsidRPr="00E8331B">
              <w:t>(1.1–1.3)</w:t>
            </w:r>
          </w:p>
        </w:tc>
        <w:tc>
          <w:tcPr>
            <w:tcW w:w="2229" w:type="dxa"/>
            <w:shd w:val="clear" w:color="auto" w:fill="auto"/>
          </w:tcPr>
          <w:p w14:paraId="2BA831B9" w14:textId="77777777" w:rsidR="003B718D" w:rsidRPr="00E8331B" w:rsidRDefault="003B718D" w:rsidP="001F1EA2">
            <w:pPr>
              <w:pStyle w:val="DHHStabletext"/>
            </w:pPr>
            <w:r w:rsidRPr="00E8331B">
              <w:t>1.3</w:t>
            </w:r>
          </w:p>
          <w:p w14:paraId="4EE74944" w14:textId="5336515A" w:rsidR="003B718D" w:rsidRPr="00E8331B" w:rsidRDefault="003B718D" w:rsidP="001F1EA2">
            <w:pPr>
              <w:pStyle w:val="DHHStabletext"/>
            </w:pPr>
            <w:r w:rsidRPr="00E8331B">
              <w:t>(1.1–1.4)</w:t>
            </w:r>
          </w:p>
        </w:tc>
        <w:tc>
          <w:tcPr>
            <w:tcW w:w="2053" w:type="dxa"/>
            <w:shd w:val="clear" w:color="auto" w:fill="auto"/>
          </w:tcPr>
          <w:p w14:paraId="512EFC85" w14:textId="77777777" w:rsidR="003B718D" w:rsidRPr="00E8331B" w:rsidRDefault="003B718D" w:rsidP="001F1EA2">
            <w:pPr>
              <w:pStyle w:val="DHHStabletext"/>
            </w:pPr>
            <w:r w:rsidRPr="00E8331B">
              <w:t>1.3</w:t>
            </w:r>
          </w:p>
          <w:p w14:paraId="0A4E4F9A" w14:textId="7F89595D" w:rsidR="003B718D" w:rsidRPr="00E8331B" w:rsidRDefault="003B718D" w:rsidP="001F1EA2">
            <w:pPr>
              <w:pStyle w:val="DHHStabletext"/>
            </w:pPr>
            <w:r w:rsidRPr="00E8331B">
              <w:t>(1.2–1.4)</w:t>
            </w:r>
          </w:p>
        </w:tc>
      </w:tr>
    </w:tbl>
    <w:p w14:paraId="0565440B" w14:textId="21AD4CE4" w:rsidR="00767C76" w:rsidRPr="00FA1AAC" w:rsidRDefault="00215280" w:rsidP="00FA1AAC">
      <w:pPr>
        <w:pStyle w:val="DHHStablefigurenote"/>
      </w:pPr>
      <w:r w:rsidRPr="00FA1AAC">
        <w:t xml:space="preserve">Note: </w:t>
      </w:r>
      <w:r w:rsidR="006F570F" w:rsidRPr="00FA1AAC">
        <w:t>Ref Point</w:t>
      </w:r>
      <w:r w:rsidR="00C742BA" w:rsidRPr="00FA1AAC">
        <w:t xml:space="preserve"> </w:t>
      </w:r>
      <w:r w:rsidRPr="00FA1AAC">
        <w:t>=</w:t>
      </w:r>
      <w:r w:rsidR="00C742BA" w:rsidRPr="00FA1AAC">
        <w:t xml:space="preserve"> the reference</w:t>
      </w:r>
      <w:r w:rsidRPr="00FA1AAC">
        <w:t xml:space="preserve"> point </w:t>
      </w:r>
      <w:r w:rsidR="002507B8" w:rsidRPr="00FA1AAC">
        <w:t xml:space="preserve">– </w:t>
      </w:r>
      <w:r w:rsidRPr="00FA1AAC">
        <w:t>that is</w:t>
      </w:r>
      <w:r w:rsidR="002507B8" w:rsidRPr="00FA1AAC">
        <w:t>,</w:t>
      </w:r>
      <w:r w:rsidRPr="00FA1AAC">
        <w:t xml:space="preserve"> the ICS residents with the lowest premature death rate for that particular year</w:t>
      </w:r>
    </w:p>
    <w:p w14:paraId="52631761" w14:textId="3FC6557C" w:rsidR="00665D4B" w:rsidRPr="00E060C8" w:rsidRDefault="00665D4B" w:rsidP="00E060C8">
      <w:pPr>
        <w:pStyle w:val="Heading4"/>
        <w:spacing w:before="0" w:line="270" w:lineRule="atLeast"/>
      </w:pPr>
      <w:r w:rsidRPr="00E43803">
        <w:t>Measure assessment</w:t>
      </w:r>
    </w:p>
    <w:p w14:paraId="2ABC08DF" w14:textId="463D7BE2" w:rsidR="00FE5799" w:rsidRPr="00E060C8" w:rsidRDefault="00FE5799" w:rsidP="00E060C8">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902763"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2E0C367C" w14:textId="45C8DFC6" w:rsidR="00FE5799" w:rsidRPr="003E5FD3" w:rsidRDefault="00FE5799"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902763">
        <w:rPr>
          <w:rFonts w:ascii="Arial" w:hAnsi="Arial" w:cs="Arial"/>
        </w:rPr>
        <w:t>Static or unchanging</w:t>
      </w:r>
    </w:p>
    <w:p w14:paraId="603B8BE3" w14:textId="7B7F174B" w:rsidR="009F7530" w:rsidRPr="00223D80" w:rsidRDefault="00FE5799" w:rsidP="00E060C8">
      <w:pPr>
        <w:pStyle w:val="DHHSbody"/>
        <w:rPr>
          <w:lang w:eastAsia="en-AU"/>
        </w:rPr>
      </w:pPr>
      <w:bookmarkStart w:id="313" w:name="_Hlk33457913"/>
      <w:r w:rsidRPr="00657C18">
        <w:rPr>
          <w:lang w:eastAsia="en-AU"/>
        </w:rPr>
        <w:t xml:space="preserve">Commentary: </w:t>
      </w:r>
      <w:r w:rsidR="008C3A64">
        <w:rPr>
          <w:lang w:eastAsia="en-AU"/>
        </w:rPr>
        <w:t>Figure</w:t>
      </w:r>
      <w:r w:rsidR="00C66555">
        <w:rPr>
          <w:lang w:eastAsia="en-AU"/>
        </w:rPr>
        <w:t xml:space="preserve"> </w:t>
      </w:r>
      <w:r w:rsidR="002507B8">
        <w:rPr>
          <w:lang w:eastAsia="en-AU"/>
        </w:rPr>
        <w:t xml:space="preserve">5.1 </w:t>
      </w:r>
      <w:r w:rsidR="00C66555">
        <w:rPr>
          <w:lang w:eastAsia="en-AU"/>
        </w:rPr>
        <w:t>and Table</w:t>
      </w:r>
      <w:r w:rsidR="008C3A64">
        <w:rPr>
          <w:lang w:eastAsia="en-AU"/>
        </w:rPr>
        <w:t xml:space="preserve"> 5.1 show that </w:t>
      </w:r>
      <w:r w:rsidR="00C45622">
        <w:rPr>
          <w:lang w:eastAsia="en-AU"/>
        </w:rPr>
        <w:t>between 201</w:t>
      </w:r>
      <w:r w:rsidR="0034015B">
        <w:rPr>
          <w:lang w:eastAsia="en-AU"/>
        </w:rPr>
        <w:t>4</w:t>
      </w:r>
      <w:r w:rsidR="00C45622">
        <w:rPr>
          <w:lang w:eastAsia="en-AU"/>
        </w:rPr>
        <w:t xml:space="preserve"> and 2017, </w:t>
      </w:r>
      <w:r w:rsidR="008C3A64">
        <w:rPr>
          <w:lang w:eastAsia="en-AU"/>
        </w:rPr>
        <w:t xml:space="preserve">regional ICSs </w:t>
      </w:r>
      <w:r w:rsidR="00C45622">
        <w:rPr>
          <w:lang w:eastAsia="en-AU"/>
        </w:rPr>
        <w:t>ha</w:t>
      </w:r>
      <w:r w:rsidR="002507B8">
        <w:rPr>
          <w:lang w:eastAsia="en-AU"/>
        </w:rPr>
        <w:t>d</w:t>
      </w:r>
      <w:r w:rsidR="00C45622">
        <w:rPr>
          <w:lang w:eastAsia="en-AU"/>
        </w:rPr>
        <w:t xml:space="preserve"> populations that </w:t>
      </w:r>
      <w:r w:rsidR="002507B8">
        <w:rPr>
          <w:lang w:eastAsia="en-AU"/>
        </w:rPr>
        <w:t>we</w:t>
      </w:r>
      <w:r w:rsidR="00C45622">
        <w:rPr>
          <w:lang w:eastAsia="en-AU"/>
        </w:rPr>
        <w:t>re experiencing a greater burden of disease due to cancer</w:t>
      </w:r>
      <w:r w:rsidR="002507B8">
        <w:rPr>
          <w:lang w:eastAsia="en-AU"/>
        </w:rPr>
        <w:t>,</w:t>
      </w:r>
      <w:r w:rsidR="00C45622">
        <w:rPr>
          <w:lang w:eastAsia="en-AU"/>
        </w:rPr>
        <w:t xml:space="preserve"> in particular </w:t>
      </w:r>
      <w:r w:rsidR="00C66555">
        <w:rPr>
          <w:lang w:eastAsia="en-AU"/>
        </w:rPr>
        <w:t xml:space="preserve">the </w:t>
      </w:r>
      <w:r w:rsidR="00110FC6">
        <w:rPr>
          <w:lang w:eastAsia="en-AU"/>
        </w:rPr>
        <w:t xml:space="preserve">Gippsland </w:t>
      </w:r>
      <w:r w:rsidR="00C45622">
        <w:rPr>
          <w:lang w:eastAsia="en-AU"/>
        </w:rPr>
        <w:t xml:space="preserve">Regional ICS, </w:t>
      </w:r>
      <w:r w:rsidR="00255EA6">
        <w:rPr>
          <w:lang w:eastAsia="en-AU"/>
        </w:rPr>
        <w:t>Loddon</w:t>
      </w:r>
      <w:r w:rsidR="00C45622">
        <w:rPr>
          <w:lang w:eastAsia="en-AU"/>
        </w:rPr>
        <w:t xml:space="preserve"> Mallee ICS and G</w:t>
      </w:r>
      <w:r w:rsidR="00110FC6">
        <w:rPr>
          <w:lang w:eastAsia="en-AU"/>
        </w:rPr>
        <w:t>rampians</w:t>
      </w:r>
      <w:r w:rsidR="00C45622">
        <w:rPr>
          <w:lang w:eastAsia="en-AU"/>
        </w:rPr>
        <w:t xml:space="preserve"> ICS</w:t>
      </w:r>
      <w:r w:rsidR="002507B8">
        <w:rPr>
          <w:lang w:eastAsia="en-AU"/>
        </w:rPr>
        <w:t>,</w:t>
      </w:r>
      <w:r w:rsidR="00C45622">
        <w:rPr>
          <w:lang w:eastAsia="en-AU"/>
        </w:rPr>
        <w:t xml:space="preserve"> which on average ha</w:t>
      </w:r>
      <w:r w:rsidR="002507B8">
        <w:rPr>
          <w:lang w:eastAsia="en-AU"/>
        </w:rPr>
        <w:t>d</w:t>
      </w:r>
      <w:r w:rsidR="00C45622">
        <w:rPr>
          <w:lang w:eastAsia="en-AU"/>
        </w:rPr>
        <w:t xml:space="preserve"> a higher rate of premature death</w:t>
      </w:r>
      <w:bookmarkEnd w:id="313"/>
      <w:r w:rsidR="00C45622">
        <w:rPr>
          <w:lang w:eastAsia="en-AU"/>
        </w:rPr>
        <w:t>.</w:t>
      </w:r>
      <w:r w:rsidR="00952FC7">
        <w:rPr>
          <w:lang w:eastAsia="en-AU"/>
        </w:rPr>
        <w:t xml:space="preserve"> </w:t>
      </w:r>
      <w:r w:rsidR="00C45622">
        <w:rPr>
          <w:lang w:eastAsia="en-AU"/>
        </w:rPr>
        <w:t>No target has been set for this measure</w:t>
      </w:r>
      <w:r w:rsidR="00B40166">
        <w:rPr>
          <w:lang w:eastAsia="en-AU"/>
        </w:rPr>
        <w:t>;</w:t>
      </w:r>
      <w:r w:rsidR="00C45622">
        <w:rPr>
          <w:lang w:eastAsia="en-AU"/>
        </w:rPr>
        <w:t xml:space="preserve"> however</w:t>
      </w:r>
      <w:r w:rsidR="00B40166">
        <w:rPr>
          <w:lang w:eastAsia="en-AU"/>
        </w:rPr>
        <w:t>,</w:t>
      </w:r>
      <w:r w:rsidR="00C45622">
        <w:rPr>
          <w:lang w:eastAsia="en-AU"/>
        </w:rPr>
        <w:t xml:space="preserve"> </w:t>
      </w:r>
      <w:r w:rsidR="004F0020">
        <w:rPr>
          <w:lang w:eastAsia="en-AU"/>
        </w:rPr>
        <w:t>what these results show is that initiatives designed to address this disparity faced by Victorians in rural and remote regions who are diagnosed with cancer are warranted.</w:t>
      </w:r>
      <w:r w:rsidR="009F7530">
        <w:rPr>
          <w:lang w:eastAsia="en-AU"/>
        </w:rPr>
        <w:br w:type="page"/>
      </w:r>
    </w:p>
    <w:p w14:paraId="5435C7CD" w14:textId="4967935B" w:rsidR="00E8458B" w:rsidRDefault="00E8458B" w:rsidP="00E8458B">
      <w:pPr>
        <w:pStyle w:val="Heading3"/>
        <w:rPr>
          <w:lang w:eastAsia="en-AU"/>
        </w:rPr>
      </w:pPr>
      <w:bookmarkStart w:id="314" w:name="_Measure_5.2_–"/>
      <w:bookmarkStart w:id="315" w:name="_Toc19008048"/>
      <w:bookmarkEnd w:id="314"/>
      <w:r>
        <w:rPr>
          <w:lang w:eastAsia="en-AU"/>
        </w:rPr>
        <w:lastRenderedPageBreak/>
        <w:t xml:space="preserve">Measure 5.2 – Rate ratio of premature death rate due to cancer between </w:t>
      </w:r>
      <w:r w:rsidR="002C35B2">
        <w:rPr>
          <w:lang w:eastAsia="en-AU"/>
        </w:rPr>
        <w:t>socioeconomic</w:t>
      </w:r>
      <w:r>
        <w:rPr>
          <w:lang w:eastAsia="en-AU"/>
        </w:rPr>
        <w:t xml:space="preserve"> quintiles</w:t>
      </w:r>
      <w:bookmarkEnd w:id="315"/>
    </w:p>
    <w:p w14:paraId="7D322842" w14:textId="02C7F550" w:rsidR="004E1F9D" w:rsidRDefault="004E1F9D" w:rsidP="00A41066">
      <w:pPr>
        <w:pStyle w:val="DHHSfigurecaption"/>
        <w:rPr>
          <w:rFonts w:eastAsiaTheme="majorEastAsia"/>
        </w:rPr>
      </w:pPr>
      <w:bookmarkStart w:id="316" w:name="_Toc19008049"/>
      <w:bookmarkStart w:id="317" w:name="_Toc19008292"/>
      <w:bookmarkStart w:id="318" w:name="_Toc19008439"/>
      <w:bookmarkStart w:id="319" w:name="_Toc19008586"/>
      <w:bookmarkStart w:id="320" w:name="_Toc27414294"/>
      <w:r w:rsidRPr="004E1F9D">
        <w:rPr>
          <w:rFonts w:eastAsiaTheme="majorEastAsia"/>
        </w:rPr>
        <w:t>Figure 5.2</w:t>
      </w:r>
      <w:r w:rsidR="008D2095">
        <w:rPr>
          <w:rFonts w:eastAsiaTheme="majorEastAsia"/>
        </w:rPr>
        <w:t>:</w:t>
      </w:r>
      <w:r w:rsidRPr="004E1F9D">
        <w:rPr>
          <w:rFonts w:eastAsiaTheme="majorEastAsia"/>
        </w:rPr>
        <w:t xml:space="preserve"> Rate ratio of premature death </w:t>
      </w:r>
      <w:r w:rsidR="00DD11EF">
        <w:rPr>
          <w:rFonts w:eastAsiaTheme="majorEastAsia"/>
        </w:rPr>
        <w:t xml:space="preserve">(with confidence intervals) </w:t>
      </w:r>
      <w:r w:rsidRPr="004E1F9D">
        <w:rPr>
          <w:rFonts w:eastAsiaTheme="majorEastAsia"/>
        </w:rPr>
        <w:t xml:space="preserve">due to cancer in </w:t>
      </w:r>
      <w:r w:rsidR="008D2095">
        <w:rPr>
          <w:rFonts w:eastAsiaTheme="majorEastAsia"/>
        </w:rPr>
        <w:t>SES</w:t>
      </w:r>
      <w:r w:rsidRPr="004E1F9D">
        <w:rPr>
          <w:rFonts w:eastAsiaTheme="majorEastAsia"/>
        </w:rPr>
        <w:t xml:space="preserve"> quintiles 1</w:t>
      </w:r>
      <w:r w:rsidR="008D2095">
        <w:rPr>
          <w:rFonts w:eastAsiaTheme="majorEastAsia"/>
        </w:rPr>
        <w:t>–</w:t>
      </w:r>
      <w:r w:rsidRPr="004E1F9D">
        <w:rPr>
          <w:rFonts w:eastAsiaTheme="majorEastAsia"/>
        </w:rPr>
        <w:t xml:space="preserve">4 (where SES 1 is most disadvantaged) compared </w:t>
      </w:r>
      <w:r w:rsidR="008D2095">
        <w:rPr>
          <w:rFonts w:eastAsiaTheme="majorEastAsia"/>
        </w:rPr>
        <w:t>with</w:t>
      </w:r>
      <w:r w:rsidRPr="004E1F9D">
        <w:rPr>
          <w:rFonts w:eastAsiaTheme="majorEastAsia"/>
        </w:rPr>
        <w:t xml:space="preserve"> the least disadvantaged </w:t>
      </w:r>
      <w:r w:rsidR="008D2095">
        <w:rPr>
          <w:rFonts w:eastAsiaTheme="majorEastAsia"/>
        </w:rPr>
        <w:t>SES</w:t>
      </w:r>
      <w:r w:rsidRPr="004E1F9D">
        <w:rPr>
          <w:rFonts w:eastAsiaTheme="majorEastAsia"/>
        </w:rPr>
        <w:t>, grouped by year of diagnosis</w:t>
      </w:r>
      <w:r w:rsidR="008D2095">
        <w:rPr>
          <w:rFonts w:eastAsiaTheme="majorEastAsia"/>
        </w:rPr>
        <w:t>,</w:t>
      </w:r>
      <w:r w:rsidRPr="004E1F9D">
        <w:rPr>
          <w:rFonts w:eastAsiaTheme="majorEastAsia"/>
        </w:rPr>
        <w:t xml:space="preserve"> 201</w:t>
      </w:r>
      <w:r w:rsidR="002350EC">
        <w:rPr>
          <w:rFonts w:eastAsiaTheme="majorEastAsia"/>
        </w:rPr>
        <w:t>4</w:t>
      </w:r>
      <w:r w:rsidR="008D2095">
        <w:rPr>
          <w:rFonts w:eastAsiaTheme="majorEastAsia"/>
        </w:rPr>
        <w:t>–</w:t>
      </w:r>
      <w:r w:rsidRPr="004E1F9D">
        <w:rPr>
          <w:rFonts w:eastAsiaTheme="majorEastAsia"/>
        </w:rPr>
        <w:t>2017</w:t>
      </w:r>
      <w:bookmarkEnd w:id="316"/>
      <w:bookmarkEnd w:id="317"/>
      <w:bookmarkEnd w:id="318"/>
      <w:bookmarkEnd w:id="319"/>
      <w:bookmarkEnd w:id="320"/>
    </w:p>
    <w:p w14:paraId="4C1AACBE" w14:textId="46992DA6" w:rsidR="00FB079F" w:rsidRPr="00FB079F" w:rsidRDefault="00FB079F" w:rsidP="00FB079F">
      <w:pPr>
        <w:pStyle w:val="DHHSbody"/>
      </w:pPr>
      <w:r>
        <w:rPr>
          <w:noProof/>
        </w:rPr>
        <w:drawing>
          <wp:inline distT="0" distB="0" distL="0" distR="0" wp14:anchorId="7C08EB2D" wp14:editId="5F202728">
            <wp:extent cx="6942846" cy="5276850"/>
            <wp:effectExtent l="0" t="0" r="0" b="0"/>
            <wp:docPr id="81" name="Picture 81" descr="This figure shows a summary of 'Measure 4.2 - Rate ratio of premature cancer incidence between socioeconomic quintiles'.  The data for this figure is available in this section for the study period 2014 to 2017 - refer to Table 5.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943707" cy="5277504"/>
                    </a:xfrm>
                    <a:prstGeom prst="rect">
                      <a:avLst/>
                    </a:prstGeom>
                    <a:noFill/>
                    <a:ln>
                      <a:noFill/>
                    </a:ln>
                  </pic:spPr>
                </pic:pic>
              </a:graphicData>
            </a:graphic>
          </wp:inline>
        </w:drawing>
      </w:r>
    </w:p>
    <w:p w14:paraId="12DE59DF" w14:textId="6A25045A" w:rsidR="008B5D6A" w:rsidRDefault="008B5D6A" w:rsidP="00E8331B">
      <w:pPr>
        <w:jc w:val="center"/>
        <w:rPr>
          <w:rFonts w:ascii="Arial" w:hAnsi="Arial" w:cs="Arial"/>
          <w:iCs/>
          <w:sz w:val="18"/>
          <w:szCs w:val="18"/>
        </w:rPr>
      </w:pPr>
    </w:p>
    <w:p w14:paraId="6F3BE2F9" w14:textId="77777777" w:rsidR="00E8331B" w:rsidRPr="00E8331B" w:rsidRDefault="00E8331B" w:rsidP="00E8331B">
      <w:pPr>
        <w:jc w:val="center"/>
        <w:rPr>
          <w:rFonts w:ascii="Arial" w:hAnsi="Arial" w:cs="Arial"/>
          <w:iCs/>
          <w:sz w:val="18"/>
          <w:szCs w:val="18"/>
        </w:rPr>
      </w:pPr>
    </w:p>
    <w:p w14:paraId="07ADCB14" w14:textId="3BA715EF" w:rsidR="00FB079F" w:rsidRDefault="00C161E8" w:rsidP="00FA1AAC">
      <w:pPr>
        <w:pStyle w:val="DHHStablefigurenote"/>
      </w:pPr>
      <w:r>
        <w:t xml:space="preserve">Note: </w:t>
      </w:r>
      <w:r w:rsidRPr="00317888">
        <w:t>E</w:t>
      </w:r>
      <w:r w:rsidR="00044B95">
        <w:t>R</w:t>
      </w:r>
      <w:r w:rsidRPr="00317888">
        <w:t>P files were sourced from ABS.</w:t>
      </w:r>
      <w:r w:rsidR="00317888" w:rsidRPr="00317888">
        <w:t xml:space="preserve"> Note at the time of preparing this report, </w:t>
      </w:r>
      <w:r w:rsidR="002507B8" w:rsidRPr="00537C17">
        <w:t xml:space="preserve">the ABS had not yet finalised </w:t>
      </w:r>
      <w:r w:rsidR="002507B8">
        <w:t xml:space="preserve">the </w:t>
      </w:r>
      <w:r w:rsidR="002507B8" w:rsidRPr="00537C17">
        <w:t>2017 ERP</w:t>
      </w:r>
      <w:r w:rsidR="00317888" w:rsidRPr="00317888">
        <w:t xml:space="preserve">. </w:t>
      </w:r>
    </w:p>
    <w:p w14:paraId="30ABD0D9" w14:textId="122A3979" w:rsidR="00FB079F" w:rsidRPr="00317888" w:rsidRDefault="00FB079F" w:rsidP="00FA1AAC">
      <w:pPr>
        <w:pStyle w:val="DHHStablefigurenote"/>
      </w:pPr>
      <w:r>
        <w:t xml:space="preserve">The baseline socioeconomic status (SES) quintile used for calculating the rate ratios for each year is SES quintile 5 (least disadvantaged) and is highlighted in </w:t>
      </w:r>
      <w:r w:rsidRPr="00FB079F">
        <w:rPr>
          <w:color w:val="C00000"/>
        </w:rPr>
        <w:t>red</w:t>
      </w:r>
      <w:r>
        <w:t>. A rate ratio greater than one indicates a higher incidence rate than the baseline SES quintile.</w:t>
      </w:r>
    </w:p>
    <w:p w14:paraId="106A0A8B" w14:textId="77777777" w:rsidR="00AF7B0A" w:rsidRDefault="00AF7B0A">
      <w:pPr>
        <w:rPr>
          <w:rFonts w:ascii="Arial" w:hAnsi="Arial"/>
          <w:b/>
          <w:lang w:eastAsia="en-US"/>
        </w:rPr>
      </w:pPr>
      <w:bookmarkStart w:id="321" w:name="_Toc18908725"/>
      <w:r>
        <w:br w:type="page"/>
      </w:r>
    </w:p>
    <w:p w14:paraId="2461F7B4" w14:textId="06088885" w:rsidR="00E51416" w:rsidRPr="00E51416" w:rsidRDefault="00E51416" w:rsidP="008C38C6">
      <w:pPr>
        <w:pStyle w:val="DHHStablecaption"/>
      </w:pPr>
      <w:bookmarkStart w:id="322" w:name="_Toc27414404"/>
      <w:r w:rsidRPr="005E3017">
        <w:lastRenderedPageBreak/>
        <w:t xml:space="preserve">Table </w:t>
      </w:r>
      <w:r w:rsidR="00DB1E30">
        <w:t>5</w:t>
      </w:r>
      <w:r w:rsidRPr="005E3017">
        <w:t>.2</w:t>
      </w:r>
      <w:r w:rsidR="008D2095">
        <w:t>:</w:t>
      </w:r>
      <w:r w:rsidRPr="006F4D43">
        <w:t xml:space="preserve"> Rate ratio of preventable cancer incidence (with confidence intervals) for Victoria in </w:t>
      </w:r>
      <w:r w:rsidR="008D2095">
        <w:t>SES</w:t>
      </w:r>
      <w:r w:rsidRPr="006F4D43">
        <w:t xml:space="preserve"> quintiles 1</w:t>
      </w:r>
      <w:r w:rsidR="008D2095">
        <w:t>–</w:t>
      </w:r>
      <w:r w:rsidRPr="006F4D43">
        <w:t xml:space="preserve">4 (where SES 1 is most disadvantaged) compared </w:t>
      </w:r>
      <w:r w:rsidR="001B50BF">
        <w:t>with</w:t>
      </w:r>
      <w:r w:rsidR="001B50BF" w:rsidRPr="006F4D43">
        <w:t xml:space="preserve"> </w:t>
      </w:r>
      <w:r w:rsidRPr="006F4D43">
        <w:t xml:space="preserve">the least disadvantaged </w:t>
      </w:r>
      <w:r w:rsidR="008D2095">
        <w:t>SES</w:t>
      </w:r>
      <w:r w:rsidRPr="006F4D43">
        <w:t>, grouped by year of diagnosis</w:t>
      </w:r>
      <w:r w:rsidR="008D2095">
        <w:t>,</w:t>
      </w:r>
      <w:r w:rsidRPr="006F4D43">
        <w:t xml:space="preserve"> 201</w:t>
      </w:r>
      <w:r w:rsidR="00DB1E30">
        <w:t>4</w:t>
      </w:r>
      <w:r w:rsidR="008D2095">
        <w:t>–</w:t>
      </w:r>
      <w:r w:rsidRPr="006F4D43">
        <w:t>2017</w:t>
      </w:r>
      <w:bookmarkEnd w:id="321"/>
      <w:bookmarkEnd w:id="322"/>
    </w:p>
    <w:tbl>
      <w:tblPr>
        <w:tblStyle w:val="TableGrid"/>
        <w:tblW w:w="10632" w:type="dxa"/>
        <w:tblInd w:w="-1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3544"/>
        <w:gridCol w:w="1701"/>
        <w:gridCol w:w="1559"/>
        <w:gridCol w:w="1843"/>
        <w:gridCol w:w="1985"/>
      </w:tblGrid>
      <w:tr w:rsidR="00EC39F4" w14:paraId="77618269" w14:textId="3FA2B080" w:rsidTr="003709ED">
        <w:trPr>
          <w:trHeight w:val="188"/>
        </w:trPr>
        <w:tc>
          <w:tcPr>
            <w:tcW w:w="3544" w:type="dxa"/>
            <w:shd w:val="clear" w:color="auto" w:fill="EDCDCF"/>
            <w:vAlign w:val="center"/>
          </w:tcPr>
          <w:p w14:paraId="3C35403E" w14:textId="4536FFC6" w:rsidR="00EC39F4" w:rsidRPr="00EC39F4" w:rsidRDefault="00EC39F4" w:rsidP="003709ED">
            <w:pPr>
              <w:pStyle w:val="DHHStablecolhead"/>
              <w:rPr>
                <w:lang w:eastAsia="en-AU"/>
              </w:rPr>
            </w:pPr>
            <w:r w:rsidRPr="00EC39F4">
              <w:t>S</w:t>
            </w:r>
            <w:r w:rsidR="00094459">
              <w:t>ES</w:t>
            </w:r>
          </w:p>
        </w:tc>
        <w:tc>
          <w:tcPr>
            <w:tcW w:w="1701" w:type="dxa"/>
            <w:shd w:val="clear" w:color="auto" w:fill="EDCDCF"/>
            <w:vAlign w:val="center"/>
          </w:tcPr>
          <w:p w14:paraId="3F71AD37" w14:textId="77777777" w:rsidR="00EC39F4" w:rsidRPr="00EC39F4" w:rsidRDefault="00EC39F4" w:rsidP="003709ED">
            <w:pPr>
              <w:pStyle w:val="DHHStablecolhead"/>
              <w:jc w:val="center"/>
              <w:rPr>
                <w:lang w:eastAsia="en-AU"/>
              </w:rPr>
            </w:pPr>
            <w:r w:rsidRPr="00EC39F4">
              <w:rPr>
                <w:lang w:eastAsia="en-AU"/>
              </w:rPr>
              <w:t>2014</w:t>
            </w:r>
          </w:p>
          <w:p w14:paraId="13A9E276" w14:textId="2D3BD67A" w:rsidR="00EC39F4" w:rsidRPr="00EC39F4" w:rsidRDefault="00EC39F4" w:rsidP="003709ED">
            <w:pPr>
              <w:pStyle w:val="DHHStablecolhead"/>
              <w:jc w:val="center"/>
              <w:rPr>
                <w:lang w:eastAsia="en-AU"/>
              </w:rPr>
            </w:pPr>
            <w:r w:rsidRPr="00EC39F4">
              <w:rPr>
                <w:lang w:eastAsia="en-AU"/>
              </w:rPr>
              <w:t>(95% CI)</w:t>
            </w:r>
          </w:p>
        </w:tc>
        <w:tc>
          <w:tcPr>
            <w:tcW w:w="1559" w:type="dxa"/>
            <w:shd w:val="clear" w:color="auto" w:fill="EDCDCF"/>
            <w:vAlign w:val="center"/>
          </w:tcPr>
          <w:p w14:paraId="3800BEF6" w14:textId="77777777" w:rsidR="00EC39F4" w:rsidRPr="00EC39F4" w:rsidRDefault="00EC39F4" w:rsidP="003709ED">
            <w:pPr>
              <w:pStyle w:val="DHHStablecolhead"/>
              <w:jc w:val="center"/>
              <w:rPr>
                <w:lang w:eastAsia="en-AU"/>
              </w:rPr>
            </w:pPr>
            <w:r w:rsidRPr="00EC39F4">
              <w:rPr>
                <w:lang w:eastAsia="en-AU"/>
              </w:rPr>
              <w:t>2015</w:t>
            </w:r>
          </w:p>
          <w:p w14:paraId="6178AB45" w14:textId="0FAAA29C" w:rsidR="00EC39F4" w:rsidRPr="00EC39F4" w:rsidRDefault="00EC39F4" w:rsidP="003709ED">
            <w:pPr>
              <w:pStyle w:val="DHHStablecolhead"/>
              <w:jc w:val="center"/>
              <w:rPr>
                <w:lang w:eastAsia="en-AU"/>
              </w:rPr>
            </w:pPr>
            <w:r w:rsidRPr="00EC39F4">
              <w:rPr>
                <w:lang w:eastAsia="en-AU"/>
              </w:rPr>
              <w:t>(95% CI)</w:t>
            </w:r>
          </w:p>
        </w:tc>
        <w:tc>
          <w:tcPr>
            <w:tcW w:w="1843" w:type="dxa"/>
            <w:shd w:val="clear" w:color="auto" w:fill="EDCDCF"/>
            <w:vAlign w:val="center"/>
          </w:tcPr>
          <w:p w14:paraId="7879654C" w14:textId="77777777" w:rsidR="00EC39F4" w:rsidRPr="00EC39F4" w:rsidRDefault="00EC39F4" w:rsidP="003709ED">
            <w:pPr>
              <w:pStyle w:val="DHHStablecolhead"/>
              <w:jc w:val="center"/>
              <w:rPr>
                <w:lang w:eastAsia="en-AU"/>
              </w:rPr>
            </w:pPr>
            <w:r w:rsidRPr="00EC39F4">
              <w:rPr>
                <w:lang w:eastAsia="en-AU"/>
              </w:rPr>
              <w:t>2016</w:t>
            </w:r>
          </w:p>
          <w:p w14:paraId="41F0FFC2" w14:textId="64301DA7" w:rsidR="00EC39F4" w:rsidRPr="00EC39F4" w:rsidRDefault="00EC39F4" w:rsidP="003709ED">
            <w:pPr>
              <w:pStyle w:val="DHHStablecolhead"/>
              <w:jc w:val="center"/>
              <w:rPr>
                <w:lang w:eastAsia="en-AU"/>
              </w:rPr>
            </w:pPr>
            <w:r w:rsidRPr="00EC39F4">
              <w:rPr>
                <w:lang w:eastAsia="en-AU"/>
              </w:rPr>
              <w:t>(95% CI)</w:t>
            </w:r>
          </w:p>
        </w:tc>
        <w:tc>
          <w:tcPr>
            <w:tcW w:w="1985" w:type="dxa"/>
            <w:shd w:val="clear" w:color="auto" w:fill="EDCDCF"/>
            <w:vAlign w:val="center"/>
          </w:tcPr>
          <w:p w14:paraId="6A9A2327" w14:textId="77777777" w:rsidR="00EC39F4" w:rsidRPr="00EC39F4" w:rsidRDefault="00EC39F4" w:rsidP="003709ED">
            <w:pPr>
              <w:pStyle w:val="DHHStablecolhead"/>
              <w:jc w:val="center"/>
              <w:rPr>
                <w:lang w:eastAsia="en-AU"/>
              </w:rPr>
            </w:pPr>
            <w:r w:rsidRPr="00EC39F4">
              <w:rPr>
                <w:lang w:eastAsia="en-AU"/>
              </w:rPr>
              <w:t>2017</w:t>
            </w:r>
          </w:p>
          <w:p w14:paraId="5F5A023A" w14:textId="3643857B" w:rsidR="00EC39F4" w:rsidRPr="00EC39F4" w:rsidRDefault="00EC39F4" w:rsidP="003709ED">
            <w:pPr>
              <w:pStyle w:val="DHHStablecolhead"/>
              <w:jc w:val="center"/>
              <w:rPr>
                <w:lang w:eastAsia="en-AU"/>
              </w:rPr>
            </w:pPr>
            <w:r w:rsidRPr="00EC39F4">
              <w:rPr>
                <w:lang w:eastAsia="en-AU"/>
              </w:rPr>
              <w:t>(95% CI)</w:t>
            </w:r>
          </w:p>
        </w:tc>
      </w:tr>
      <w:tr w:rsidR="00EC39F4" w14:paraId="28A91807" w14:textId="1B146235" w:rsidTr="003709ED">
        <w:trPr>
          <w:trHeight w:val="578"/>
        </w:trPr>
        <w:tc>
          <w:tcPr>
            <w:tcW w:w="3544" w:type="dxa"/>
            <w:shd w:val="clear" w:color="auto" w:fill="auto"/>
          </w:tcPr>
          <w:p w14:paraId="6C1BA72F" w14:textId="2C936A46" w:rsidR="00EC39F4" w:rsidRPr="00537C17" w:rsidRDefault="00EC39F4" w:rsidP="00537C17">
            <w:pPr>
              <w:pStyle w:val="DHHStabletext"/>
              <w:rPr>
                <w:b/>
                <w:sz w:val="18"/>
                <w:szCs w:val="18"/>
              </w:rPr>
            </w:pPr>
            <w:r w:rsidRPr="00537C17">
              <w:rPr>
                <w:sz w:val="18"/>
                <w:szCs w:val="18"/>
              </w:rPr>
              <w:t>Quintile 1 (</w:t>
            </w:r>
            <w:r>
              <w:rPr>
                <w:sz w:val="18"/>
                <w:szCs w:val="18"/>
              </w:rPr>
              <w:t>m</w:t>
            </w:r>
            <w:r w:rsidRPr="00537C17">
              <w:rPr>
                <w:sz w:val="18"/>
                <w:szCs w:val="18"/>
              </w:rPr>
              <w:t>ost disadvantaged)</w:t>
            </w:r>
          </w:p>
        </w:tc>
        <w:tc>
          <w:tcPr>
            <w:tcW w:w="1701" w:type="dxa"/>
            <w:shd w:val="clear" w:color="auto" w:fill="auto"/>
          </w:tcPr>
          <w:p w14:paraId="24BA5FB2" w14:textId="77777777" w:rsidR="00EC39F4" w:rsidRPr="00537C17" w:rsidRDefault="00EC39F4" w:rsidP="003709ED">
            <w:pPr>
              <w:pStyle w:val="DHHStabletext"/>
              <w:jc w:val="center"/>
              <w:rPr>
                <w:b/>
                <w:sz w:val="18"/>
                <w:szCs w:val="18"/>
              </w:rPr>
            </w:pPr>
            <w:r w:rsidRPr="00537C17">
              <w:rPr>
                <w:sz w:val="18"/>
                <w:szCs w:val="18"/>
              </w:rPr>
              <w:t>1.5</w:t>
            </w:r>
          </w:p>
          <w:p w14:paraId="7EDE13C3" w14:textId="16711B1A" w:rsidR="00EC39F4" w:rsidRPr="00537C17" w:rsidRDefault="00EC39F4" w:rsidP="003709ED">
            <w:pPr>
              <w:pStyle w:val="DHHStabletext"/>
              <w:jc w:val="center"/>
              <w:rPr>
                <w:sz w:val="18"/>
                <w:szCs w:val="18"/>
              </w:rPr>
            </w:pPr>
            <w:r w:rsidRPr="00537C17">
              <w:rPr>
                <w:sz w:val="18"/>
                <w:szCs w:val="18"/>
              </w:rPr>
              <w:t>(1.4–1.6)</w:t>
            </w:r>
          </w:p>
        </w:tc>
        <w:tc>
          <w:tcPr>
            <w:tcW w:w="1559" w:type="dxa"/>
            <w:shd w:val="clear" w:color="auto" w:fill="auto"/>
          </w:tcPr>
          <w:p w14:paraId="1D3199C5" w14:textId="77777777" w:rsidR="00EC39F4" w:rsidRPr="00537C17" w:rsidRDefault="00EC39F4" w:rsidP="003709ED">
            <w:pPr>
              <w:pStyle w:val="DHHStabletext"/>
              <w:jc w:val="center"/>
              <w:rPr>
                <w:b/>
                <w:sz w:val="18"/>
                <w:szCs w:val="18"/>
              </w:rPr>
            </w:pPr>
            <w:r w:rsidRPr="00537C17">
              <w:rPr>
                <w:sz w:val="18"/>
                <w:szCs w:val="18"/>
              </w:rPr>
              <w:t>1.7</w:t>
            </w:r>
          </w:p>
          <w:p w14:paraId="171544D1" w14:textId="45D9FE71" w:rsidR="00EC39F4" w:rsidRPr="00537C17" w:rsidRDefault="00EC39F4" w:rsidP="003709ED">
            <w:pPr>
              <w:pStyle w:val="DHHStabletext"/>
              <w:jc w:val="center"/>
              <w:rPr>
                <w:sz w:val="18"/>
                <w:szCs w:val="18"/>
              </w:rPr>
            </w:pPr>
            <w:r w:rsidRPr="00537C17">
              <w:rPr>
                <w:sz w:val="18"/>
                <w:szCs w:val="18"/>
              </w:rPr>
              <w:t>(1.6–1.8)</w:t>
            </w:r>
          </w:p>
        </w:tc>
        <w:tc>
          <w:tcPr>
            <w:tcW w:w="1843" w:type="dxa"/>
            <w:shd w:val="clear" w:color="auto" w:fill="auto"/>
          </w:tcPr>
          <w:p w14:paraId="3D9CDD85" w14:textId="77777777" w:rsidR="00EC39F4" w:rsidRPr="00537C17" w:rsidRDefault="00EC39F4" w:rsidP="003709ED">
            <w:pPr>
              <w:pStyle w:val="DHHStabletext"/>
              <w:jc w:val="center"/>
              <w:rPr>
                <w:b/>
                <w:sz w:val="18"/>
                <w:szCs w:val="18"/>
              </w:rPr>
            </w:pPr>
            <w:r w:rsidRPr="00537C17">
              <w:rPr>
                <w:sz w:val="18"/>
                <w:szCs w:val="18"/>
              </w:rPr>
              <w:t>1.6</w:t>
            </w:r>
          </w:p>
          <w:p w14:paraId="27D69114" w14:textId="2199ACA8" w:rsidR="00EC39F4" w:rsidRPr="00537C17" w:rsidRDefault="00EC39F4" w:rsidP="003709ED">
            <w:pPr>
              <w:pStyle w:val="DHHStabletext"/>
              <w:jc w:val="center"/>
              <w:rPr>
                <w:sz w:val="18"/>
                <w:szCs w:val="18"/>
              </w:rPr>
            </w:pPr>
            <w:r w:rsidRPr="00537C17">
              <w:rPr>
                <w:sz w:val="18"/>
                <w:szCs w:val="18"/>
              </w:rPr>
              <w:t>(1.5–1.7)</w:t>
            </w:r>
          </w:p>
        </w:tc>
        <w:tc>
          <w:tcPr>
            <w:tcW w:w="1985" w:type="dxa"/>
            <w:shd w:val="clear" w:color="auto" w:fill="auto"/>
          </w:tcPr>
          <w:p w14:paraId="73F1611D" w14:textId="77777777" w:rsidR="00EC39F4" w:rsidRPr="00537C17" w:rsidRDefault="00EC39F4" w:rsidP="003709ED">
            <w:pPr>
              <w:pStyle w:val="DHHStabletext"/>
              <w:jc w:val="center"/>
              <w:rPr>
                <w:b/>
                <w:sz w:val="18"/>
                <w:szCs w:val="18"/>
              </w:rPr>
            </w:pPr>
            <w:r w:rsidRPr="00537C17">
              <w:rPr>
                <w:sz w:val="18"/>
                <w:szCs w:val="18"/>
              </w:rPr>
              <w:t>1.7</w:t>
            </w:r>
          </w:p>
          <w:p w14:paraId="78085DBF" w14:textId="1F817E60" w:rsidR="00EC39F4" w:rsidRPr="00537C17" w:rsidRDefault="00EC39F4" w:rsidP="003709ED">
            <w:pPr>
              <w:pStyle w:val="DHHStabletext"/>
              <w:jc w:val="center"/>
              <w:rPr>
                <w:sz w:val="18"/>
                <w:szCs w:val="18"/>
              </w:rPr>
            </w:pPr>
            <w:r w:rsidRPr="00537C17">
              <w:rPr>
                <w:sz w:val="18"/>
                <w:szCs w:val="18"/>
              </w:rPr>
              <w:t>(1.6–1.8)</w:t>
            </w:r>
          </w:p>
        </w:tc>
      </w:tr>
      <w:tr w:rsidR="00EC39F4" w14:paraId="0E3CACCA" w14:textId="74016810" w:rsidTr="003709ED">
        <w:trPr>
          <w:trHeight w:val="416"/>
        </w:trPr>
        <w:tc>
          <w:tcPr>
            <w:tcW w:w="3544" w:type="dxa"/>
            <w:shd w:val="clear" w:color="auto" w:fill="auto"/>
            <w:vAlign w:val="center"/>
          </w:tcPr>
          <w:p w14:paraId="270D9236" w14:textId="6D9BFF57" w:rsidR="00EC39F4" w:rsidRPr="00537C17" w:rsidRDefault="00EC39F4" w:rsidP="00537C17">
            <w:pPr>
              <w:pStyle w:val="DHHStabletext"/>
              <w:rPr>
                <w:b/>
                <w:sz w:val="18"/>
                <w:szCs w:val="18"/>
              </w:rPr>
            </w:pPr>
            <w:r w:rsidRPr="00537C17">
              <w:rPr>
                <w:sz w:val="18"/>
                <w:szCs w:val="18"/>
              </w:rPr>
              <w:t>Quintile 2</w:t>
            </w:r>
          </w:p>
        </w:tc>
        <w:tc>
          <w:tcPr>
            <w:tcW w:w="1701" w:type="dxa"/>
            <w:shd w:val="clear" w:color="auto" w:fill="auto"/>
          </w:tcPr>
          <w:p w14:paraId="1904B1D8" w14:textId="77777777" w:rsidR="00EC39F4" w:rsidRPr="00537C17" w:rsidRDefault="00EC39F4" w:rsidP="003709ED">
            <w:pPr>
              <w:pStyle w:val="DHHStabletext"/>
              <w:jc w:val="center"/>
              <w:rPr>
                <w:b/>
                <w:sz w:val="18"/>
                <w:szCs w:val="18"/>
              </w:rPr>
            </w:pPr>
            <w:r w:rsidRPr="00537C17">
              <w:rPr>
                <w:sz w:val="18"/>
                <w:szCs w:val="18"/>
              </w:rPr>
              <w:t>1.4</w:t>
            </w:r>
          </w:p>
          <w:p w14:paraId="56E79B46" w14:textId="223C42C2" w:rsidR="00EC39F4" w:rsidRPr="00537C17" w:rsidRDefault="00EC39F4" w:rsidP="003709ED">
            <w:pPr>
              <w:pStyle w:val="DHHStabletext"/>
              <w:jc w:val="center"/>
              <w:rPr>
                <w:sz w:val="18"/>
                <w:szCs w:val="18"/>
              </w:rPr>
            </w:pPr>
            <w:r w:rsidRPr="00537C17">
              <w:rPr>
                <w:sz w:val="18"/>
                <w:szCs w:val="18"/>
              </w:rPr>
              <w:t>(1.3–1.5)</w:t>
            </w:r>
          </w:p>
        </w:tc>
        <w:tc>
          <w:tcPr>
            <w:tcW w:w="1559" w:type="dxa"/>
            <w:shd w:val="clear" w:color="auto" w:fill="auto"/>
          </w:tcPr>
          <w:p w14:paraId="23E2954C" w14:textId="77777777" w:rsidR="00EC39F4" w:rsidRPr="00537C17" w:rsidRDefault="00EC39F4" w:rsidP="003709ED">
            <w:pPr>
              <w:pStyle w:val="DHHStabletext"/>
              <w:jc w:val="center"/>
              <w:rPr>
                <w:b/>
                <w:sz w:val="18"/>
                <w:szCs w:val="18"/>
              </w:rPr>
            </w:pPr>
            <w:r w:rsidRPr="00537C17">
              <w:rPr>
                <w:sz w:val="18"/>
                <w:szCs w:val="18"/>
              </w:rPr>
              <w:t>1.5</w:t>
            </w:r>
          </w:p>
          <w:p w14:paraId="14EED15D" w14:textId="7CD9C079" w:rsidR="00EC39F4" w:rsidRPr="00537C17" w:rsidRDefault="00EC39F4" w:rsidP="003709ED">
            <w:pPr>
              <w:pStyle w:val="DHHStabletext"/>
              <w:jc w:val="center"/>
              <w:rPr>
                <w:sz w:val="18"/>
                <w:szCs w:val="18"/>
              </w:rPr>
            </w:pPr>
            <w:r w:rsidRPr="00537C17">
              <w:rPr>
                <w:sz w:val="18"/>
                <w:szCs w:val="18"/>
              </w:rPr>
              <w:t>(1.4–1.6)</w:t>
            </w:r>
          </w:p>
        </w:tc>
        <w:tc>
          <w:tcPr>
            <w:tcW w:w="1843" w:type="dxa"/>
            <w:shd w:val="clear" w:color="auto" w:fill="auto"/>
          </w:tcPr>
          <w:p w14:paraId="17CD876E" w14:textId="77777777" w:rsidR="00EC39F4" w:rsidRPr="00537C17" w:rsidRDefault="00EC39F4" w:rsidP="003709ED">
            <w:pPr>
              <w:pStyle w:val="DHHStabletext"/>
              <w:jc w:val="center"/>
              <w:rPr>
                <w:b/>
                <w:sz w:val="18"/>
                <w:szCs w:val="18"/>
              </w:rPr>
            </w:pPr>
            <w:r w:rsidRPr="00537C17">
              <w:rPr>
                <w:sz w:val="18"/>
                <w:szCs w:val="18"/>
              </w:rPr>
              <w:t>1.4</w:t>
            </w:r>
          </w:p>
          <w:p w14:paraId="28CA1447" w14:textId="48B9E468" w:rsidR="00EC39F4" w:rsidRPr="00537C17" w:rsidRDefault="00EC39F4" w:rsidP="003709ED">
            <w:pPr>
              <w:pStyle w:val="DHHStabletext"/>
              <w:jc w:val="center"/>
              <w:rPr>
                <w:sz w:val="18"/>
                <w:szCs w:val="18"/>
              </w:rPr>
            </w:pPr>
            <w:r w:rsidRPr="00537C17">
              <w:rPr>
                <w:sz w:val="18"/>
                <w:szCs w:val="18"/>
              </w:rPr>
              <w:t>(1.3–1.5)</w:t>
            </w:r>
          </w:p>
        </w:tc>
        <w:tc>
          <w:tcPr>
            <w:tcW w:w="1985" w:type="dxa"/>
            <w:shd w:val="clear" w:color="auto" w:fill="auto"/>
          </w:tcPr>
          <w:p w14:paraId="20FC95B0" w14:textId="77777777" w:rsidR="00EC39F4" w:rsidRPr="00537C17" w:rsidRDefault="00EC39F4" w:rsidP="003709ED">
            <w:pPr>
              <w:pStyle w:val="DHHStabletext"/>
              <w:jc w:val="center"/>
              <w:rPr>
                <w:b/>
                <w:sz w:val="18"/>
                <w:szCs w:val="18"/>
              </w:rPr>
            </w:pPr>
            <w:r w:rsidRPr="00537C17">
              <w:rPr>
                <w:sz w:val="18"/>
                <w:szCs w:val="18"/>
              </w:rPr>
              <w:t>1.4</w:t>
            </w:r>
          </w:p>
          <w:p w14:paraId="75021B6E" w14:textId="1E7C4CC4" w:rsidR="00EC39F4" w:rsidRPr="00537C17" w:rsidRDefault="00EC39F4" w:rsidP="003709ED">
            <w:pPr>
              <w:pStyle w:val="DHHStabletext"/>
              <w:jc w:val="center"/>
              <w:rPr>
                <w:sz w:val="18"/>
                <w:szCs w:val="18"/>
              </w:rPr>
            </w:pPr>
            <w:r w:rsidRPr="00537C17">
              <w:rPr>
                <w:sz w:val="18"/>
                <w:szCs w:val="18"/>
              </w:rPr>
              <w:t>(1.3–1.5)</w:t>
            </w:r>
          </w:p>
        </w:tc>
      </w:tr>
      <w:tr w:rsidR="00EC39F4" w14:paraId="7F08A63A" w14:textId="6CE34145" w:rsidTr="003709ED">
        <w:trPr>
          <w:trHeight w:val="416"/>
        </w:trPr>
        <w:tc>
          <w:tcPr>
            <w:tcW w:w="3544" w:type="dxa"/>
            <w:shd w:val="clear" w:color="auto" w:fill="auto"/>
            <w:vAlign w:val="center"/>
          </w:tcPr>
          <w:p w14:paraId="2A9D068A" w14:textId="4A6AED54" w:rsidR="00EC39F4" w:rsidRPr="00537C17" w:rsidRDefault="00EC39F4" w:rsidP="00537C17">
            <w:pPr>
              <w:pStyle w:val="DHHStabletext"/>
              <w:rPr>
                <w:b/>
                <w:sz w:val="18"/>
                <w:szCs w:val="18"/>
              </w:rPr>
            </w:pPr>
            <w:r w:rsidRPr="00537C17">
              <w:rPr>
                <w:sz w:val="18"/>
                <w:szCs w:val="18"/>
              </w:rPr>
              <w:t>Quintile 3</w:t>
            </w:r>
          </w:p>
        </w:tc>
        <w:tc>
          <w:tcPr>
            <w:tcW w:w="1701" w:type="dxa"/>
            <w:shd w:val="clear" w:color="auto" w:fill="auto"/>
          </w:tcPr>
          <w:p w14:paraId="0BFC807A" w14:textId="77777777" w:rsidR="00EC39F4" w:rsidRPr="00537C17" w:rsidRDefault="00EC39F4" w:rsidP="003709ED">
            <w:pPr>
              <w:pStyle w:val="DHHStabletext"/>
              <w:jc w:val="center"/>
              <w:rPr>
                <w:b/>
                <w:sz w:val="18"/>
                <w:szCs w:val="18"/>
              </w:rPr>
            </w:pPr>
            <w:r w:rsidRPr="00537C17">
              <w:rPr>
                <w:sz w:val="18"/>
                <w:szCs w:val="18"/>
              </w:rPr>
              <w:t>1.3</w:t>
            </w:r>
          </w:p>
          <w:p w14:paraId="6E0CE060" w14:textId="2ACCA2AF" w:rsidR="00EC39F4" w:rsidRPr="00537C17" w:rsidRDefault="00EC39F4" w:rsidP="003709ED">
            <w:pPr>
              <w:pStyle w:val="DHHStabletext"/>
              <w:jc w:val="center"/>
              <w:rPr>
                <w:sz w:val="18"/>
                <w:szCs w:val="18"/>
              </w:rPr>
            </w:pPr>
            <w:r w:rsidRPr="00537C17">
              <w:rPr>
                <w:sz w:val="18"/>
                <w:szCs w:val="18"/>
              </w:rPr>
              <w:t>(1.2–1.4)</w:t>
            </w:r>
          </w:p>
        </w:tc>
        <w:tc>
          <w:tcPr>
            <w:tcW w:w="1559" w:type="dxa"/>
            <w:shd w:val="clear" w:color="auto" w:fill="auto"/>
          </w:tcPr>
          <w:p w14:paraId="2BC268FB" w14:textId="77777777" w:rsidR="00EC39F4" w:rsidRPr="00537C17" w:rsidRDefault="00EC39F4" w:rsidP="003709ED">
            <w:pPr>
              <w:pStyle w:val="DHHStabletext"/>
              <w:jc w:val="center"/>
              <w:rPr>
                <w:b/>
                <w:sz w:val="18"/>
                <w:szCs w:val="18"/>
              </w:rPr>
            </w:pPr>
            <w:r w:rsidRPr="00537C17">
              <w:rPr>
                <w:sz w:val="18"/>
                <w:szCs w:val="18"/>
              </w:rPr>
              <w:t>1.3</w:t>
            </w:r>
          </w:p>
          <w:p w14:paraId="19884C33" w14:textId="34666A8F" w:rsidR="00EC39F4" w:rsidRPr="00537C17" w:rsidRDefault="00EC39F4" w:rsidP="003709ED">
            <w:pPr>
              <w:pStyle w:val="DHHStabletext"/>
              <w:jc w:val="center"/>
              <w:rPr>
                <w:sz w:val="18"/>
                <w:szCs w:val="18"/>
              </w:rPr>
            </w:pPr>
            <w:r w:rsidRPr="00537C17">
              <w:rPr>
                <w:sz w:val="18"/>
                <w:szCs w:val="18"/>
              </w:rPr>
              <w:t>(1.2–1.4)</w:t>
            </w:r>
          </w:p>
        </w:tc>
        <w:tc>
          <w:tcPr>
            <w:tcW w:w="1843" w:type="dxa"/>
            <w:shd w:val="clear" w:color="auto" w:fill="auto"/>
          </w:tcPr>
          <w:p w14:paraId="5CAF5ED3" w14:textId="77777777" w:rsidR="00EC39F4" w:rsidRPr="00537C17" w:rsidRDefault="00EC39F4" w:rsidP="003709ED">
            <w:pPr>
              <w:pStyle w:val="DHHStabletext"/>
              <w:jc w:val="center"/>
              <w:rPr>
                <w:b/>
                <w:sz w:val="18"/>
                <w:szCs w:val="18"/>
              </w:rPr>
            </w:pPr>
            <w:r w:rsidRPr="00537C17">
              <w:rPr>
                <w:sz w:val="18"/>
                <w:szCs w:val="18"/>
              </w:rPr>
              <w:t>1.2</w:t>
            </w:r>
          </w:p>
          <w:p w14:paraId="0E9E6416" w14:textId="0789E82C" w:rsidR="00EC39F4" w:rsidRPr="00537C17" w:rsidRDefault="00EC39F4" w:rsidP="003709ED">
            <w:pPr>
              <w:pStyle w:val="DHHStabletext"/>
              <w:jc w:val="center"/>
              <w:rPr>
                <w:sz w:val="18"/>
                <w:szCs w:val="18"/>
              </w:rPr>
            </w:pPr>
            <w:r w:rsidRPr="00537C17">
              <w:rPr>
                <w:sz w:val="18"/>
                <w:szCs w:val="18"/>
              </w:rPr>
              <w:t>(1.1–1.3)</w:t>
            </w:r>
          </w:p>
        </w:tc>
        <w:tc>
          <w:tcPr>
            <w:tcW w:w="1985" w:type="dxa"/>
            <w:shd w:val="clear" w:color="auto" w:fill="auto"/>
          </w:tcPr>
          <w:p w14:paraId="5113D57B" w14:textId="77777777" w:rsidR="00EC39F4" w:rsidRPr="00537C17" w:rsidRDefault="00EC39F4" w:rsidP="003709ED">
            <w:pPr>
              <w:pStyle w:val="DHHStabletext"/>
              <w:jc w:val="center"/>
              <w:rPr>
                <w:b/>
                <w:sz w:val="18"/>
                <w:szCs w:val="18"/>
              </w:rPr>
            </w:pPr>
            <w:r w:rsidRPr="00537C17">
              <w:rPr>
                <w:sz w:val="18"/>
                <w:szCs w:val="18"/>
              </w:rPr>
              <w:t>1.3</w:t>
            </w:r>
          </w:p>
          <w:p w14:paraId="654BED13" w14:textId="509C963B" w:rsidR="00EC39F4" w:rsidRPr="00537C17" w:rsidRDefault="00EC39F4" w:rsidP="003709ED">
            <w:pPr>
              <w:pStyle w:val="DHHStabletext"/>
              <w:jc w:val="center"/>
              <w:rPr>
                <w:sz w:val="18"/>
                <w:szCs w:val="18"/>
              </w:rPr>
            </w:pPr>
            <w:r w:rsidRPr="00537C17">
              <w:rPr>
                <w:sz w:val="18"/>
                <w:szCs w:val="18"/>
              </w:rPr>
              <w:t>(1.2–1.4)</w:t>
            </w:r>
          </w:p>
        </w:tc>
      </w:tr>
      <w:tr w:rsidR="00EC39F4" w14:paraId="6298D5FD" w14:textId="2CD2D93B" w:rsidTr="003709ED">
        <w:trPr>
          <w:trHeight w:val="430"/>
        </w:trPr>
        <w:tc>
          <w:tcPr>
            <w:tcW w:w="3544" w:type="dxa"/>
            <w:shd w:val="clear" w:color="auto" w:fill="auto"/>
            <w:vAlign w:val="center"/>
          </w:tcPr>
          <w:p w14:paraId="23C7FB7D" w14:textId="6C60D42B" w:rsidR="00EC39F4" w:rsidRPr="00537C17" w:rsidRDefault="00EC39F4" w:rsidP="00537C17">
            <w:pPr>
              <w:pStyle w:val="DHHStabletext"/>
              <w:rPr>
                <w:b/>
                <w:sz w:val="18"/>
                <w:szCs w:val="18"/>
              </w:rPr>
            </w:pPr>
            <w:r w:rsidRPr="00537C17">
              <w:rPr>
                <w:sz w:val="18"/>
                <w:szCs w:val="18"/>
              </w:rPr>
              <w:t>Quintile 4</w:t>
            </w:r>
          </w:p>
        </w:tc>
        <w:tc>
          <w:tcPr>
            <w:tcW w:w="1701" w:type="dxa"/>
            <w:shd w:val="clear" w:color="auto" w:fill="auto"/>
          </w:tcPr>
          <w:p w14:paraId="27099AE4" w14:textId="77777777" w:rsidR="00EC39F4" w:rsidRPr="00537C17" w:rsidRDefault="00EC39F4" w:rsidP="003709ED">
            <w:pPr>
              <w:pStyle w:val="DHHStabletext"/>
              <w:jc w:val="center"/>
              <w:rPr>
                <w:b/>
                <w:sz w:val="18"/>
                <w:szCs w:val="18"/>
              </w:rPr>
            </w:pPr>
            <w:r w:rsidRPr="00537C17">
              <w:rPr>
                <w:sz w:val="18"/>
                <w:szCs w:val="18"/>
              </w:rPr>
              <w:t>1.2</w:t>
            </w:r>
          </w:p>
          <w:p w14:paraId="13D80DDF" w14:textId="397E1131" w:rsidR="00EC39F4" w:rsidRPr="00537C17" w:rsidRDefault="00EC39F4" w:rsidP="003709ED">
            <w:pPr>
              <w:pStyle w:val="DHHStabletext"/>
              <w:jc w:val="center"/>
              <w:rPr>
                <w:sz w:val="18"/>
                <w:szCs w:val="18"/>
              </w:rPr>
            </w:pPr>
            <w:r w:rsidRPr="00537C17">
              <w:rPr>
                <w:sz w:val="18"/>
                <w:szCs w:val="18"/>
              </w:rPr>
              <w:t>(1.1–1.3)</w:t>
            </w:r>
          </w:p>
        </w:tc>
        <w:tc>
          <w:tcPr>
            <w:tcW w:w="1559" w:type="dxa"/>
            <w:shd w:val="clear" w:color="auto" w:fill="auto"/>
          </w:tcPr>
          <w:p w14:paraId="48B45996" w14:textId="77777777" w:rsidR="00EC39F4" w:rsidRPr="00537C17" w:rsidRDefault="00EC39F4" w:rsidP="003709ED">
            <w:pPr>
              <w:pStyle w:val="DHHStabletext"/>
              <w:jc w:val="center"/>
              <w:rPr>
                <w:b/>
                <w:sz w:val="18"/>
                <w:szCs w:val="18"/>
              </w:rPr>
            </w:pPr>
            <w:r w:rsidRPr="00537C17">
              <w:rPr>
                <w:sz w:val="18"/>
                <w:szCs w:val="18"/>
              </w:rPr>
              <w:t>1.2</w:t>
            </w:r>
          </w:p>
          <w:p w14:paraId="59DC76CA" w14:textId="5220017A" w:rsidR="00EC39F4" w:rsidRPr="00537C17" w:rsidRDefault="00EC39F4" w:rsidP="003709ED">
            <w:pPr>
              <w:pStyle w:val="DHHStabletext"/>
              <w:jc w:val="center"/>
              <w:rPr>
                <w:sz w:val="18"/>
                <w:szCs w:val="18"/>
              </w:rPr>
            </w:pPr>
            <w:r w:rsidRPr="00537C17">
              <w:rPr>
                <w:sz w:val="18"/>
                <w:szCs w:val="18"/>
              </w:rPr>
              <w:t>(1.1–1.3)</w:t>
            </w:r>
          </w:p>
        </w:tc>
        <w:tc>
          <w:tcPr>
            <w:tcW w:w="1843" w:type="dxa"/>
            <w:shd w:val="clear" w:color="auto" w:fill="auto"/>
          </w:tcPr>
          <w:p w14:paraId="56ADC29E" w14:textId="77777777" w:rsidR="00EC39F4" w:rsidRPr="00537C17" w:rsidRDefault="00EC39F4" w:rsidP="003709ED">
            <w:pPr>
              <w:pStyle w:val="DHHStabletext"/>
              <w:jc w:val="center"/>
              <w:rPr>
                <w:b/>
                <w:sz w:val="18"/>
                <w:szCs w:val="18"/>
              </w:rPr>
            </w:pPr>
            <w:r w:rsidRPr="00537C17">
              <w:rPr>
                <w:sz w:val="18"/>
                <w:szCs w:val="18"/>
              </w:rPr>
              <w:t>1.2</w:t>
            </w:r>
          </w:p>
          <w:p w14:paraId="540A8A82" w14:textId="30E58082" w:rsidR="00EC39F4" w:rsidRPr="00537C17" w:rsidRDefault="00EC39F4" w:rsidP="003709ED">
            <w:pPr>
              <w:pStyle w:val="DHHStabletext"/>
              <w:jc w:val="center"/>
              <w:rPr>
                <w:sz w:val="18"/>
                <w:szCs w:val="18"/>
              </w:rPr>
            </w:pPr>
            <w:r w:rsidRPr="00537C17">
              <w:rPr>
                <w:sz w:val="18"/>
                <w:szCs w:val="18"/>
              </w:rPr>
              <w:t>(1.1–1.3)</w:t>
            </w:r>
          </w:p>
        </w:tc>
        <w:tc>
          <w:tcPr>
            <w:tcW w:w="1985" w:type="dxa"/>
            <w:shd w:val="clear" w:color="auto" w:fill="auto"/>
          </w:tcPr>
          <w:p w14:paraId="26490CEB" w14:textId="77777777" w:rsidR="00EC39F4" w:rsidRPr="00537C17" w:rsidRDefault="00EC39F4" w:rsidP="003709ED">
            <w:pPr>
              <w:pStyle w:val="DHHStabletext"/>
              <w:jc w:val="center"/>
              <w:rPr>
                <w:b/>
                <w:sz w:val="18"/>
                <w:szCs w:val="18"/>
              </w:rPr>
            </w:pPr>
            <w:r w:rsidRPr="00537C17">
              <w:rPr>
                <w:sz w:val="18"/>
                <w:szCs w:val="18"/>
              </w:rPr>
              <w:t>1.1</w:t>
            </w:r>
          </w:p>
          <w:p w14:paraId="2FE4726B" w14:textId="6F7FD73C" w:rsidR="00EC39F4" w:rsidRPr="00537C17" w:rsidRDefault="00EC39F4" w:rsidP="003709ED">
            <w:pPr>
              <w:pStyle w:val="DHHStabletext"/>
              <w:jc w:val="center"/>
              <w:rPr>
                <w:sz w:val="18"/>
                <w:szCs w:val="18"/>
              </w:rPr>
            </w:pPr>
            <w:r w:rsidRPr="00537C17">
              <w:rPr>
                <w:sz w:val="18"/>
                <w:szCs w:val="18"/>
              </w:rPr>
              <w:t>(1.0–1.2)</w:t>
            </w:r>
          </w:p>
        </w:tc>
      </w:tr>
      <w:tr w:rsidR="00EC39F4" w14:paraId="0627EFDB" w14:textId="77777777" w:rsidTr="003709ED">
        <w:trPr>
          <w:trHeight w:val="430"/>
        </w:trPr>
        <w:tc>
          <w:tcPr>
            <w:tcW w:w="3544" w:type="dxa"/>
            <w:shd w:val="clear" w:color="auto" w:fill="auto"/>
            <w:vAlign w:val="center"/>
          </w:tcPr>
          <w:p w14:paraId="3BEA82BE" w14:textId="74EF64AE" w:rsidR="00EC39F4" w:rsidRPr="00537C17" w:rsidRDefault="00EC39F4" w:rsidP="00537C17">
            <w:pPr>
              <w:pStyle w:val="DHHStabletext"/>
              <w:rPr>
                <w:sz w:val="18"/>
                <w:szCs w:val="18"/>
              </w:rPr>
            </w:pPr>
            <w:r w:rsidRPr="00DB763C">
              <w:rPr>
                <w:sz w:val="18"/>
                <w:szCs w:val="18"/>
              </w:rPr>
              <w:t>Quintile 5 – refer to note below Figure 5.2</w:t>
            </w:r>
          </w:p>
        </w:tc>
        <w:tc>
          <w:tcPr>
            <w:tcW w:w="1701" w:type="dxa"/>
            <w:shd w:val="clear" w:color="auto" w:fill="auto"/>
          </w:tcPr>
          <w:p w14:paraId="2EA67749" w14:textId="4402C927" w:rsidR="00EC39F4" w:rsidRPr="00537C17" w:rsidRDefault="0016639C" w:rsidP="00537C17">
            <w:pPr>
              <w:pStyle w:val="DHHStabletext"/>
              <w:jc w:val="center"/>
              <w:rPr>
                <w:sz w:val="18"/>
                <w:szCs w:val="18"/>
              </w:rPr>
            </w:pPr>
            <w:r>
              <w:rPr>
                <w:sz w:val="18"/>
                <w:szCs w:val="18"/>
              </w:rPr>
              <w:t>Ref Point</w:t>
            </w:r>
          </w:p>
        </w:tc>
        <w:tc>
          <w:tcPr>
            <w:tcW w:w="1559" w:type="dxa"/>
            <w:shd w:val="clear" w:color="auto" w:fill="auto"/>
          </w:tcPr>
          <w:p w14:paraId="433AF134" w14:textId="0ADA2A69" w:rsidR="00EC39F4" w:rsidRPr="00537C17" w:rsidRDefault="004929B2" w:rsidP="00537C17">
            <w:pPr>
              <w:pStyle w:val="DHHStabletext"/>
              <w:jc w:val="center"/>
              <w:rPr>
                <w:sz w:val="18"/>
                <w:szCs w:val="18"/>
              </w:rPr>
            </w:pPr>
            <w:r>
              <w:rPr>
                <w:sz w:val="18"/>
                <w:szCs w:val="18"/>
              </w:rPr>
              <w:t>Ref Point</w:t>
            </w:r>
          </w:p>
        </w:tc>
        <w:tc>
          <w:tcPr>
            <w:tcW w:w="1843" w:type="dxa"/>
            <w:shd w:val="clear" w:color="auto" w:fill="auto"/>
          </w:tcPr>
          <w:p w14:paraId="47442EE2" w14:textId="61F1A24E" w:rsidR="00EC39F4" w:rsidRPr="00537C17" w:rsidRDefault="004929B2" w:rsidP="00537C17">
            <w:pPr>
              <w:pStyle w:val="DHHStabletext"/>
              <w:jc w:val="center"/>
              <w:rPr>
                <w:sz w:val="18"/>
                <w:szCs w:val="18"/>
              </w:rPr>
            </w:pPr>
            <w:r>
              <w:rPr>
                <w:sz w:val="18"/>
                <w:szCs w:val="18"/>
              </w:rPr>
              <w:t>Ref Point</w:t>
            </w:r>
          </w:p>
        </w:tc>
        <w:tc>
          <w:tcPr>
            <w:tcW w:w="1985" w:type="dxa"/>
            <w:shd w:val="clear" w:color="auto" w:fill="auto"/>
          </w:tcPr>
          <w:p w14:paraId="1DC76986" w14:textId="3CC2B30A" w:rsidR="00EC39F4" w:rsidRPr="00537C17" w:rsidRDefault="004929B2" w:rsidP="00537C17">
            <w:pPr>
              <w:pStyle w:val="DHHStabletext"/>
              <w:jc w:val="center"/>
              <w:rPr>
                <w:sz w:val="18"/>
                <w:szCs w:val="18"/>
              </w:rPr>
            </w:pPr>
            <w:r>
              <w:rPr>
                <w:sz w:val="18"/>
                <w:szCs w:val="18"/>
              </w:rPr>
              <w:t>Ref Point</w:t>
            </w:r>
          </w:p>
        </w:tc>
      </w:tr>
    </w:tbl>
    <w:p w14:paraId="488FCCC9" w14:textId="4A437A5A" w:rsidR="004929B2" w:rsidRDefault="004929B2" w:rsidP="004929B2">
      <w:pPr>
        <w:pStyle w:val="DHHStablefigurenote"/>
      </w:pPr>
      <w:r>
        <w:t>Note: Ref Point</w:t>
      </w:r>
      <w:r w:rsidRPr="00215280">
        <w:t xml:space="preserve"> = the reference point </w:t>
      </w:r>
      <w:r>
        <w:t>– that</w:t>
      </w:r>
      <w:r w:rsidRPr="00215280">
        <w:t xml:space="preserve"> </w:t>
      </w:r>
      <w:r>
        <w:t xml:space="preserve">is, </w:t>
      </w:r>
      <w:r w:rsidRPr="00215280">
        <w:t xml:space="preserve">the </w:t>
      </w:r>
      <w:r>
        <w:t>SE</w:t>
      </w:r>
      <w:r w:rsidRPr="00215280">
        <w:t>S residents with the lowest premature death</w:t>
      </w:r>
      <w:r>
        <w:t xml:space="preserve"> rate</w:t>
      </w:r>
      <w:r w:rsidRPr="00215280">
        <w:t xml:space="preserve"> for that particular year</w:t>
      </w:r>
    </w:p>
    <w:p w14:paraId="3369F712" w14:textId="77777777" w:rsidR="004929B2" w:rsidRDefault="004929B2">
      <w:pPr>
        <w:rPr>
          <w:rFonts w:ascii="Arial" w:eastAsia="MS Mincho" w:hAnsi="Arial"/>
          <w:b/>
          <w:bCs/>
          <w:lang w:eastAsia="en-US"/>
        </w:rPr>
      </w:pPr>
      <w:r>
        <w:br w:type="page"/>
      </w:r>
    </w:p>
    <w:p w14:paraId="1E7B4597" w14:textId="4FB02435" w:rsidR="00665D4B" w:rsidRPr="00566B63" w:rsidRDefault="00665D4B" w:rsidP="00537C17">
      <w:pPr>
        <w:pStyle w:val="Heading4"/>
      </w:pPr>
      <w:r w:rsidRPr="00E43803">
        <w:lastRenderedPageBreak/>
        <w:t>Measure assessment</w:t>
      </w:r>
    </w:p>
    <w:p w14:paraId="33E05E9F" w14:textId="5F5D58EA" w:rsidR="00EC3B7A" w:rsidRPr="00E060C8" w:rsidRDefault="00FE5799" w:rsidP="00E060C8">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DB7AC1" w:rsidRPr="00EC3B7A">
        <w:rPr>
          <w:rFonts w:ascii="Arial" w:hAnsi="Arial" w:cs="Arial"/>
          <w:b/>
          <w:color w:val="C00000"/>
        </w:rPr>
        <w:t>Red</w:t>
      </w:r>
      <w:r w:rsidR="00EC3B7A">
        <w:rPr>
          <w:rFonts w:ascii="Arial" w:hAnsi="Arial" w:cs="Arial"/>
          <w:b/>
          <w:color w:val="C00000"/>
        </w:rPr>
        <w:t xml:space="preserve"> </w:t>
      </w:r>
      <w:r w:rsidR="00EC3B7A">
        <w:rPr>
          <w:rFonts w:ascii="Arial" w:hAnsi="Arial" w:cs="Arial"/>
          <w:color w:val="C00000"/>
        </w:rPr>
        <w:t>(result is of concern)</w:t>
      </w:r>
    </w:p>
    <w:p w14:paraId="388F599D" w14:textId="7106B8BB" w:rsidR="00FE5799" w:rsidRPr="003E5FD3" w:rsidRDefault="00FE5799"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5D4A77">
        <w:rPr>
          <w:rFonts w:ascii="Arial" w:hAnsi="Arial" w:cs="Arial"/>
        </w:rPr>
        <w:t>Static or unchanging</w:t>
      </w:r>
    </w:p>
    <w:p w14:paraId="0FB9294E" w14:textId="776687F0" w:rsidR="00A229BB" w:rsidRPr="00D043FB" w:rsidRDefault="00FE5799" w:rsidP="00E060C8">
      <w:pPr>
        <w:pStyle w:val="DHHSbody"/>
        <w:rPr>
          <w:lang w:eastAsia="en-AU"/>
        </w:rPr>
      </w:pPr>
      <w:r w:rsidRPr="001F0F45">
        <w:rPr>
          <w:lang w:eastAsia="en-AU"/>
        </w:rPr>
        <w:t xml:space="preserve">Commentary: </w:t>
      </w:r>
      <w:r w:rsidR="006852C6" w:rsidRPr="001F0F45">
        <w:rPr>
          <w:lang w:eastAsia="en-AU"/>
        </w:rPr>
        <w:t>Figure 5.2 shows that t</w:t>
      </w:r>
      <w:r w:rsidR="009B4579" w:rsidRPr="001F0F45">
        <w:rPr>
          <w:lang w:eastAsia="en-AU"/>
        </w:rPr>
        <w:t xml:space="preserve">he rate of premature death rate increases as </w:t>
      </w:r>
      <w:r w:rsidR="00DE7FFE">
        <w:rPr>
          <w:lang w:eastAsia="en-AU"/>
        </w:rPr>
        <w:t xml:space="preserve">SES </w:t>
      </w:r>
      <w:r w:rsidR="009B4579" w:rsidRPr="001F0F45">
        <w:rPr>
          <w:lang w:eastAsia="en-AU"/>
        </w:rPr>
        <w:t>declines.</w:t>
      </w:r>
      <w:r w:rsidR="00834F58" w:rsidRPr="001F0F45">
        <w:rPr>
          <w:lang w:eastAsia="en-AU"/>
        </w:rPr>
        <w:t xml:space="preserve"> For example</w:t>
      </w:r>
      <w:r w:rsidR="00504864" w:rsidRPr="001F0F45">
        <w:rPr>
          <w:lang w:eastAsia="en-AU"/>
        </w:rPr>
        <w:t>,</w:t>
      </w:r>
      <w:r w:rsidR="00834F58" w:rsidRPr="001F0F45">
        <w:rPr>
          <w:lang w:eastAsia="en-AU"/>
        </w:rPr>
        <w:t xml:space="preserve"> in the period </w:t>
      </w:r>
      <w:r w:rsidR="00761676" w:rsidRPr="001F0F45">
        <w:rPr>
          <w:lang w:eastAsia="en-AU"/>
        </w:rPr>
        <w:t>201</w:t>
      </w:r>
      <w:r w:rsidR="00DB1E30">
        <w:rPr>
          <w:lang w:eastAsia="en-AU"/>
        </w:rPr>
        <w:t>4</w:t>
      </w:r>
      <w:r w:rsidR="00BB150E">
        <w:rPr>
          <w:lang w:eastAsia="en-AU"/>
        </w:rPr>
        <w:t>–</w:t>
      </w:r>
      <w:r w:rsidR="00761676" w:rsidRPr="001F0F45">
        <w:rPr>
          <w:lang w:eastAsia="en-AU"/>
        </w:rPr>
        <w:t>2017, Victoria</w:t>
      </w:r>
      <w:r w:rsidR="00DB7AC1" w:rsidRPr="001F0F45">
        <w:rPr>
          <w:lang w:eastAsia="en-AU"/>
        </w:rPr>
        <w:t>ns</w:t>
      </w:r>
      <w:r w:rsidR="00761676" w:rsidRPr="001F0F45">
        <w:rPr>
          <w:lang w:eastAsia="en-AU"/>
        </w:rPr>
        <w:t xml:space="preserve"> who were in the most disadvantaged quintile (</w:t>
      </w:r>
      <w:r w:rsidR="000F1A1A">
        <w:rPr>
          <w:lang w:eastAsia="en-AU"/>
        </w:rPr>
        <w:t xml:space="preserve">first </w:t>
      </w:r>
      <w:r w:rsidR="00761676" w:rsidRPr="001F0F45">
        <w:rPr>
          <w:lang w:eastAsia="en-AU"/>
        </w:rPr>
        <w:t>quintile) had a premature death rate that was</w:t>
      </w:r>
      <w:r w:rsidR="00DB7AC1" w:rsidRPr="001F0F45">
        <w:rPr>
          <w:lang w:eastAsia="en-AU"/>
        </w:rPr>
        <w:t xml:space="preserve"> significantly higher than the other quintiles</w:t>
      </w:r>
      <w:r w:rsidR="00556F4C" w:rsidRPr="001F0F45">
        <w:rPr>
          <w:lang w:eastAsia="en-AU"/>
        </w:rPr>
        <w:t xml:space="preserve"> </w:t>
      </w:r>
      <w:r w:rsidR="001F0F45" w:rsidRPr="001F0F45">
        <w:rPr>
          <w:lang w:eastAsia="en-AU"/>
        </w:rPr>
        <w:t xml:space="preserve">for all the years reported </w:t>
      </w:r>
      <w:r w:rsidR="00556F4C" w:rsidRPr="001F0F45">
        <w:rPr>
          <w:lang w:eastAsia="en-AU"/>
        </w:rPr>
        <w:t>(Figure 5.2).</w:t>
      </w:r>
      <w:r w:rsidR="00952FC7">
        <w:rPr>
          <w:lang w:eastAsia="en-AU"/>
        </w:rPr>
        <w:t xml:space="preserve"> </w:t>
      </w:r>
      <w:r w:rsidR="00556F4C" w:rsidRPr="001F0F45">
        <w:rPr>
          <w:lang w:eastAsia="en-AU"/>
        </w:rPr>
        <w:t>In 2017 the</w:t>
      </w:r>
      <w:r w:rsidR="001F0F45" w:rsidRPr="001F0F45">
        <w:rPr>
          <w:lang w:eastAsia="en-AU"/>
        </w:rPr>
        <w:t xml:space="preserve"> premature death rate</w:t>
      </w:r>
      <w:r w:rsidR="00657BBD">
        <w:rPr>
          <w:lang w:eastAsia="en-AU"/>
        </w:rPr>
        <w:t xml:space="preserve"> </w:t>
      </w:r>
      <w:r w:rsidR="00DF2E40">
        <w:rPr>
          <w:lang w:eastAsia="en-AU"/>
        </w:rPr>
        <w:t xml:space="preserve">for Victorians living </w:t>
      </w:r>
      <w:r w:rsidR="00657BBD">
        <w:rPr>
          <w:lang w:eastAsia="en-AU"/>
        </w:rPr>
        <w:t>in the lo</w:t>
      </w:r>
      <w:r w:rsidR="009350A1">
        <w:rPr>
          <w:lang w:eastAsia="en-AU"/>
        </w:rPr>
        <w:t>west socioeconomic quintile (</w:t>
      </w:r>
      <w:r w:rsidR="00E1465E">
        <w:rPr>
          <w:lang w:eastAsia="en-AU"/>
        </w:rPr>
        <w:t>first quintile</w:t>
      </w:r>
      <w:r w:rsidR="009350A1">
        <w:rPr>
          <w:lang w:eastAsia="en-AU"/>
        </w:rPr>
        <w:t>)</w:t>
      </w:r>
      <w:r w:rsidR="001F0F45" w:rsidRPr="001F0F45">
        <w:rPr>
          <w:lang w:eastAsia="en-AU"/>
        </w:rPr>
        <w:t xml:space="preserve"> was 1.7 </w:t>
      </w:r>
      <w:r w:rsidR="00761676" w:rsidRPr="001F0F45">
        <w:rPr>
          <w:lang w:eastAsia="en-AU"/>
        </w:rPr>
        <w:t xml:space="preserve">times higher </w:t>
      </w:r>
      <w:r w:rsidR="005700AA">
        <w:rPr>
          <w:lang w:eastAsia="en-AU"/>
        </w:rPr>
        <w:t xml:space="preserve">compared </w:t>
      </w:r>
      <w:r w:rsidR="001B50BF">
        <w:rPr>
          <w:lang w:eastAsia="en-AU"/>
        </w:rPr>
        <w:t>with</w:t>
      </w:r>
      <w:r w:rsidR="001B50BF" w:rsidRPr="001F0F45">
        <w:rPr>
          <w:lang w:eastAsia="en-AU"/>
        </w:rPr>
        <w:t xml:space="preserve"> </w:t>
      </w:r>
      <w:r w:rsidR="00761676" w:rsidRPr="001F0F45">
        <w:rPr>
          <w:lang w:eastAsia="en-AU"/>
        </w:rPr>
        <w:t xml:space="preserve">the premature death rate for </w:t>
      </w:r>
      <w:r w:rsidR="009350A1">
        <w:rPr>
          <w:lang w:eastAsia="en-AU"/>
        </w:rPr>
        <w:t xml:space="preserve">those </w:t>
      </w:r>
      <w:r w:rsidR="00DF2E40">
        <w:rPr>
          <w:lang w:eastAsia="en-AU"/>
        </w:rPr>
        <w:t>living</w:t>
      </w:r>
      <w:r w:rsidR="009350A1">
        <w:rPr>
          <w:lang w:eastAsia="en-AU"/>
        </w:rPr>
        <w:t xml:space="preserve"> in the highest socioeconomic </w:t>
      </w:r>
      <w:r w:rsidR="00F34179">
        <w:rPr>
          <w:lang w:eastAsia="en-AU"/>
        </w:rPr>
        <w:t>areas</w:t>
      </w:r>
      <w:r w:rsidR="005700AA">
        <w:rPr>
          <w:lang w:eastAsia="en-AU"/>
        </w:rPr>
        <w:t xml:space="preserve"> (</w:t>
      </w:r>
      <w:r w:rsidR="00E1465E">
        <w:rPr>
          <w:lang w:eastAsia="en-AU"/>
        </w:rPr>
        <w:t>fifth quintile</w:t>
      </w:r>
      <w:r w:rsidR="005700AA">
        <w:rPr>
          <w:lang w:eastAsia="en-AU"/>
        </w:rPr>
        <w:t>)</w:t>
      </w:r>
      <w:r w:rsidR="00377E7A">
        <w:rPr>
          <w:lang w:eastAsia="en-AU"/>
        </w:rPr>
        <w:t xml:space="preserve"> (Table 5.2)</w:t>
      </w:r>
      <w:r w:rsidR="00761676" w:rsidRPr="001F0F45">
        <w:rPr>
          <w:lang w:eastAsia="en-AU"/>
        </w:rPr>
        <w:t>.</w:t>
      </w:r>
      <w:r w:rsidR="001F0F45">
        <w:rPr>
          <w:lang w:eastAsia="en-AU"/>
        </w:rPr>
        <w:t xml:space="preserve"> </w:t>
      </w:r>
      <w:r w:rsidR="001F0F45" w:rsidRPr="001F0F45">
        <w:rPr>
          <w:lang w:eastAsia="en-AU"/>
        </w:rPr>
        <w:t xml:space="preserve">While a target has not been set for this measure, </w:t>
      </w:r>
      <w:r w:rsidR="00A229BB">
        <w:rPr>
          <w:lang w:eastAsia="en-AU"/>
        </w:rPr>
        <w:t xml:space="preserve">the mix of cancers needs to be carefully considered </w:t>
      </w:r>
      <w:r w:rsidR="0064048B">
        <w:rPr>
          <w:lang w:eastAsia="en-AU"/>
        </w:rPr>
        <w:t>in the context of “all cancers” because of the disparities that exist in cancer survival and death (including premature death) rates between SES groups reflects the mix of cancers prevalent in each group with very different mortality/survival patterns.</w:t>
      </w:r>
      <w:r w:rsidR="00D043FB">
        <w:rPr>
          <w:lang w:eastAsia="en-AU"/>
        </w:rPr>
        <w:t xml:space="preserve">  For example, lower SES quintiles have higher rates of smoking and lung cancer with higher mortality/lower mortality rates.  This is contrary to higher SES quintiles which have higher rates of prostate cancer with higher survival rates.  Nevertheless, </w:t>
      </w:r>
      <w:r w:rsidR="001F0F45" w:rsidRPr="001F0F45">
        <w:rPr>
          <w:lang w:eastAsia="en-AU"/>
        </w:rPr>
        <w:t xml:space="preserve">studying </w:t>
      </w:r>
      <w:r w:rsidR="001F0F45" w:rsidRPr="001F0F45">
        <w:rPr>
          <w:lang w:val="en"/>
        </w:rPr>
        <w:t xml:space="preserve">the relationship between socioeconomic circumstances and premature cancer death rate </w:t>
      </w:r>
      <w:r w:rsidR="00CD763E">
        <w:rPr>
          <w:lang w:val="en"/>
        </w:rPr>
        <w:t>across</w:t>
      </w:r>
      <w:r w:rsidR="001F0F45" w:rsidRPr="001F0F45">
        <w:rPr>
          <w:lang w:val="en"/>
        </w:rPr>
        <w:t xml:space="preserve"> Victoria</w:t>
      </w:r>
      <w:r w:rsidR="001F0F45" w:rsidRPr="001F0F45">
        <w:rPr>
          <w:lang w:eastAsia="en-AU"/>
        </w:rPr>
        <w:t xml:space="preserve"> </w:t>
      </w:r>
      <w:r w:rsidR="001F0F45" w:rsidRPr="001F0F45">
        <w:rPr>
          <w:lang w:val="en"/>
        </w:rPr>
        <w:t>may identify opportunities to improve the reach and effectiveness of health improvement activities.</w:t>
      </w:r>
    </w:p>
    <w:p w14:paraId="20173FB6" w14:textId="4D72571F" w:rsidR="00864EE4" w:rsidRPr="00223D80" w:rsidRDefault="00864EE4" w:rsidP="00E060C8">
      <w:pPr>
        <w:pStyle w:val="DHHSbody"/>
        <w:rPr>
          <w:lang w:eastAsia="en-AU"/>
        </w:rPr>
      </w:pPr>
      <w:r>
        <w:rPr>
          <w:lang w:eastAsia="en-AU"/>
        </w:rPr>
        <w:br w:type="page"/>
      </w:r>
    </w:p>
    <w:p w14:paraId="2E3ED658" w14:textId="736FB8F3" w:rsidR="00E8458B" w:rsidRDefault="00E8458B" w:rsidP="00E8458B">
      <w:pPr>
        <w:pStyle w:val="Heading3"/>
        <w:rPr>
          <w:lang w:eastAsia="en-AU"/>
        </w:rPr>
      </w:pPr>
      <w:bookmarkStart w:id="323" w:name="_Measure_5.3_–"/>
      <w:bookmarkStart w:id="324" w:name="_Toc19008050"/>
      <w:bookmarkEnd w:id="323"/>
      <w:r>
        <w:rPr>
          <w:lang w:eastAsia="en-AU"/>
        </w:rPr>
        <w:lastRenderedPageBreak/>
        <w:t>Measure 5.3 – Rate ratio of premature de</w:t>
      </w:r>
      <w:r w:rsidR="005224C7">
        <w:rPr>
          <w:lang w:eastAsia="en-AU"/>
        </w:rPr>
        <w:t>ath between Aboriginal and non-</w:t>
      </w:r>
      <w:r>
        <w:rPr>
          <w:lang w:eastAsia="en-AU"/>
        </w:rPr>
        <w:t>Aboriginal Victorians</w:t>
      </w:r>
      <w:bookmarkEnd w:id="324"/>
    </w:p>
    <w:p w14:paraId="17B1559B" w14:textId="42C5615D" w:rsidR="00125C73" w:rsidRDefault="00125C73" w:rsidP="001A17B2">
      <w:pPr>
        <w:pStyle w:val="DHHSfigurecaption"/>
      </w:pPr>
      <w:bookmarkStart w:id="325" w:name="_Toc19008051"/>
      <w:bookmarkStart w:id="326" w:name="_Toc19008293"/>
      <w:bookmarkStart w:id="327" w:name="_Toc19008440"/>
      <w:bookmarkStart w:id="328" w:name="_Toc19008587"/>
      <w:bookmarkStart w:id="329" w:name="_Toc27414295"/>
      <w:r w:rsidRPr="00125C73">
        <w:t>Figure 5.3</w:t>
      </w:r>
      <w:r w:rsidR="008D2095">
        <w:t>:</w:t>
      </w:r>
      <w:r w:rsidRPr="00125C73">
        <w:t xml:space="preserve"> Rate ratio of premature death</w:t>
      </w:r>
      <w:r w:rsidR="00DD11EF">
        <w:t xml:space="preserve"> (with confidence intervals)</w:t>
      </w:r>
      <w:r w:rsidRPr="00125C73">
        <w:t xml:space="preserve"> between Aboriginal and non-</w:t>
      </w:r>
      <w:r w:rsidR="00680DD3">
        <w:t>A</w:t>
      </w:r>
      <w:r w:rsidRPr="00125C73">
        <w:t>boriginal Victorians by year, 201</w:t>
      </w:r>
      <w:r w:rsidR="009F6E6B">
        <w:t>4</w:t>
      </w:r>
      <w:r w:rsidR="008D2095">
        <w:t>–</w:t>
      </w:r>
      <w:r w:rsidRPr="00125C73">
        <w:t>2017</w:t>
      </w:r>
      <w:bookmarkEnd w:id="325"/>
      <w:bookmarkEnd w:id="326"/>
      <w:bookmarkEnd w:id="327"/>
      <w:bookmarkEnd w:id="328"/>
      <w:bookmarkEnd w:id="329"/>
    </w:p>
    <w:p w14:paraId="29350EF1" w14:textId="1839FB78" w:rsidR="00AF7B0A" w:rsidRPr="00AF7B0A" w:rsidRDefault="00AF7B0A" w:rsidP="00155792">
      <w:pPr>
        <w:pStyle w:val="DHHSbody"/>
        <w:ind w:hanging="284"/>
      </w:pPr>
      <w:r>
        <w:rPr>
          <w:noProof/>
        </w:rPr>
        <w:drawing>
          <wp:inline distT="0" distB="0" distL="0" distR="0" wp14:anchorId="1E067949" wp14:editId="2825F948">
            <wp:extent cx="6750685" cy="5130800"/>
            <wp:effectExtent l="0" t="0" r="0" b="0"/>
            <wp:docPr id="85" name="Picture 85" descr="This figure shows a summary of 'Measure 4.3 - Rate ratio of premature cancer incidence between Aboriginal and non-Aboriginal Victorians'.  The data for this figure is available in this section for the study period 2014 to 2017 - refer to Table 5.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50685" cy="5130800"/>
                    </a:xfrm>
                    <a:prstGeom prst="rect">
                      <a:avLst/>
                    </a:prstGeom>
                    <a:noFill/>
                    <a:ln>
                      <a:noFill/>
                    </a:ln>
                  </pic:spPr>
                </pic:pic>
              </a:graphicData>
            </a:graphic>
          </wp:inline>
        </w:drawing>
      </w:r>
    </w:p>
    <w:p w14:paraId="2E4149FE" w14:textId="5159F9A1" w:rsidR="00125C73" w:rsidRPr="00B053AE" w:rsidRDefault="00125C73" w:rsidP="00B053AE">
      <w:pPr>
        <w:pStyle w:val="DHHSbody"/>
        <w:jc w:val="center"/>
        <w:rPr>
          <w:b/>
          <w:lang w:eastAsia="en-AU"/>
        </w:rPr>
      </w:pPr>
    </w:p>
    <w:p w14:paraId="29BA8823" w14:textId="52D070C5" w:rsidR="00C161E8" w:rsidRDefault="00C161E8" w:rsidP="00537C17">
      <w:pPr>
        <w:pStyle w:val="DHHStablefigurenote"/>
      </w:pPr>
      <w:r>
        <w:t xml:space="preserve">Note: </w:t>
      </w:r>
      <w:r w:rsidRPr="00A475FD">
        <w:t>E</w:t>
      </w:r>
      <w:r w:rsidR="00044B95">
        <w:t>R</w:t>
      </w:r>
      <w:r>
        <w:t>P</w:t>
      </w:r>
      <w:r w:rsidRPr="00A475FD">
        <w:t xml:space="preserve"> </w:t>
      </w:r>
      <w:r>
        <w:t xml:space="preserve">files were sourced from </w:t>
      </w:r>
      <w:r w:rsidR="000F1A1A">
        <w:t xml:space="preserve">the </w:t>
      </w:r>
      <w:r>
        <w:t>ABS.</w:t>
      </w:r>
      <w:r w:rsidR="00317888">
        <w:t xml:space="preserve"> Note at the time of preparing this report, </w:t>
      </w:r>
      <w:r w:rsidR="000F1A1A" w:rsidRPr="00124A2A">
        <w:t xml:space="preserve">the ABS had not yet finalised </w:t>
      </w:r>
      <w:r w:rsidR="000F1A1A">
        <w:t xml:space="preserve">the </w:t>
      </w:r>
      <w:r w:rsidR="000F1A1A" w:rsidRPr="00124A2A">
        <w:t>2017 ERP</w:t>
      </w:r>
      <w:r w:rsidR="000F1A1A" w:rsidRPr="00317888">
        <w:t xml:space="preserve">. </w:t>
      </w:r>
      <w:r w:rsidR="00317888">
        <w:t xml:space="preserve"> The E</w:t>
      </w:r>
      <w:r w:rsidR="00044B95">
        <w:t>R</w:t>
      </w:r>
      <w:r w:rsidR="00317888">
        <w:t>P for the Non-</w:t>
      </w:r>
      <w:r w:rsidR="00DC7655">
        <w:t>A</w:t>
      </w:r>
      <w:r w:rsidR="00317888">
        <w:t xml:space="preserve">boriginal </w:t>
      </w:r>
      <w:r w:rsidR="00FB7069">
        <w:t xml:space="preserve">Victorian </w:t>
      </w:r>
      <w:r w:rsidR="00317888">
        <w:t>population was calculated by subtracting the</w:t>
      </w:r>
      <w:r w:rsidR="00BF714A">
        <w:t xml:space="preserve"> </w:t>
      </w:r>
      <w:r w:rsidR="00BF714A" w:rsidRPr="00BF714A">
        <w:rPr>
          <w:rFonts w:eastAsia="SourceSansPro-Regular"/>
          <w:lang w:eastAsia="en-AU"/>
        </w:rPr>
        <w:t>Aboriginal and Torres Strait Islander</w:t>
      </w:r>
      <w:r w:rsidR="00317888">
        <w:t xml:space="preserve"> </w:t>
      </w:r>
      <w:r w:rsidR="00317888" w:rsidRPr="005A0F87">
        <w:rPr>
          <w:b/>
        </w:rPr>
        <w:t>projected</w:t>
      </w:r>
      <w:r w:rsidR="00317888">
        <w:t xml:space="preserve"> population from the total ERP.</w:t>
      </w:r>
    </w:p>
    <w:p w14:paraId="2AB9C6A1" w14:textId="48CA6964" w:rsidR="00AF7B0A" w:rsidRPr="00461622" w:rsidRDefault="00AF7B0A" w:rsidP="00537C17">
      <w:pPr>
        <w:pStyle w:val="DHHStablefigurenote"/>
      </w:pPr>
      <w:r>
        <w:t>These rate ratios are calculated as the Aboriginal and Torres Strait Islander adjusted incidence rate compared to non- Aboriginal and Torres Strait Islander adjusted rate for each year. A rate ratio greater than one indicates a higher incidence rate for Aboriginal and Torres Strait Islander individuals than non-</w:t>
      </w:r>
      <w:r w:rsidRPr="00AF7B0A">
        <w:t xml:space="preserve"> </w:t>
      </w:r>
      <w:r>
        <w:t>Aboriginal and Torres Strait Islander individuals.</w:t>
      </w:r>
      <w:r w:rsidR="00155792">
        <w:t xml:space="preserve"> A rate of 1.0 indicates no difference.</w:t>
      </w:r>
    </w:p>
    <w:p w14:paraId="1A15B19A" w14:textId="4F418708" w:rsidR="00D0270C" w:rsidRPr="00164257" w:rsidRDefault="00D0270C" w:rsidP="008C38C6">
      <w:pPr>
        <w:pStyle w:val="DHHStablecaption"/>
      </w:pPr>
      <w:bookmarkStart w:id="330" w:name="_Toc18908726"/>
      <w:bookmarkStart w:id="331" w:name="_Toc27414405"/>
      <w:r w:rsidRPr="00164257">
        <w:t>Table 5.3</w:t>
      </w:r>
      <w:r w:rsidR="008D2095">
        <w:t>:</w:t>
      </w:r>
      <w:r w:rsidRPr="00164257">
        <w:t xml:space="preserve"> </w:t>
      </w:r>
      <w:r w:rsidR="00164257" w:rsidRPr="00164257">
        <w:t>Rate ratio of premature death</w:t>
      </w:r>
      <w:r w:rsidR="00286B20">
        <w:t xml:space="preserve"> (with confidence intervals)</w:t>
      </w:r>
      <w:r w:rsidR="00164257" w:rsidRPr="00164257">
        <w:t xml:space="preserve"> between Aboriginal and non-</w:t>
      </w:r>
      <w:r w:rsidR="00DC7655">
        <w:t>A</w:t>
      </w:r>
      <w:r w:rsidR="00164257" w:rsidRPr="00164257">
        <w:t>boriginal Victorians</w:t>
      </w:r>
      <w:r w:rsidR="000F1A1A">
        <w:t>,</w:t>
      </w:r>
      <w:r w:rsidR="00164257" w:rsidRPr="00164257">
        <w:t xml:space="preserve"> by year, 201</w:t>
      </w:r>
      <w:r w:rsidR="00362174">
        <w:t>4</w:t>
      </w:r>
      <w:r w:rsidR="008D2095">
        <w:t>–</w:t>
      </w:r>
      <w:r w:rsidR="00164257" w:rsidRPr="00164257">
        <w:t>2017</w:t>
      </w:r>
      <w:bookmarkEnd w:id="330"/>
      <w:bookmarkEnd w:id="331"/>
    </w:p>
    <w:tbl>
      <w:tblPr>
        <w:tblpPr w:leftFromText="180" w:rightFromText="180" w:vertAnchor="text" w:horzAnchor="margin" w:tblpY="145"/>
        <w:tblW w:w="10158" w:type="dxa"/>
        <w:tblBorders>
          <w:bottom w:val="single" w:sz="4" w:space="0" w:color="C00000"/>
          <w:insideH w:val="single" w:sz="4" w:space="0" w:color="C00000"/>
        </w:tblBorders>
        <w:shd w:val="clear" w:color="auto" w:fill="EDCDCF"/>
        <w:tblLook w:val="04A0" w:firstRow="1" w:lastRow="0" w:firstColumn="1" w:lastColumn="0" w:noHBand="0" w:noVBand="1"/>
      </w:tblPr>
      <w:tblGrid>
        <w:gridCol w:w="2135"/>
        <w:gridCol w:w="1787"/>
        <w:gridCol w:w="2008"/>
        <w:gridCol w:w="2082"/>
        <w:gridCol w:w="2146"/>
      </w:tblGrid>
      <w:tr w:rsidR="00B053AE" w:rsidRPr="0069114D" w14:paraId="45D81F87" w14:textId="15678B97" w:rsidTr="00026018">
        <w:trPr>
          <w:trHeight w:val="221"/>
        </w:trPr>
        <w:tc>
          <w:tcPr>
            <w:tcW w:w="2135" w:type="dxa"/>
            <w:shd w:val="clear" w:color="auto" w:fill="EDCDCF"/>
          </w:tcPr>
          <w:p w14:paraId="197889FB" w14:textId="196E1DFF" w:rsidR="00B053AE" w:rsidRPr="00B91C4A" w:rsidRDefault="00B053AE" w:rsidP="00026018">
            <w:pPr>
              <w:pStyle w:val="DHHStablecolhead"/>
            </w:pPr>
            <w:r w:rsidRPr="00B91C4A">
              <w:t>Year</w:t>
            </w:r>
          </w:p>
        </w:tc>
        <w:tc>
          <w:tcPr>
            <w:tcW w:w="1787" w:type="dxa"/>
            <w:shd w:val="clear" w:color="auto" w:fill="EDCDCF"/>
            <w:vAlign w:val="center"/>
          </w:tcPr>
          <w:p w14:paraId="6BF0D936" w14:textId="77777777" w:rsidR="00B053AE" w:rsidRPr="00B91C4A" w:rsidRDefault="00B053AE" w:rsidP="00026018">
            <w:pPr>
              <w:pStyle w:val="DHHStablecolhead"/>
            </w:pPr>
            <w:r w:rsidRPr="00B91C4A">
              <w:t>2014</w:t>
            </w:r>
          </w:p>
        </w:tc>
        <w:tc>
          <w:tcPr>
            <w:tcW w:w="2008" w:type="dxa"/>
            <w:shd w:val="clear" w:color="auto" w:fill="EDCDCF"/>
            <w:vAlign w:val="center"/>
          </w:tcPr>
          <w:p w14:paraId="11C9DF30" w14:textId="77777777" w:rsidR="00B053AE" w:rsidRPr="00B91C4A" w:rsidRDefault="00B053AE" w:rsidP="00026018">
            <w:pPr>
              <w:pStyle w:val="DHHStablecolhead"/>
            </w:pPr>
            <w:r w:rsidRPr="00B91C4A">
              <w:t>2015</w:t>
            </w:r>
          </w:p>
        </w:tc>
        <w:tc>
          <w:tcPr>
            <w:tcW w:w="2082" w:type="dxa"/>
            <w:shd w:val="clear" w:color="auto" w:fill="EDCDCF"/>
            <w:vAlign w:val="center"/>
          </w:tcPr>
          <w:p w14:paraId="0883DD94" w14:textId="77777777" w:rsidR="00B053AE" w:rsidRPr="00B91C4A" w:rsidRDefault="00B053AE" w:rsidP="00026018">
            <w:pPr>
              <w:pStyle w:val="DHHStablecolhead"/>
            </w:pPr>
            <w:r w:rsidRPr="00B91C4A">
              <w:t>2016</w:t>
            </w:r>
          </w:p>
        </w:tc>
        <w:tc>
          <w:tcPr>
            <w:tcW w:w="2146" w:type="dxa"/>
            <w:shd w:val="clear" w:color="auto" w:fill="EDCDCF"/>
          </w:tcPr>
          <w:p w14:paraId="4062D102" w14:textId="60D476C2" w:rsidR="00B053AE" w:rsidRPr="00B91C4A" w:rsidRDefault="00B053AE" w:rsidP="00026018">
            <w:pPr>
              <w:pStyle w:val="DHHStablecolhead"/>
            </w:pPr>
            <w:r w:rsidRPr="00B91C4A">
              <w:t>2017</w:t>
            </w:r>
          </w:p>
        </w:tc>
      </w:tr>
      <w:tr w:rsidR="00C05400" w:rsidRPr="0069114D" w14:paraId="7E902F1D" w14:textId="77777777" w:rsidTr="00026018">
        <w:trPr>
          <w:trHeight w:val="259"/>
        </w:trPr>
        <w:tc>
          <w:tcPr>
            <w:tcW w:w="2135" w:type="dxa"/>
            <w:shd w:val="clear" w:color="auto" w:fill="auto"/>
            <w:vAlign w:val="center"/>
          </w:tcPr>
          <w:p w14:paraId="3B8214C5" w14:textId="7FED42B7" w:rsidR="00C05400" w:rsidRDefault="00C05400" w:rsidP="00026018">
            <w:pPr>
              <w:pStyle w:val="DHHStabletext"/>
            </w:pPr>
            <w:r>
              <w:t>Result</w:t>
            </w:r>
          </w:p>
        </w:tc>
        <w:tc>
          <w:tcPr>
            <w:tcW w:w="1787" w:type="dxa"/>
            <w:shd w:val="clear" w:color="auto" w:fill="auto"/>
            <w:vAlign w:val="center"/>
          </w:tcPr>
          <w:p w14:paraId="08639415" w14:textId="5F77841F" w:rsidR="00C05400" w:rsidRDefault="00C05400" w:rsidP="00026018">
            <w:pPr>
              <w:pStyle w:val="DHHStabletext"/>
            </w:pPr>
            <w:r>
              <w:t>3.0</w:t>
            </w:r>
          </w:p>
        </w:tc>
        <w:tc>
          <w:tcPr>
            <w:tcW w:w="2008" w:type="dxa"/>
            <w:shd w:val="clear" w:color="auto" w:fill="auto"/>
            <w:vAlign w:val="center"/>
          </w:tcPr>
          <w:p w14:paraId="6F349AEE" w14:textId="26C7F10F" w:rsidR="00C05400" w:rsidRDefault="00C05400" w:rsidP="00026018">
            <w:pPr>
              <w:pStyle w:val="DHHStabletext"/>
            </w:pPr>
            <w:r>
              <w:t>2.6</w:t>
            </w:r>
          </w:p>
        </w:tc>
        <w:tc>
          <w:tcPr>
            <w:tcW w:w="2082" w:type="dxa"/>
            <w:shd w:val="clear" w:color="auto" w:fill="auto"/>
            <w:vAlign w:val="center"/>
          </w:tcPr>
          <w:p w14:paraId="50288A3B" w14:textId="2376FCAB" w:rsidR="00C05400" w:rsidRDefault="00C05400" w:rsidP="00026018">
            <w:pPr>
              <w:pStyle w:val="DHHStabletext"/>
            </w:pPr>
            <w:r>
              <w:t>3.8</w:t>
            </w:r>
          </w:p>
        </w:tc>
        <w:tc>
          <w:tcPr>
            <w:tcW w:w="2146" w:type="dxa"/>
            <w:shd w:val="clear" w:color="auto" w:fill="auto"/>
            <w:vAlign w:val="center"/>
          </w:tcPr>
          <w:p w14:paraId="3E4BD752" w14:textId="2C1E5A32" w:rsidR="00C05400" w:rsidRDefault="00C05400" w:rsidP="00026018">
            <w:pPr>
              <w:pStyle w:val="DHHStabletext"/>
            </w:pPr>
            <w:r>
              <w:t>3.1</w:t>
            </w:r>
          </w:p>
        </w:tc>
      </w:tr>
      <w:tr w:rsidR="00B053AE" w:rsidRPr="0069114D" w14:paraId="544B4853" w14:textId="29F91990" w:rsidTr="00026018">
        <w:trPr>
          <w:trHeight w:val="263"/>
        </w:trPr>
        <w:tc>
          <w:tcPr>
            <w:tcW w:w="2135" w:type="dxa"/>
            <w:shd w:val="clear" w:color="auto" w:fill="auto"/>
            <w:vAlign w:val="center"/>
          </w:tcPr>
          <w:p w14:paraId="2A0FAF4F" w14:textId="44AB36DA" w:rsidR="00B053AE" w:rsidRPr="00EE586A" w:rsidRDefault="00B053AE" w:rsidP="00026018">
            <w:pPr>
              <w:pStyle w:val="DHHStabletext"/>
            </w:pPr>
            <w:r>
              <w:t>(95% CI)</w:t>
            </w:r>
          </w:p>
        </w:tc>
        <w:tc>
          <w:tcPr>
            <w:tcW w:w="1787" w:type="dxa"/>
            <w:shd w:val="clear" w:color="auto" w:fill="auto"/>
            <w:vAlign w:val="center"/>
          </w:tcPr>
          <w:p w14:paraId="488538C8" w14:textId="7ED4BE06" w:rsidR="00B053AE" w:rsidRPr="0069114D" w:rsidRDefault="00B053AE" w:rsidP="00026018">
            <w:pPr>
              <w:pStyle w:val="DHHStabletext"/>
            </w:pPr>
            <w:r>
              <w:t>(2.8–3.3)</w:t>
            </w:r>
          </w:p>
        </w:tc>
        <w:tc>
          <w:tcPr>
            <w:tcW w:w="2008" w:type="dxa"/>
            <w:shd w:val="clear" w:color="auto" w:fill="auto"/>
            <w:vAlign w:val="center"/>
          </w:tcPr>
          <w:p w14:paraId="39E03237" w14:textId="64BE12D1" w:rsidR="00B053AE" w:rsidRPr="0069114D" w:rsidRDefault="00B053AE" w:rsidP="00026018">
            <w:pPr>
              <w:pStyle w:val="DHHStabletext"/>
            </w:pPr>
            <w:r>
              <w:t>(2.3–2.9)</w:t>
            </w:r>
          </w:p>
        </w:tc>
        <w:tc>
          <w:tcPr>
            <w:tcW w:w="2082" w:type="dxa"/>
            <w:shd w:val="clear" w:color="auto" w:fill="auto"/>
            <w:vAlign w:val="center"/>
          </w:tcPr>
          <w:p w14:paraId="68F32E7C" w14:textId="6320D1BE" w:rsidR="00B053AE" w:rsidRPr="0069114D" w:rsidRDefault="00B053AE" w:rsidP="00026018">
            <w:pPr>
              <w:pStyle w:val="DHHStabletext"/>
            </w:pPr>
            <w:r>
              <w:t>(3.6–4.1)</w:t>
            </w:r>
          </w:p>
        </w:tc>
        <w:tc>
          <w:tcPr>
            <w:tcW w:w="2146" w:type="dxa"/>
            <w:shd w:val="clear" w:color="auto" w:fill="auto"/>
            <w:vAlign w:val="center"/>
          </w:tcPr>
          <w:p w14:paraId="54566900" w14:textId="1E811881" w:rsidR="00B053AE" w:rsidRPr="0069114D" w:rsidRDefault="00B053AE" w:rsidP="00026018">
            <w:pPr>
              <w:pStyle w:val="DHHStabletext"/>
            </w:pPr>
            <w:r>
              <w:t>(2.9–3.4)</w:t>
            </w:r>
          </w:p>
        </w:tc>
      </w:tr>
    </w:tbl>
    <w:p w14:paraId="54E35980" w14:textId="508A0ACF" w:rsidR="00665D4B" w:rsidRPr="00E060C8" w:rsidRDefault="00665D4B" w:rsidP="00E060C8">
      <w:pPr>
        <w:pStyle w:val="Heading4"/>
        <w:spacing w:before="0" w:line="270" w:lineRule="atLeast"/>
      </w:pPr>
      <w:r w:rsidRPr="00E43803">
        <w:lastRenderedPageBreak/>
        <w:t>Measure assessment</w:t>
      </w:r>
    </w:p>
    <w:p w14:paraId="3080FDC1" w14:textId="66AB872A" w:rsidR="00FE5799" w:rsidRPr="00E060C8" w:rsidRDefault="00FE5799" w:rsidP="00E060C8">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DF4430" w:rsidRPr="00320DEB">
        <w:rPr>
          <w:rFonts w:ascii="Arial" w:hAnsi="Arial" w:cs="Arial"/>
          <w:b/>
          <w:color w:val="C00000"/>
        </w:rPr>
        <w:t>Red</w:t>
      </w:r>
      <w:r w:rsidR="00320DEB">
        <w:rPr>
          <w:rFonts w:ascii="Arial" w:hAnsi="Arial" w:cs="Arial"/>
          <w:b/>
          <w:color w:val="C00000"/>
        </w:rPr>
        <w:t xml:space="preserve"> </w:t>
      </w:r>
      <w:r w:rsidR="00320DEB">
        <w:rPr>
          <w:rFonts w:ascii="Arial" w:hAnsi="Arial" w:cs="Arial"/>
          <w:color w:val="C00000"/>
        </w:rPr>
        <w:t>(result is of concern)</w:t>
      </w:r>
    </w:p>
    <w:p w14:paraId="3C69FDD1" w14:textId="5D6D3F61" w:rsidR="00FE5799" w:rsidRPr="003E5FD3" w:rsidRDefault="00FE5799" w:rsidP="00E060C8">
      <w:pPr>
        <w:autoSpaceDE w:val="0"/>
        <w:autoSpaceDN w:val="0"/>
        <w:adjustRightInd w:val="0"/>
        <w:spacing w:after="120" w:line="270" w:lineRule="atLeast"/>
        <w:rPr>
          <w:rFonts w:ascii="Arial" w:hAnsi="Arial" w:cs="Arial"/>
        </w:rPr>
      </w:pPr>
      <w:r w:rsidRPr="00C15AE4">
        <w:rPr>
          <w:rFonts w:ascii="Arial" w:hAnsi="Arial" w:cs="Arial"/>
        </w:rPr>
        <w:t xml:space="preserve">Overall trend: </w:t>
      </w:r>
      <w:r w:rsidR="00DF4430">
        <w:rPr>
          <w:rFonts w:ascii="Arial" w:hAnsi="Arial" w:cs="Arial"/>
        </w:rPr>
        <w:t>Moving in the wrong direction</w:t>
      </w:r>
    </w:p>
    <w:p w14:paraId="2DAFE8DB" w14:textId="0CDA617E" w:rsidR="00CC52BE" w:rsidRPr="00215497" w:rsidRDefault="00FE5799" w:rsidP="00E060C8">
      <w:pPr>
        <w:pStyle w:val="DHHSbody"/>
        <w:rPr>
          <w:rStyle w:val="Heading1Char"/>
        </w:rPr>
      </w:pPr>
      <w:r w:rsidRPr="00657C18">
        <w:rPr>
          <w:lang w:eastAsia="en-AU"/>
        </w:rPr>
        <w:t xml:space="preserve">Commentary: </w:t>
      </w:r>
      <w:r w:rsidR="00DF4430">
        <w:rPr>
          <w:lang w:eastAsia="en-AU"/>
        </w:rPr>
        <w:t>In 201</w:t>
      </w:r>
      <w:r w:rsidR="00704F79">
        <w:rPr>
          <w:lang w:eastAsia="en-AU"/>
        </w:rPr>
        <w:t>6</w:t>
      </w:r>
      <w:r w:rsidR="00680DD3">
        <w:rPr>
          <w:lang w:eastAsia="en-AU"/>
        </w:rPr>
        <w:t>,</w:t>
      </w:r>
      <w:r w:rsidR="00DF4430">
        <w:rPr>
          <w:lang w:eastAsia="en-AU"/>
        </w:rPr>
        <w:t xml:space="preserve"> Aboriginal Victorians had a premature death rate that was almost four times higher </w:t>
      </w:r>
      <w:r w:rsidR="00704F79">
        <w:rPr>
          <w:lang w:eastAsia="en-AU"/>
        </w:rPr>
        <w:t xml:space="preserve">(3.8) </w:t>
      </w:r>
      <w:r w:rsidR="00DF4430">
        <w:rPr>
          <w:lang w:eastAsia="en-AU"/>
        </w:rPr>
        <w:t xml:space="preserve">than non-Aboriginal Victorians </w:t>
      </w:r>
      <w:r w:rsidR="00704F79">
        <w:rPr>
          <w:lang w:eastAsia="en-AU"/>
        </w:rPr>
        <w:t>but decreased in 2017 to 3.1</w:t>
      </w:r>
      <w:r w:rsidR="00164257">
        <w:rPr>
          <w:lang w:eastAsia="en-AU"/>
        </w:rPr>
        <w:t xml:space="preserve"> (Figure 5.3 and Table 5.3)</w:t>
      </w:r>
      <w:r w:rsidR="00704F79">
        <w:rPr>
          <w:lang w:eastAsia="en-AU"/>
        </w:rPr>
        <w:t>.</w:t>
      </w:r>
      <w:r w:rsidR="00952FC7">
        <w:rPr>
          <w:lang w:eastAsia="en-AU"/>
        </w:rPr>
        <w:t xml:space="preserve"> </w:t>
      </w:r>
      <w:r w:rsidR="009E57CD">
        <w:rPr>
          <w:lang w:eastAsia="en-AU"/>
        </w:rPr>
        <w:t>This trend is consistent with national reporting</w:t>
      </w:r>
      <w:r w:rsidR="000F1A1A">
        <w:rPr>
          <w:lang w:eastAsia="en-AU"/>
        </w:rPr>
        <w:t>,</w:t>
      </w:r>
      <w:r w:rsidR="009E57CD">
        <w:rPr>
          <w:lang w:eastAsia="en-AU"/>
        </w:rPr>
        <w:t xml:space="preserve"> which has shown that</w:t>
      </w:r>
      <w:r w:rsidR="00A229BB">
        <w:rPr>
          <w:lang w:eastAsia="en-AU"/>
        </w:rPr>
        <w:t xml:space="preserve"> </w:t>
      </w:r>
      <w:r w:rsidR="00A229BB">
        <w:t xml:space="preserve">Aboriginal and Torres Strait Islander </w:t>
      </w:r>
      <w:r w:rsidR="004B3A5B">
        <w:t xml:space="preserve">Australians have a higher </w:t>
      </w:r>
      <w:r w:rsidR="009E57CD">
        <w:t xml:space="preserve">premature cancer death rate attributable to </w:t>
      </w:r>
      <w:r w:rsidR="004B3A5B">
        <w:t xml:space="preserve">screen-detectable and preventable cancers and </w:t>
      </w:r>
      <w:r w:rsidR="009E57CD">
        <w:t>cancer</w:t>
      </w:r>
      <w:r w:rsidR="000F1A1A">
        <w:t>s that</w:t>
      </w:r>
      <w:r w:rsidR="009E57CD">
        <w:t xml:space="preserve"> </w:t>
      </w:r>
      <w:r w:rsidR="004B3A5B">
        <w:t>are diagnosed at more advanced stages, and often with more complex comorbidities</w:t>
      </w:r>
      <w:r w:rsidR="000F1A1A">
        <w:t>.</w:t>
      </w:r>
      <w:r w:rsidR="009E57CD">
        <w:rPr>
          <w:rStyle w:val="FootnoteReference"/>
        </w:rPr>
        <w:footnoteReference w:id="46"/>
      </w:r>
      <w:r w:rsidR="004B3A5B">
        <w:t xml:space="preserve"> Compared with non-Indigenous Australians diagnosed with the same cancer, Indigenous Australians are </w:t>
      </w:r>
      <w:r w:rsidR="001F5BB6">
        <w:t xml:space="preserve">more likely to be </w:t>
      </w:r>
      <w:r w:rsidR="004B3A5B">
        <w:t xml:space="preserve">doubly disadvantaged </w:t>
      </w:r>
      <w:r w:rsidR="003435C8">
        <w:t xml:space="preserve">and therefore result in poorer health outcomes such as a higher premature death rate </w:t>
      </w:r>
      <w:r w:rsidR="004B3A5B">
        <w:t>because they are usually diagnosed later with more advanced disease, are less likely to have treatment, and often wait longer for surgery than non-Indigenous patients</w:t>
      </w:r>
      <w:r w:rsidR="00100B26">
        <w:t>.</w:t>
      </w:r>
      <w:r w:rsidR="003435C8">
        <w:rPr>
          <w:rStyle w:val="FootnoteReference"/>
        </w:rPr>
        <w:footnoteReference w:id="47"/>
      </w:r>
      <w:r w:rsidR="004B3A5B">
        <w:t xml:space="preserve"> </w:t>
      </w:r>
      <w:r w:rsidR="00CC52BE" w:rsidRPr="009F7530">
        <w:rPr>
          <w:lang w:eastAsia="en-AU"/>
        </w:rPr>
        <w:br w:type="page"/>
      </w:r>
      <w:r w:rsidR="00CC52BE" w:rsidRPr="00215497">
        <w:rPr>
          <w:rStyle w:val="Heading1Char"/>
        </w:rPr>
        <w:lastRenderedPageBreak/>
        <w:t>Outcome: Prevent cancers</w:t>
      </w:r>
    </w:p>
    <w:p w14:paraId="5084EB4E" w14:textId="47AD3446" w:rsidR="00862A10" w:rsidRPr="005F0940" w:rsidRDefault="00862A10" w:rsidP="006053E7">
      <w:pPr>
        <w:pStyle w:val="Heading2"/>
      </w:pPr>
      <w:bookmarkStart w:id="332" w:name="_Toc19008052"/>
      <w:bookmarkStart w:id="333" w:name="_Toc33457071"/>
      <w:r w:rsidRPr="005F0940">
        <w:t>Key result:</w:t>
      </w:r>
      <w:r w:rsidR="00C9473B" w:rsidRPr="005F0940">
        <w:t xml:space="preserve"> Decrease smoking and harmful alcohol consumption</w:t>
      </w:r>
      <w:bookmarkEnd w:id="332"/>
      <w:bookmarkEnd w:id="333"/>
    </w:p>
    <w:p w14:paraId="1643EFB2" w14:textId="695566CD" w:rsidR="00C9473B" w:rsidRDefault="00C9473B" w:rsidP="00C9473B">
      <w:pPr>
        <w:pStyle w:val="Heading3"/>
        <w:rPr>
          <w:lang w:eastAsia="en-AU"/>
        </w:rPr>
      </w:pPr>
      <w:bookmarkStart w:id="334" w:name="_Measure_6.1_–"/>
      <w:bookmarkStart w:id="335" w:name="_Toc19008053"/>
      <w:bookmarkStart w:id="336" w:name="_Hlk1049372"/>
      <w:bookmarkEnd w:id="334"/>
      <w:r>
        <w:rPr>
          <w:lang w:eastAsia="en-AU"/>
        </w:rPr>
        <w:t>Measure 6.1 – Proportion of adults who smoke daily</w:t>
      </w:r>
      <w:bookmarkEnd w:id="335"/>
    </w:p>
    <w:p w14:paraId="474F49C5" w14:textId="7ADD184E" w:rsidR="000472BF" w:rsidRDefault="007F5226" w:rsidP="001A17B2">
      <w:pPr>
        <w:pStyle w:val="DHHSfigurecaption"/>
      </w:pPr>
      <w:bookmarkStart w:id="337" w:name="_Toc19008054"/>
      <w:bookmarkStart w:id="338" w:name="_Toc19008294"/>
      <w:bookmarkStart w:id="339" w:name="_Toc19008441"/>
      <w:bookmarkStart w:id="340" w:name="_Toc19008588"/>
      <w:bookmarkStart w:id="341" w:name="_Toc27414296"/>
      <w:bookmarkEnd w:id="336"/>
      <w:r w:rsidRPr="00016061">
        <w:t>Figure 6.1</w:t>
      </w:r>
      <w:r w:rsidR="008D2095">
        <w:t>:</w:t>
      </w:r>
      <w:r w:rsidRPr="00016061">
        <w:t xml:space="preserve"> OECD</w:t>
      </w:r>
      <w:r w:rsidR="00BB2A56">
        <w:t xml:space="preserve"> </w:t>
      </w:r>
      <w:r w:rsidR="008E264C">
        <w:t>a</w:t>
      </w:r>
      <w:r w:rsidRPr="00016061">
        <w:t>dult population smoking daily</w:t>
      </w:r>
      <w:r w:rsidR="0034099C">
        <w:t>,</w:t>
      </w:r>
      <w:r w:rsidRPr="00016061">
        <w:t xml:space="preserve"> by gender, 2015 (or nearest year)</w:t>
      </w:r>
      <w:r w:rsidR="003F48C9">
        <w:rPr>
          <w:rStyle w:val="FootnoteReference"/>
          <w:b w:val="0"/>
          <w:lang w:eastAsia="en-AU"/>
        </w:rPr>
        <w:footnoteReference w:id="48"/>
      </w:r>
      <w:bookmarkEnd w:id="337"/>
      <w:bookmarkEnd w:id="338"/>
      <w:bookmarkEnd w:id="339"/>
      <w:bookmarkEnd w:id="340"/>
      <w:bookmarkEnd w:id="341"/>
    </w:p>
    <w:p w14:paraId="1D9D23E5" w14:textId="63723DCC" w:rsidR="0034099C" w:rsidRDefault="00AA1BCF" w:rsidP="00BC453C">
      <w:pPr>
        <w:pStyle w:val="DHHSbody"/>
        <w:ind w:left="284" w:hanging="284"/>
      </w:pPr>
      <w:r>
        <w:rPr>
          <w:noProof/>
        </w:rPr>
        <w:drawing>
          <wp:inline distT="0" distB="0" distL="0" distR="0" wp14:anchorId="76561E38" wp14:editId="76D54D13">
            <wp:extent cx="6743065" cy="3474720"/>
            <wp:effectExtent l="0" t="0" r="635" b="0"/>
            <wp:docPr id="320" name="Picture 320" descr="This figure shows the proportion of adult population of OECD countries who smoke daily by gender for 2015.  The data is available from the OECD website: https://doi.org/10.1787/health_glance-2017-graph31-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743065" cy="3474720"/>
                    </a:xfrm>
                    <a:prstGeom prst="rect">
                      <a:avLst/>
                    </a:prstGeom>
                    <a:noFill/>
                  </pic:spPr>
                </pic:pic>
              </a:graphicData>
            </a:graphic>
          </wp:inline>
        </w:drawing>
      </w:r>
    </w:p>
    <w:p w14:paraId="673EB0C0" w14:textId="2CE9BA4F" w:rsidR="0034099C" w:rsidRDefault="003F48C9" w:rsidP="002B7E54">
      <w:pPr>
        <w:pStyle w:val="DHHStablefigurenote"/>
      </w:pPr>
      <w:r w:rsidRPr="00916EB0">
        <w:t xml:space="preserve">Source: </w:t>
      </w:r>
      <w:r w:rsidR="00BB7639" w:rsidRPr="00BB7639">
        <w:t>OECD (2019), Daily smokers (indicator). doi: 10.1787/1ff488c2-en</w:t>
      </w:r>
      <w:r w:rsidR="0034099C">
        <w:t>.</w:t>
      </w:r>
      <w:r w:rsidR="00BB7639" w:rsidRPr="00BB7639">
        <w:t xml:space="preserve"> </w:t>
      </w:r>
    </w:p>
    <w:p w14:paraId="47CDD6B2" w14:textId="0A8D7537" w:rsidR="005554BD" w:rsidRDefault="007F39BE" w:rsidP="002B7E54">
      <w:pPr>
        <w:pStyle w:val="DHHStablefigurenote"/>
      </w:pPr>
      <w:r>
        <w:t>OCED 34 = the average o</w:t>
      </w:r>
      <w:r w:rsidR="00BF4243">
        <w:t>f</w:t>
      </w:r>
      <w:r>
        <w:t xml:space="preserve"> 34 OECD countries</w:t>
      </w:r>
      <w:r w:rsidR="005E5FCA">
        <w:t xml:space="preserve">; Australia is highlighted in </w:t>
      </w:r>
      <w:r w:rsidR="005E5FCA" w:rsidRPr="005822A8">
        <w:rPr>
          <w:color w:val="AF272F" w:themeColor="accent1"/>
        </w:rPr>
        <w:t>red</w:t>
      </w:r>
    </w:p>
    <w:p w14:paraId="31C19CBA" w14:textId="5D9A3460" w:rsidR="005A4ADB" w:rsidRPr="001A17B2" w:rsidRDefault="00DD60BB" w:rsidP="001A17B2">
      <w:pPr>
        <w:pStyle w:val="DHHStablefigurenote"/>
      </w:pPr>
      <w:r w:rsidRPr="00DD60BB">
        <w:t xml:space="preserve">Note </w:t>
      </w:r>
      <w:r>
        <w:t xml:space="preserve">that the proportion </w:t>
      </w:r>
      <w:r w:rsidRPr="00DD60BB">
        <w:t>of daily smokers is defined as the</w:t>
      </w:r>
      <w:r>
        <w:t xml:space="preserve"> </w:t>
      </w:r>
      <w:r w:rsidRPr="00DD60BB">
        <w:t xml:space="preserve">percentage of the population aged 15 years </w:t>
      </w:r>
      <w:r w:rsidR="001B50BF">
        <w:t>or older</w:t>
      </w:r>
      <w:r>
        <w:t xml:space="preserve"> </w:t>
      </w:r>
      <w:r w:rsidRPr="00DD60BB">
        <w:t>who</w:t>
      </w:r>
      <w:r w:rsidR="001D6235">
        <w:t xml:space="preserve"> </w:t>
      </w:r>
      <w:r w:rsidR="0095368F">
        <w:t>self</w:t>
      </w:r>
      <w:r w:rsidR="0095368F" w:rsidRPr="00DD60BB">
        <w:t>-report</w:t>
      </w:r>
      <w:r w:rsidRPr="00DD60BB">
        <w:t xml:space="preserve"> tobacco smoking </w:t>
      </w:r>
      <w:r w:rsidR="00243D27">
        <w:t>daily</w:t>
      </w:r>
      <w:r w:rsidR="00F070FE">
        <w:t>.</w:t>
      </w:r>
      <w:r w:rsidR="00952FC7">
        <w:t xml:space="preserve"> </w:t>
      </w:r>
      <w:bookmarkStart w:id="342" w:name="_Hlk1049484"/>
    </w:p>
    <w:p w14:paraId="555FF88A" w14:textId="58E2727E" w:rsidR="005554BD" w:rsidRDefault="00602BF3" w:rsidP="001A17B2">
      <w:pPr>
        <w:pStyle w:val="DHHSfigurecaption"/>
      </w:pPr>
      <w:bookmarkStart w:id="343" w:name="_Toc19008055"/>
      <w:bookmarkStart w:id="344" w:name="_Toc19008295"/>
      <w:bookmarkStart w:id="345" w:name="_Toc19008442"/>
      <w:bookmarkStart w:id="346" w:name="_Toc19008589"/>
      <w:bookmarkStart w:id="347" w:name="_Toc27414297"/>
      <w:r>
        <w:lastRenderedPageBreak/>
        <w:t>Figure 6.1</w:t>
      </w:r>
      <w:r w:rsidR="007F5226">
        <w:t>.1</w:t>
      </w:r>
      <w:r w:rsidR="008D2095">
        <w:t>:</w:t>
      </w:r>
      <w:r>
        <w:t xml:space="preserve"> </w:t>
      </w:r>
      <w:r w:rsidR="005554BD" w:rsidRPr="005554BD">
        <w:t xml:space="preserve">Proportion of </w:t>
      </w:r>
      <w:r w:rsidR="00A70B4C">
        <w:t xml:space="preserve">Australian </w:t>
      </w:r>
      <w:r w:rsidR="005554BD" w:rsidRPr="005554BD">
        <w:t>adults (aged 18 y</w:t>
      </w:r>
      <w:r w:rsidR="00E9274F">
        <w:t>ea</w:t>
      </w:r>
      <w:r w:rsidR="005554BD" w:rsidRPr="005554BD">
        <w:t xml:space="preserve">rs </w:t>
      </w:r>
      <w:r w:rsidR="001B50BF">
        <w:t>or</w:t>
      </w:r>
      <w:r w:rsidR="001B50BF" w:rsidRPr="005554BD">
        <w:t xml:space="preserve"> </w:t>
      </w:r>
      <w:r w:rsidR="005554BD" w:rsidRPr="005554BD">
        <w:t xml:space="preserve">older) who smoke daily, by state/territory, </w:t>
      </w:r>
      <w:r w:rsidR="0038241E">
        <w:br/>
      </w:r>
      <w:r w:rsidR="005554BD" w:rsidRPr="005554BD">
        <w:t>201</w:t>
      </w:r>
      <w:r w:rsidR="00271F80">
        <w:t>4</w:t>
      </w:r>
      <w:r w:rsidR="008D2095">
        <w:t>–</w:t>
      </w:r>
      <w:r w:rsidR="00795FFB">
        <w:t>15</w:t>
      </w:r>
      <w:bookmarkEnd w:id="343"/>
      <w:bookmarkEnd w:id="344"/>
      <w:bookmarkEnd w:id="345"/>
      <w:bookmarkEnd w:id="346"/>
      <w:bookmarkEnd w:id="347"/>
    </w:p>
    <w:p w14:paraId="37C36694" w14:textId="66C4CF68" w:rsidR="00FA1AAC" w:rsidRDefault="00AA1BCF" w:rsidP="00FA1AAC">
      <w:pPr>
        <w:pStyle w:val="DHHSbody"/>
        <w:rPr>
          <w:rFonts w:cs="Arial"/>
          <w:i/>
          <w:sz w:val="18"/>
          <w:szCs w:val="18"/>
        </w:rPr>
      </w:pPr>
      <w:r>
        <w:rPr>
          <w:rFonts w:cs="Arial"/>
          <w:i/>
          <w:noProof/>
          <w:sz w:val="18"/>
          <w:szCs w:val="18"/>
        </w:rPr>
        <w:drawing>
          <wp:inline distT="0" distB="0" distL="0" distR="0" wp14:anchorId="2C4D9D8E" wp14:editId="2A2FDF11">
            <wp:extent cx="6724650" cy="2200910"/>
            <wp:effectExtent l="0" t="0" r="0" b="8890"/>
            <wp:docPr id="321" name="Picture 321" descr="This figure presents data on the proportion of Australian adults (aged 18 years or older) who smoke daily by state/territory over 2014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724650" cy="2200910"/>
                    </a:xfrm>
                    <a:prstGeom prst="rect">
                      <a:avLst/>
                    </a:prstGeom>
                    <a:noFill/>
                  </pic:spPr>
                </pic:pic>
              </a:graphicData>
            </a:graphic>
          </wp:inline>
        </w:drawing>
      </w:r>
    </w:p>
    <w:p w14:paraId="32FA13D0" w14:textId="2A23BAD6" w:rsidR="00AF6045" w:rsidRPr="001A17B2" w:rsidRDefault="00BB3548" w:rsidP="00FA1AAC">
      <w:pPr>
        <w:pStyle w:val="DHHStablefigurenote"/>
        <w:rPr>
          <w:b/>
          <w:bCs/>
          <w:color w:val="000000"/>
        </w:rPr>
      </w:pPr>
      <w:r w:rsidRPr="001A17B2">
        <w:t xml:space="preserve">Source: </w:t>
      </w:r>
      <w:r w:rsidR="00781191" w:rsidRPr="001A17B2">
        <w:rPr>
          <w:lang w:val="en"/>
        </w:rPr>
        <w:t>ABS</w:t>
      </w:r>
      <w:r w:rsidR="00BC6C24" w:rsidRPr="001A17B2">
        <w:rPr>
          <w:lang w:val="en"/>
        </w:rPr>
        <w:t xml:space="preserve"> Australian Health Survey 2014</w:t>
      </w:r>
      <w:r w:rsidR="00CA6D80" w:rsidRPr="001A17B2">
        <w:rPr>
          <w:lang w:val="en"/>
        </w:rPr>
        <w:t>–</w:t>
      </w:r>
      <w:r w:rsidR="00BC6C24" w:rsidRPr="001A17B2">
        <w:rPr>
          <w:lang w:val="en"/>
        </w:rPr>
        <w:t>15 (4364.0</w:t>
      </w:r>
      <w:r w:rsidR="00BC6C24" w:rsidRPr="00304C4A">
        <w:rPr>
          <w:lang w:val="en"/>
        </w:rPr>
        <w:t>)</w:t>
      </w:r>
    </w:p>
    <w:p w14:paraId="704AF568" w14:textId="03F3181F" w:rsidR="00C730F3" w:rsidRDefault="006C0667" w:rsidP="001A17B2">
      <w:pPr>
        <w:pStyle w:val="DHHSfigurecaption"/>
      </w:pPr>
      <w:bookmarkStart w:id="348" w:name="_Toc19008056"/>
      <w:bookmarkStart w:id="349" w:name="_Toc19008296"/>
      <w:bookmarkStart w:id="350" w:name="_Toc19008443"/>
      <w:bookmarkStart w:id="351" w:name="_Toc19008590"/>
      <w:bookmarkStart w:id="352" w:name="_Toc27414298"/>
      <w:r>
        <w:t>Figure 6.1.2</w:t>
      </w:r>
      <w:r w:rsidR="008D2095">
        <w:t>:</w:t>
      </w:r>
      <w:r>
        <w:t xml:space="preserve"> </w:t>
      </w:r>
      <w:r w:rsidR="00ED0766" w:rsidRPr="00ED0766">
        <w:t>Proportion of Victorian adults (</w:t>
      </w:r>
      <w:r w:rsidR="00B91D6C">
        <w:t xml:space="preserve">aged </w:t>
      </w:r>
      <w:r w:rsidR="00ED0766" w:rsidRPr="00ED0766">
        <w:t>18 y</w:t>
      </w:r>
      <w:r w:rsidR="00E9274F">
        <w:t>ea</w:t>
      </w:r>
      <w:r w:rsidR="00ED0766" w:rsidRPr="00ED0766">
        <w:t xml:space="preserve">rs </w:t>
      </w:r>
      <w:r w:rsidR="001B50BF">
        <w:t>or</w:t>
      </w:r>
      <w:r w:rsidR="00ED0766" w:rsidRPr="00ED0766">
        <w:t xml:space="preserve"> older) who smoke daily</w:t>
      </w:r>
      <w:r w:rsidR="0034099C">
        <w:t>,</w:t>
      </w:r>
      <w:r w:rsidR="00B027FC">
        <w:t xml:space="preserve"> by year</w:t>
      </w:r>
      <w:r w:rsidR="00ED0766" w:rsidRPr="00ED0766">
        <w:t>, 201</w:t>
      </w:r>
      <w:r w:rsidR="00CF36B3">
        <w:t>5</w:t>
      </w:r>
      <w:r w:rsidR="008D2095">
        <w:t>–</w:t>
      </w:r>
      <w:r w:rsidR="00ED0766" w:rsidRPr="00ED0766">
        <w:t>201</w:t>
      </w:r>
      <w:bookmarkEnd w:id="348"/>
      <w:bookmarkEnd w:id="349"/>
      <w:bookmarkEnd w:id="350"/>
      <w:bookmarkEnd w:id="351"/>
      <w:r w:rsidR="00CF36B3">
        <w:t>7</w:t>
      </w:r>
      <w:bookmarkEnd w:id="352"/>
    </w:p>
    <w:p w14:paraId="1FF1104A" w14:textId="1C92DBF8" w:rsidR="00A56C39" w:rsidRPr="00A56C39" w:rsidRDefault="00AA1BCF" w:rsidP="00A56C39">
      <w:pPr>
        <w:pStyle w:val="DHHSbody"/>
      </w:pPr>
      <w:r>
        <w:rPr>
          <w:noProof/>
        </w:rPr>
        <w:drawing>
          <wp:inline distT="0" distB="0" distL="0" distR="0" wp14:anchorId="2A1E78B1" wp14:editId="7830EDC3">
            <wp:extent cx="6748780" cy="2847340"/>
            <wp:effectExtent l="0" t="0" r="0" b="0"/>
            <wp:docPr id="322" name="Picture 322" descr="This figure presents data under Measure 6.1 - Proportion of adults who smoke daily'. The data for this figure is available in this section for the study period 2015 to 2017 - refer to Table 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748780" cy="2847340"/>
                    </a:xfrm>
                    <a:prstGeom prst="rect">
                      <a:avLst/>
                    </a:prstGeom>
                    <a:noFill/>
                  </pic:spPr>
                </pic:pic>
              </a:graphicData>
            </a:graphic>
          </wp:inline>
        </w:drawing>
      </w:r>
    </w:p>
    <w:p w14:paraId="5DFB1EB5" w14:textId="79C980A2" w:rsidR="001F27C4" w:rsidRDefault="001F27C4" w:rsidP="008C38C6">
      <w:pPr>
        <w:pStyle w:val="DHHStablecaption"/>
      </w:pPr>
      <w:bookmarkStart w:id="353" w:name="_Toc18908727"/>
      <w:bookmarkStart w:id="354" w:name="_Toc27414406"/>
      <w:r>
        <w:t>Table 6.1</w:t>
      </w:r>
      <w:r w:rsidR="008D2095">
        <w:t>:</w:t>
      </w:r>
      <w:r>
        <w:t xml:space="preserve"> Proportion </w:t>
      </w:r>
      <w:r w:rsidR="00080B5E">
        <w:t xml:space="preserve">of </w:t>
      </w:r>
      <w:r w:rsidRPr="00ED0766">
        <w:t>Victorian adults (</w:t>
      </w:r>
      <w:r w:rsidR="00B91D6C">
        <w:t xml:space="preserve">aged </w:t>
      </w:r>
      <w:r w:rsidRPr="00ED0766">
        <w:t>18 y</w:t>
      </w:r>
      <w:r w:rsidR="00E9274F">
        <w:t>ea</w:t>
      </w:r>
      <w:r w:rsidRPr="00ED0766">
        <w:t xml:space="preserve">rs </w:t>
      </w:r>
      <w:r w:rsidR="001B50BF">
        <w:t>or</w:t>
      </w:r>
      <w:r w:rsidR="001B50BF" w:rsidRPr="00ED0766">
        <w:t xml:space="preserve"> </w:t>
      </w:r>
      <w:r w:rsidRPr="00ED0766">
        <w:t>older) who smoke daily</w:t>
      </w:r>
      <w:r w:rsidR="0034099C">
        <w:t>,</w:t>
      </w:r>
      <w:r w:rsidR="00B027FC">
        <w:t xml:space="preserve"> by year</w:t>
      </w:r>
      <w:r w:rsidRPr="00ED0766">
        <w:t>, 201</w:t>
      </w:r>
      <w:r w:rsidR="00CF36B3">
        <w:t>5</w:t>
      </w:r>
      <w:r w:rsidR="008D2095">
        <w:t>–</w:t>
      </w:r>
      <w:r w:rsidRPr="00ED0766">
        <w:t>201</w:t>
      </w:r>
      <w:bookmarkEnd w:id="353"/>
      <w:r w:rsidR="00C12451">
        <w:t>7</w:t>
      </w:r>
      <w:bookmarkEnd w:id="354"/>
    </w:p>
    <w:tbl>
      <w:tblPr>
        <w:tblpPr w:leftFromText="180" w:rightFromText="180" w:vertAnchor="text" w:horzAnchor="margin" w:tblpY="145"/>
        <w:tblW w:w="10349" w:type="dxa"/>
        <w:tblBorders>
          <w:bottom w:val="single" w:sz="4" w:space="0" w:color="C00000"/>
          <w:insideH w:val="single" w:sz="4" w:space="0" w:color="C00000"/>
        </w:tblBorders>
        <w:shd w:val="clear" w:color="auto" w:fill="EDCDCF"/>
        <w:tblLook w:val="04A0" w:firstRow="1" w:lastRow="0" w:firstColumn="1" w:lastColumn="0" w:noHBand="0" w:noVBand="1"/>
      </w:tblPr>
      <w:tblGrid>
        <w:gridCol w:w="2582"/>
        <w:gridCol w:w="2433"/>
        <w:gridCol w:w="2712"/>
        <w:gridCol w:w="2622"/>
      </w:tblGrid>
      <w:tr w:rsidR="00CF36B3" w:rsidRPr="0051094C" w14:paraId="2B145F15" w14:textId="7F0F265F" w:rsidTr="00CF36B3">
        <w:trPr>
          <w:trHeight w:val="266"/>
        </w:trPr>
        <w:tc>
          <w:tcPr>
            <w:tcW w:w="2582" w:type="dxa"/>
            <w:shd w:val="clear" w:color="auto" w:fill="EDCDCF"/>
            <w:vAlign w:val="center"/>
          </w:tcPr>
          <w:p w14:paraId="7E3B7F3B" w14:textId="77777777" w:rsidR="00CF36B3" w:rsidRPr="00DB4F90" w:rsidRDefault="00CF36B3" w:rsidP="00817E7D">
            <w:pPr>
              <w:pStyle w:val="DHHStablecolhead"/>
            </w:pPr>
            <w:r w:rsidRPr="00DB4F90">
              <w:t>Year</w:t>
            </w:r>
          </w:p>
        </w:tc>
        <w:tc>
          <w:tcPr>
            <w:tcW w:w="2433" w:type="dxa"/>
            <w:shd w:val="clear" w:color="auto" w:fill="EDCDCF"/>
            <w:vAlign w:val="center"/>
          </w:tcPr>
          <w:p w14:paraId="0E0E6768" w14:textId="77777777" w:rsidR="00CF36B3" w:rsidRPr="00DB4F90" w:rsidRDefault="00CF36B3" w:rsidP="00817E7D">
            <w:pPr>
              <w:pStyle w:val="DHHStablecolhead"/>
            </w:pPr>
            <w:r w:rsidRPr="00DB4F90">
              <w:t>2015</w:t>
            </w:r>
          </w:p>
        </w:tc>
        <w:tc>
          <w:tcPr>
            <w:tcW w:w="2712" w:type="dxa"/>
            <w:shd w:val="clear" w:color="auto" w:fill="EDCDCF"/>
            <w:vAlign w:val="center"/>
          </w:tcPr>
          <w:p w14:paraId="59A1B11C" w14:textId="77777777" w:rsidR="00CF36B3" w:rsidRPr="00DB4F90" w:rsidRDefault="00CF36B3" w:rsidP="00817E7D">
            <w:pPr>
              <w:pStyle w:val="DHHStablecolhead"/>
            </w:pPr>
            <w:r w:rsidRPr="00DB4F90">
              <w:t>2016</w:t>
            </w:r>
          </w:p>
        </w:tc>
        <w:tc>
          <w:tcPr>
            <w:tcW w:w="2622" w:type="dxa"/>
            <w:shd w:val="clear" w:color="auto" w:fill="EDCDCF"/>
          </w:tcPr>
          <w:p w14:paraId="033FF73D" w14:textId="479FBF7B" w:rsidR="00CF36B3" w:rsidRPr="00DB4F90" w:rsidRDefault="00CF36B3" w:rsidP="00817E7D">
            <w:pPr>
              <w:pStyle w:val="DHHStablecolhead"/>
            </w:pPr>
            <w:r>
              <w:t>2017</w:t>
            </w:r>
          </w:p>
        </w:tc>
      </w:tr>
      <w:tr w:rsidR="00CF36B3" w:rsidRPr="000517B8" w14:paraId="23A766FA" w14:textId="47FC81DA" w:rsidTr="00CF36B3">
        <w:trPr>
          <w:trHeight w:val="266"/>
        </w:trPr>
        <w:tc>
          <w:tcPr>
            <w:tcW w:w="2582" w:type="dxa"/>
            <w:shd w:val="clear" w:color="auto" w:fill="auto"/>
            <w:vAlign w:val="center"/>
          </w:tcPr>
          <w:p w14:paraId="47906F49" w14:textId="77777777" w:rsidR="00CF36B3" w:rsidRPr="005E739D" w:rsidRDefault="00CF36B3" w:rsidP="00817E7D">
            <w:pPr>
              <w:pStyle w:val="DHHStabletext"/>
            </w:pPr>
            <w:r>
              <w:t>Per cent (%)</w:t>
            </w:r>
          </w:p>
        </w:tc>
        <w:tc>
          <w:tcPr>
            <w:tcW w:w="2433" w:type="dxa"/>
            <w:shd w:val="clear" w:color="auto" w:fill="auto"/>
            <w:vAlign w:val="center"/>
          </w:tcPr>
          <w:p w14:paraId="7D41F61F" w14:textId="77777777" w:rsidR="00CF36B3" w:rsidRPr="0069114D" w:rsidRDefault="00CF36B3" w:rsidP="00817E7D">
            <w:pPr>
              <w:pStyle w:val="DHHStabletext"/>
            </w:pPr>
            <w:r w:rsidRPr="0069114D">
              <w:t>13.3</w:t>
            </w:r>
          </w:p>
        </w:tc>
        <w:tc>
          <w:tcPr>
            <w:tcW w:w="2712" w:type="dxa"/>
            <w:shd w:val="clear" w:color="auto" w:fill="auto"/>
            <w:vAlign w:val="center"/>
          </w:tcPr>
          <w:p w14:paraId="668BFE4B" w14:textId="77777777" w:rsidR="00CF36B3" w:rsidRPr="0069114D" w:rsidRDefault="00CF36B3" w:rsidP="00817E7D">
            <w:pPr>
              <w:pStyle w:val="DHHStabletext"/>
            </w:pPr>
            <w:r w:rsidRPr="0069114D">
              <w:t>12.3</w:t>
            </w:r>
          </w:p>
        </w:tc>
        <w:tc>
          <w:tcPr>
            <w:tcW w:w="2622" w:type="dxa"/>
          </w:tcPr>
          <w:p w14:paraId="3D0E65DC" w14:textId="4DD0A9B7" w:rsidR="00CF36B3" w:rsidRPr="0069114D" w:rsidRDefault="00CF36B3" w:rsidP="00817E7D">
            <w:pPr>
              <w:pStyle w:val="DHHStabletext"/>
            </w:pPr>
            <w:r>
              <w:t>12.4</w:t>
            </w:r>
          </w:p>
        </w:tc>
      </w:tr>
      <w:tr w:rsidR="00CF36B3" w:rsidRPr="000517B8" w14:paraId="27663C85" w14:textId="6C667559" w:rsidTr="00CF36B3">
        <w:trPr>
          <w:trHeight w:val="184"/>
        </w:trPr>
        <w:tc>
          <w:tcPr>
            <w:tcW w:w="2582" w:type="dxa"/>
            <w:shd w:val="clear" w:color="auto" w:fill="auto"/>
            <w:vAlign w:val="center"/>
          </w:tcPr>
          <w:p w14:paraId="68265597" w14:textId="77777777" w:rsidR="00CF36B3" w:rsidRDefault="00CF36B3" w:rsidP="00817E7D">
            <w:pPr>
              <w:pStyle w:val="DHHStabletext"/>
            </w:pPr>
            <w:r>
              <w:t>95% CI</w:t>
            </w:r>
          </w:p>
        </w:tc>
        <w:tc>
          <w:tcPr>
            <w:tcW w:w="2433" w:type="dxa"/>
            <w:shd w:val="clear" w:color="auto" w:fill="auto"/>
            <w:vAlign w:val="center"/>
          </w:tcPr>
          <w:p w14:paraId="7DEE13C7" w14:textId="5216F694" w:rsidR="00CF36B3" w:rsidRPr="0069114D" w:rsidRDefault="00CF36B3" w:rsidP="00817E7D">
            <w:pPr>
              <w:pStyle w:val="DHHStabletext"/>
            </w:pPr>
            <w:r w:rsidRPr="0069114D">
              <w:t>(12.2</w:t>
            </w:r>
            <w:r>
              <w:t>–</w:t>
            </w:r>
            <w:r w:rsidRPr="0069114D">
              <w:t>14.4)</w:t>
            </w:r>
          </w:p>
        </w:tc>
        <w:tc>
          <w:tcPr>
            <w:tcW w:w="2712" w:type="dxa"/>
            <w:shd w:val="clear" w:color="auto" w:fill="auto"/>
            <w:vAlign w:val="center"/>
          </w:tcPr>
          <w:p w14:paraId="3179C423" w14:textId="55FE7ABC" w:rsidR="00CF36B3" w:rsidRPr="0069114D" w:rsidRDefault="00CF36B3" w:rsidP="00817E7D">
            <w:pPr>
              <w:pStyle w:val="DHHStabletext"/>
            </w:pPr>
            <w:r w:rsidRPr="0069114D">
              <w:t>(11.3</w:t>
            </w:r>
            <w:r>
              <w:t>–</w:t>
            </w:r>
            <w:r w:rsidRPr="0069114D">
              <w:t>13.4)</w:t>
            </w:r>
          </w:p>
        </w:tc>
        <w:tc>
          <w:tcPr>
            <w:tcW w:w="2622" w:type="dxa"/>
          </w:tcPr>
          <w:p w14:paraId="31B0BBAA" w14:textId="24FEC4DD" w:rsidR="00CF36B3" w:rsidRPr="0069114D" w:rsidRDefault="00CF36B3" w:rsidP="00817E7D">
            <w:pPr>
              <w:pStyle w:val="DHHStabletext"/>
            </w:pPr>
            <w:r>
              <w:t>(11.8–13.1)</w:t>
            </w:r>
          </w:p>
        </w:tc>
      </w:tr>
    </w:tbl>
    <w:p w14:paraId="3414C046" w14:textId="3300D653" w:rsidR="00263552" w:rsidRDefault="00263552" w:rsidP="00FA1AAC">
      <w:pPr>
        <w:pStyle w:val="DHHStablefigurenote"/>
      </w:pPr>
      <w:bookmarkStart w:id="355" w:name="_Hlk1049519"/>
      <w:bookmarkEnd w:id="342"/>
      <w:r w:rsidRPr="001F27C4">
        <w:t>Source: Victorian Population Surveys 201</w:t>
      </w:r>
      <w:r w:rsidR="00CF36B3">
        <w:t>5</w:t>
      </w:r>
      <w:r w:rsidR="00690CD3">
        <w:t>–</w:t>
      </w:r>
      <w:r w:rsidRPr="001F27C4">
        <w:t>201</w:t>
      </w:r>
      <w:r w:rsidR="00C12451">
        <w:t>7</w:t>
      </w:r>
    </w:p>
    <w:bookmarkEnd w:id="355"/>
    <w:p w14:paraId="4EC32B6E" w14:textId="77777777" w:rsidR="00FA1AAC" w:rsidRDefault="00FA1AAC">
      <w:pPr>
        <w:rPr>
          <w:rFonts w:ascii="Arial" w:eastAsia="MS Mincho" w:hAnsi="Arial"/>
          <w:b/>
          <w:bCs/>
        </w:rPr>
      </w:pPr>
      <w:r>
        <w:br w:type="page"/>
      </w:r>
    </w:p>
    <w:p w14:paraId="1B210763" w14:textId="5E431681" w:rsidR="00745C68" w:rsidRDefault="00745C68" w:rsidP="00E060C8">
      <w:pPr>
        <w:pStyle w:val="Heading4"/>
        <w:spacing w:before="0" w:line="270" w:lineRule="atLeast"/>
        <w:rPr>
          <w:lang w:eastAsia="en-AU"/>
        </w:rPr>
      </w:pPr>
      <w:r>
        <w:rPr>
          <w:lang w:eastAsia="en-AU"/>
        </w:rPr>
        <w:lastRenderedPageBreak/>
        <w:t>Measure assessment</w:t>
      </w:r>
    </w:p>
    <w:p w14:paraId="7429123A" w14:textId="7FE28DD4" w:rsidR="00745C68" w:rsidRPr="00E060C8" w:rsidRDefault="00745C68" w:rsidP="00E060C8">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312683"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1CA2B6CE" w14:textId="40ACDB0E" w:rsidR="00745C68" w:rsidRDefault="00745C68" w:rsidP="00E060C8">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685F47">
        <w:rPr>
          <w:rFonts w:ascii="Arial" w:hAnsi="Arial" w:cs="Arial"/>
        </w:rPr>
        <w:t>Static or unchanging</w:t>
      </w:r>
    </w:p>
    <w:p w14:paraId="294BC3B8" w14:textId="77777777" w:rsidR="007A19C6" w:rsidRPr="003C145C" w:rsidRDefault="00745C68" w:rsidP="00E060C8">
      <w:pPr>
        <w:pStyle w:val="DHHSbody"/>
        <w:rPr>
          <w:rFonts w:cs="Arial"/>
        </w:rPr>
      </w:pPr>
      <w:r w:rsidRPr="003C145C">
        <w:rPr>
          <w:rFonts w:cs="Arial"/>
        </w:rPr>
        <w:t>Commentary:</w:t>
      </w:r>
      <w:r w:rsidR="00312683" w:rsidRPr="003C145C">
        <w:rPr>
          <w:rFonts w:cs="Arial"/>
        </w:rPr>
        <w:t xml:space="preserve"> </w:t>
      </w:r>
      <w:r w:rsidR="007A19C6" w:rsidRPr="003C145C">
        <w:rPr>
          <w:rFonts w:cs="Arial"/>
          <w:lang w:val="en"/>
        </w:rPr>
        <w:t>Tobacco smoking has been identified as the single largest cause of cancer globally and the predominant cause of lung cancer.</w:t>
      </w:r>
      <w:r w:rsidR="007A19C6" w:rsidRPr="003C145C">
        <w:rPr>
          <w:rStyle w:val="FootnoteReference"/>
          <w:rFonts w:cs="Arial"/>
          <w:lang w:val="en"/>
        </w:rPr>
        <w:footnoteReference w:id="49"/>
      </w:r>
      <w:r w:rsidR="007A19C6" w:rsidRPr="003C145C">
        <w:rPr>
          <w:rFonts w:cs="Arial"/>
          <w:lang w:val="en"/>
        </w:rPr>
        <w:t xml:space="preserve"> The risk of developing lung cancer due to tobacco smoking </w:t>
      </w:r>
      <w:r w:rsidR="00876201" w:rsidRPr="003C145C">
        <w:rPr>
          <w:rFonts w:cs="Arial"/>
          <w:lang w:val="en"/>
        </w:rPr>
        <w:t xml:space="preserve">is known to </w:t>
      </w:r>
      <w:r w:rsidR="007A19C6" w:rsidRPr="003C145C">
        <w:rPr>
          <w:rFonts w:cs="Arial"/>
          <w:lang w:val="en"/>
        </w:rPr>
        <w:t>increase with the duration of smoking and the numbers of cigarettes smoked per day.</w:t>
      </w:r>
      <w:r w:rsidR="007A19C6" w:rsidRPr="003C145C">
        <w:rPr>
          <w:rStyle w:val="FootnoteReference"/>
          <w:rFonts w:cs="Arial"/>
          <w:lang w:val="en"/>
        </w:rPr>
        <w:footnoteReference w:id="50"/>
      </w:r>
    </w:p>
    <w:p w14:paraId="54E9940C" w14:textId="18622997" w:rsidR="00CF484A" w:rsidRDefault="00D16F12" w:rsidP="00745C68">
      <w:pPr>
        <w:pStyle w:val="DHHSbody"/>
        <w:rPr>
          <w:rFonts w:cs="Arial"/>
        </w:rPr>
      </w:pPr>
      <w:r>
        <w:rPr>
          <w:rFonts w:cs="Arial"/>
        </w:rPr>
        <w:t>Figure 6.1 show</w:t>
      </w:r>
      <w:r w:rsidR="00F070FE">
        <w:rPr>
          <w:rFonts w:cs="Arial"/>
        </w:rPr>
        <w:t>s</w:t>
      </w:r>
      <w:r>
        <w:rPr>
          <w:rFonts w:cs="Arial"/>
        </w:rPr>
        <w:t xml:space="preserve"> that in 2015</w:t>
      </w:r>
      <w:r w:rsidR="008E264C">
        <w:rPr>
          <w:rFonts w:cs="Arial"/>
        </w:rPr>
        <w:t xml:space="preserve"> </w:t>
      </w:r>
      <w:r>
        <w:rPr>
          <w:rFonts w:cs="Arial"/>
        </w:rPr>
        <w:t>Australia</w:t>
      </w:r>
      <w:r w:rsidR="00F070FE">
        <w:rPr>
          <w:rFonts w:cs="Arial"/>
        </w:rPr>
        <w:t xml:space="preserve"> had the ninth lowest proportion of daily smokers </w:t>
      </w:r>
      <w:r w:rsidR="008E264C">
        <w:rPr>
          <w:rFonts w:cs="Arial"/>
        </w:rPr>
        <w:t xml:space="preserve">in the OECD </w:t>
      </w:r>
      <w:r w:rsidR="00F070FE">
        <w:rPr>
          <w:rFonts w:cs="Arial"/>
        </w:rPr>
        <w:t xml:space="preserve">among people aged 15 </w:t>
      </w:r>
      <w:r w:rsidR="008D2095">
        <w:rPr>
          <w:rFonts w:cs="Arial"/>
        </w:rPr>
        <w:t>or older</w:t>
      </w:r>
      <w:r w:rsidR="00F070FE">
        <w:rPr>
          <w:rFonts w:cs="Arial"/>
        </w:rPr>
        <w:t xml:space="preserve"> (12</w:t>
      </w:r>
      <w:r w:rsidR="00BB7639">
        <w:rPr>
          <w:rFonts w:cs="Arial"/>
        </w:rPr>
        <w:t>.4 per cent</w:t>
      </w:r>
      <w:r w:rsidR="00F070FE">
        <w:rPr>
          <w:rFonts w:cs="Arial"/>
        </w:rPr>
        <w:t xml:space="preserve">), with </w:t>
      </w:r>
      <w:r w:rsidR="006F1E37">
        <w:rPr>
          <w:rFonts w:cs="Arial"/>
        </w:rPr>
        <w:t>Indonesia</w:t>
      </w:r>
      <w:r w:rsidR="00F070FE">
        <w:rPr>
          <w:rFonts w:cs="Arial"/>
        </w:rPr>
        <w:t xml:space="preserve"> ranking highest at 39.9 per cent</w:t>
      </w:r>
      <w:r w:rsidR="008E264C">
        <w:rPr>
          <w:rFonts w:cs="Arial"/>
        </w:rPr>
        <w:t>.</w:t>
      </w:r>
      <w:r w:rsidR="00846895">
        <w:rPr>
          <w:rFonts w:cs="Arial"/>
        </w:rPr>
        <w:t xml:space="preserve"> </w:t>
      </w:r>
      <w:r w:rsidR="00A87D07">
        <w:rPr>
          <w:rFonts w:cs="Arial"/>
        </w:rPr>
        <w:t xml:space="preserve">It is important to note that </w:t>
      </w:r>
      <w:r w:rsidR="00485CEC">
        <w:rPr>
          <w:rFonts w:cs="Arial"/>
        </w:rPr>
        <w:t xml:space="preserve">while the </w:t>
      </w:r>
      <w:r w:rsidR="00A87D07">
        <w:rPr>
          <w:rFonts w:cs="Arial"/>
        </w:rPr>
        <w:t xml:space="preserve">data </w:t>
      </w:r>
      <w:r w:rsidR="00485CEC">
        <w:rPr>
          <w:rFonts w:cs="Arial"/>
        </w:rPr>
        <w:t xml:space="preserve">shown in Figure 6.1 </w:t>
      </w:r>
      <w:r w:rsidR="0034099C">
        <w:rPr>
          <w:rFonts w:cs="Arial"/>
        </w:rPr>
        <w:t xml:space="preserve">is </w:t>
      </w:r>
      <w:r w:rsidR="00485CEC">
        <w:rPr>
          <w:rFonts w:cs="Arial"/>
        </w:rPr>
        <w:t>intended to provide a general global overview</w:t>
      </w:r>
      <w:r w:rsidR="00680DD3">
        <w:rPr>
          <w:rFonts w:cs="Arial"/>
        </w:rPr>
        <w:t>,</w:t>
      </w:r>
      <w:r w:rsidR="00485CEC">
        <w:rPr>
          <w:rFonts w:cs="Arial"/>
        </w:rPr>
        <w:t xml:space="preserve"> it is </w:t>
      </w:r>
      <w:r w:rsidR="00A87D07">
        <w:rPr>
          <w:rFonts w:cs="Arial"/>
        </w:rPr>
        <w:t xml:space="preserve">not directly comparable </w:t>
      </w:r>
      <w:r w:rsidR="0034099C">
        <w:rPr>
          <w:rFonts w:cs="Arial"/>
        </w:rPr>
        <w:t xml:space="preserve">because </w:t>
      </w:r>
      <w:r w:rsidR="00A87D07">
        <w:rPr>
          <w:rFonts w:cs="Arial"/>
        </w:rPr>
        <w:t xml:space="preserve">adult </w:t>
      </w:r>
      <w:r w:rsidR="00846895">
        <w:rPr>
          <w:rFonts w:cs="Arial"/>
        </w:rPr>
        <w:t xml:space="preserve">daily smokers are defined as the population </w:t>
      </w:r>
      <w:r w:rsidR="0034099C">
        <w:rPr>
          <w:rFonts w:cs="Arial"/>
        </w:rPr>
        <w:t xml:space="preserve">as </w:t>
      </w:r>
      <w:r w:rsidR="00846895">
        <w:rPr>
          <w:rFonts w:cs="Arial"/>
        </w:rPr>
        <w:t xml:space="preserve">aged 15 years </w:t>
      </w:r>
      <w:r w:rsidR="001B50BF">
        <w:rPr>
          <w:rFonts w:cs="Arial"/>
        </w:rPr>
        <w:t>or older</w:t>
      </w:r>
      <w:r w:rsidR="00A87D07">
        <w:rPr>
          <w:rFonts w:cs="Arial"/>
        </w:rPr>
        <w:t xml:space="preserve">. </w:t>
      </w:r>
      <w:r w:rsidR="00CF484A">
        <w:rPr>
          <w:rFonts w:cs="Arial"/>
        </w:rPr>
        <w:t>The data presented for Australian adults in Figure 6.1.1 shows that</w:t>
      </w:r>
      <w:r w:rsidR="0034099C">
        <w:rPr>
          <w:rFonts w:cs="Arial"/>
        </w:rPr>
        <w:t>,</w:t>
      </w:r>
      <w:r w:rsidR="00CF484A">
        <w:rPr>
          <w:rFonts w:cs="Arial"/>
        </w:rPr>
        <w:t xml:space="preserve"> in </w:t>
      </w:r>
      <w:r w:rsidR="00CF484A">
        <w:t>2014</w:t>
      </w:r>
      <w:r w:rsidR="008D2095">
        <w:t>–</w:t>
      </w:r>
      <w:r w:rsidR="00CF484A">
        <w:t>15, 14.5</w:t>
      </w:r>
      <w:r w:rsidR="006B1655">
        <w:t xml:space="preserve"> per cent</w:t>
      </w:r>
      <w:r w:rsidR="00CF484A">
        <w:t xml:space="preserve"> of adults aged 18 years </w:t>
      </w:r>
      <w:r w:rsidR="008D2095">
        <w:t>or older</w:t>
      </w:r>
      <w:r w:rsidR="00CF484A">
        <w:t xml:space="preserve"> were daily smokers</w:t>
      </w:r>
      <w:r w:rsidR="008D2095">
        <w:t>,</w:t>
      </w:r>
      <w:r w:rsidR="005E3FED">
        <w:t xml:space="preserve"> which equated to approximately </w:t>
      </w:r>
      <w:r w:rsidR="00CF484A">
        <w:t>2.6 million adults</w:t>
      </w:r>
      <w:r w:rsidR="005E3FED">
        <w:t>.</w:t>
      </w:r>
      <w:r w:rsidR="00952FC7">
        <w:t xml:space="preserve"> </w:t>
      </w:r>
      <w:r w:rsidR="005E3FED">
        <w:rPr>
          <w:rFonts w:cs="Arial"/>
        </w:rPr>
        <w:t xml:space="preserve">The </w:t>
      </w:r>
      <w:r w:rsidR="005E3FED">
        <w:t>Northern Territory had the highest rate of daily smokers (21.9</w:t>
      </w:r>
      <w:r w:rsidR="006B1655">
        <w:t xml:space="preserve"> per cent</w:t>
      </w:r>
      <w:r w:rsidR="005E3FED">
        <w:t>) in 2014</w:t>
      </w:r>
      <w:r w:rsidR="008D2095">
        <w:t>–</w:t>
      </w:r>
      <w:r w:rsidR="005E3FED">
        <w:t>15, followed by Tasmania (17.9</w:t>
      </w:r>
      <w:r w:rsidR="006B1655">
        <w:t xml:space="preserve"> per cent</w:t>
      </w:r>
      <w:r w:rsidR="005E3FED">
        <w:t>). The Australian Capital Territory had the lowest rate of daily smokers in 2014</w:t>
      </w:r>
      <w:r w:rsidR="008D2095">
        <w:t>–</w:t>
      </w:r>
      <w:r w:rsidR="005E3FED">
        <w:t>15 (12.4</w:t>
      </w:r>
      <w:r w:rsidR="006B1655">
        <w:t xml:space="preserve"> per cent</w:t>
      </w:r>
      <w:r w:rsidR="005E3FED">
        <w:t>)</w:t>
      </w:r>
      <w:r w:rsidR="0034099C">
        <w:t>,</w:t>
      </w:r>
      <w:r w:rsidR="005E3FED">
        <w:t xml:space="preserve"> while Victoria’s </w:t>
      </w:r>
      <w:r w:rsidR="006B1655">
        <w:t>was 13.3. per cent.</w:t>
      </w:r>
      <w:r w:rsidR="00E50055">
        <w:t xml:space="preserve"> Figure 6.1.2 and Table 6.1 show that </w:t>
      </w:r>
      <w:r w:rsidR="001F5655">
        <w:t>proportion of Victorian adults who smoke daily decreased from 13.3 per cent in 2015 to 12.4 per cent in 2017.</w:t>
      </w:r>
    </w:p>
    <w:p w14:paraId="2E8B51AE" w14:textId="08FAB7B4" w:rsidR="00C9473B" w:rsidRDefault="00D10B5A" w:rsidP="00C9473B">
      <w:pPr>
        <w:pStyle w:val="Heading3"/>
        <w:rPr>
          <w:lang w:eastAsia="en-AU"/>
        </w:rPr>
      </w:pPr>
      <w:bookmarkStart w:id="356" w:name="_Measure_6.2_–"/>
      <w:bookmarkEnd w:id="356"/>
      <w:r>
        <w:rPr>
          <w:lang w:eastAsia="en-AU"/>
        </w:rPr>
        <w:br w:type="page"/>
      </w:r>
      <w:bookmarkStart w:id="357" w:name="_Toc19008057"/>
      <w:r w:rsidR="00C9473B">
        <w:rPr>
          <w:lang w:eastAsia="en-AU"/>
        </w:rPr>
        <w:lastRenderedPageBreak/>
        <w:t>Measure 6.2 – Proportion of adolescents 12</w:t>
      </w:r>
      <w:r w:rsidR="00690CD3">
        <w:rPr>
          <w:lang w:eastAsia="en-AU"/>
        </w:rPr>
        <w:t>–1</w:t>
      </w:r>
      <w:r w:rsidR="00C9473B">
        <w:rPr>
          <w:lang w:eastAsia="en-AU"/>
        </w:rPr>
        <w:t>7 years who currently smoke</w:t>
      </w:r>
      <w:bookmarkEnd w:id="357"/>
    </w:p>
    <w:p w14:paraId="6C5A38F7" w14:textId="43978919" w:rsidR="005F7D18" w:rsidRPr="00F61268" w:rsidRDefault="005F7D18" w:rsidP="00F61268">
      <w:pPr>
        <w:pStyle w:val="DHHStablecaption"/>
      </w:pPr>
      <w:bookmarkStart w:id="358" w:name="_Toc18908728"/>
      <w:bookmarkStart w:id="359" w:name="_Toc27414407"/>
      <w:r>
        <w:t>Table 6.</w:t>
      </w:r>
      <w:r w:rsidR="008B0CE6">
        <w:t>2</w:t>
      </w:r>
      <w:r w:rsidR="008D2095">
        <w:t>:</w:t>
      </w:r>
      <w:r>
        <w:t xml:space="preserve"> Proportion of</w:t>
      </w:r>
      <w:r w:rsidR="00B428D5">
        <w:t xml:space="preserve"> Austr</w:t>
      </w:r>
      <w:r w:rsidR="00A61A59">
        <w:t>a</w:t>
      </w:r>
      <w:r w:rsidR="00B428D5">
        <w:t>lian</w:t>
      </w:r>
      <w:r>
        <w:t xml:space="preserve"> </w:t>
      </w:r>
      <w:r w:rsidR="00F40F85">
        <w:t xml:space="preserve">and Victorian </w:t>
      </w:r>
      <w:r>
        <w:t>adolescents</w:t>
      </w:r>
      <w:r w:rsidR="00193C20">
        <w:t xml:space="preserve"> </w:t>
      </w:r>
      <w:r w:rsidR="00557193">
        <w:t xml:space="preserve">aged </w:t>
      </w:r>
      <w:r>
        <w:t>12</w:t>
      </w:r>
      <w:r w:rsidR="008D2095">
        <w:t>–</w:t>
      </w:r>
      <w:r>
        <w:t>17 years</w:t>
      </w:r>
      <w:r w:rsidR="00193C20">
        <w:t xml:space="preserve"> (boys and girls)</w:t>
      </w:r>
      <w:r>
        <w:t xml:space="preserve"> who currently smoke</w:t>
      </w:r>
      <w:r w:rsidR="005976F8">
        <w:t>,</w:t>
      </w:r>
      <w:r>
        <w:t xml:space="preserve"> by age and sex,</w:t>
      </w:r>
      <w:r w:rsidR="008B0CE6">
        <w:t xml:space="preserve"> </w:t>
      </w:r>
      <w:r>
        <w:t>2014</w:t>
      </w:r>
      <w:bookmarkEnd w:id="358"/>
      <w:bookmarkEnd w:id="359"/>
    </w:p>
    <w:tbl>
      <w:tblPr>
        <w:tblStyle w:val="TableGrid"/>
        <w:tblW w:w="0" w:type="auto"/>
        <w:tblInd w:w="-5" w:type="dxa"/>
        <w:tblBorders>
          <w:top w:val="single" w:sz="12" w:space="0" w:color="FFFFFF" w:themeColor="background1"/>
          <w:left w:val="none" w:sz="0" w:space="0" w:color="auto"/>
          <w:bottom w:val="single" w:sz="4" w:space="0" w:color="C00000"/>
          <w:right w:val="single" w:sz="12" w:space="0" w:color="FFFFFF" w:themeColor="background1"/>
          <w:insideH w:val="single" w:sz="4" w:space="0" w:color="C00000"/>
          <w:insideV w:val="none" w:sz="0" w:space="0" w:color="auto"/>
        </w:tblBorders>
        <w:shd w:val="clear" w:color="auto" w:fill="EDCDCF"/>
        <w:tblLook w:val="04A0" w:firstRow="1" w:lastRow="0" w:firstColumn="1" w:lastColumn="0" w:noHBand="0" w:noVBand="1"/>
      </w:tblPr>
      <w:tblGrid>
        <w:gridCol w:w="3109"/>
        <w:gridCol w:w="1048"/>
        <w:gridCol w:w="927"/>
        <w:gridCol w:w="1002"/>
        <w:gridCol w:w="992"/>
        <w:gridCol w:w="992"/>
        <w:gridCol w:w="992"/>
        <w:gridCol w:w="1240"/>
      </w:tblGrid>
      <w:tr w:rsidR="008B0CE6" w14:paraId="36924248" w14:textId="77777777" w:rsidTr="007C7948">
        <w:trPr>
          <w:trHeight w:val="320"/>
        </w:trPr>
        <w:tc>
          <w:tcPr>
            <w:tcW w:w="3109" w:type="dxa"/>
            <w:shd w:val="clear" w:color="auto" w:fill="EDCDCF"/>
          </w:tcPr>
          <w:p w14:paraId="38903983" w14:textId="568A1211" w:rsidR="008B0CE6" w:rsidRDefault="007C7948" w:rsidP="007C7948">
            <w:pPr>
              <w:pStyle w:val="DHHStablecolhead"/>
            </w:pPr>
            <w:r w:rsidRPr="00DB4F90">
              <w:t>Current smokers (Australia)</w:t>
            </w:r>
            <w:r w:rsidRPr="00DB4F90">
              <w:rPr>
                <w:rStyle w:val="FootnoteReference"/>
                <w:rFonts w:cs="Arial"/>
                <w:b w:val="0"/>
                <w:bCs/>
              </w:rPr>
              <w:footnoteReference w:id="51"/>
            </w:r>
          </w:p>
        </w:tc>
        <w:tc>
          <w:tcPr>
            <w:tcW w:w="1048" w:type="dxa"/>
            <w:shd w:val="clear" w:color="auto" w:fill="EDCDCF"/>
          </w:tcPr>
          <w:p w14:paraId="0FFB3A53" w14:textId="5D236B72" w:rsidR="008B0CE6" w:rsidRPr="00DB4F90" w:rsidRDefault="008B0CE6" w:rsidP="007C7948">
            <w:pPr>
              <w:pStyle w:val="DHHStablecolhead"/>
            </w:pPr>
            <w:r w:rsidRPr="00DB4F90">
              <w:t>12</w:t>
            </w:r>
            <w:r w:rsidR="00F40F85" w:rsidRPr="00DB4F90">
              <w:t xml:space="preserve"> yrs</w:t>
            </w:r>
          </w:p>
        </w:tc>
        <w:tc>
          <w:tcPr>
            <w:tcW w:w="927" w:type="dxa"/>
            <w:shd w:val="clear" w:color="auto" w:fill="EDCDCF"/>
          </w:tcPr>
          <w:p w14:paraId="33F92C90" w14:textId="2E6502CC" w:rsidR="008B0CE6" w:rsidRPr="00DB4F90" w:rsidRDefault="008B0CE6" w:rsidP="007C7948">
            <w:pPr>
              <w:pStyle w:val="DHHStablecolhead"/>
            </w:pPr>
            <w:r w:rsidRPr="00DB4F90">
              <w:t>13</w:t>
            </w:r>
            <w:r w:rsidR="00F40F85" w:rsidRPr="00DB4F90">
              <w:t xml:space="preserve"> yrs</w:t>
            </w:r>
          </w:p>
        </w:tc>
        <w:tc>
          <w:tcPr>
            <w:tcW w:w="1002" w:type="dxa"/>
            <w:shd w:val="clear" w:color="auto" w:fill="EDCDCF"/>
          </w:tcPr>
          <w:p w14:paraId="792F62CE" w14:textId="59F5B8F8" w:rsidR="008B0CE6" w:rsidRPr="00DB4F90" w:rsidRDefault="008B0CE6" w:rsidP="007C7948">
            <w:pPr>
              <w:pStyle w:val="DHHStablecolhead"/>
            </w:pPr>
            <w:r w:rsidRPr="00DB4F90">
              <w:t>14</w:t>
            </w:r>
            <w:r w:rsidR="00F40F85" w:rsidRPr="00DB4F90">
              <w:t xml:space="preserve"> yrs</w:t>
            </w:r>
          </w:p>
        </w:tc>
        <w:tc>
          <w:tcPr>
            <w:tcW w:w="992" w:type="dxa"/>
            <w:shd w:val="clear" w:color="auto" w:fill="EDCDCF"/>
          </w:tcPr>
          <w:p w14:paraId="29EE7884" w14:textId="72901381" w:rsidR="008B0CE6" w:rsidRPr="00DB4F90" w:rsidRDefault="008B0CE6" w:rsidP="007C7948">
            <w:pPr>
              <w:pStyle w:val="DHHStablecolhead"/>
            </w:pPr>
            <w:r w:rsidRPr="00DB4F90">
              <w:t>15</w:t>
            </w:r>
            <w:r w:rsidR="00F40F85" w:rsidRPr="00DB4F90">
              <w:t xml:space="preserve"> yrs</w:t>
            </w:r>
          </w:p>
        </w:tc>
        <w:tc>
          <w:tcPr>
            <w:tcW w:w="992" w:type="dxa"/>
            <w:shd w:val="clear" w:color="auto" w:fill="EDCDCF"/>
          </w:tcPr>
          <w:p w14:paraId="3C922736" w14:textId="7B242806" w:rsidR="008B0CE6" w:rsidRPr="00DB4F90" w:rsidRDefault="008B0CE6" w:rsidP="007C7948">
            <w:pPr>
              <w:pStyle w:val="DHHStablecolhead"/>
            </w:pPr>
            <w:r w:rsidRPr="00DB4F90">
              <w:t>16</w:t>
            </w:r>
            <w:r w:rsidR="00F40F85" w:rsidRPr="00DB4F90">
              <w:t xml:space="preserve"> yrs</w:t>
            </w:r>
          </w:p>
        </w:tc>
        <w:tc>
          <w:tcPr>
            <w:tcW w:w="992" w:type="dxa"/>
            <w:shd w:val="clear" w:color="auto" w:fill="EDCDCF"/>
          </w:tcPr>
          <w:p w14:paraId="4DF7127D" w14:textId="1E4CBCED" w:rsidR="008B0CE6" w:rsidRPr="00DB4F90" w:rsidRDefault="008B0CE6" w:rsidP="007C7948">
            <w:pPr>
              <w:pStyle w:val="DHHStablecolhead"/>
            </w:pPr>
            <w:r w:rsidRPr="00DB4F90">
              <w:t>17</w:t>
            </w:r>
            <w:r w:rsidR="00F40F85" w:rsidRPr="00DB4F90">
              <w:t xml:space="preserve"> yrs</w:t>
            </w:r>
          </w:p>
        </w:tc>
        <w:tc>
          <w:tcPr>
            <w:tcW w:w="1240" w:type="dxa"/>
            <w:shd w:val="clear" w:color="auto" w:fill="EDCDCF"/>
          </w:tcPr>
          <w:p w14:paraId="1A8D3761" w14:textId="106C8F65" w:rsidR="008B0CE6" w:rsidRPr="00DB4F90" w:rsidRDefault="008B0CE6" w:rsidP="007C7948">
            <w:pPr>
              <w:pStyle w:val="DHHStablecolhead"/>
            </w:pPr>
            <w:r w:rsidRPr="00DB4F90">
              <w:t>12</w:t>
            </w:r>
            <w:r w:rsidR="00690CD3" w:rsidRPr="00DB4F90">
              <w:t>–1</w:t>
            </w:r>
            <w:r w:rsidRPr="00DB4F90">
              <w:t>7</w:t>
            </w:r>
            <w:r w:rsidR="00F40F85" w:rsidRPr="00DB4F90">
              <w:t xml:space="preserve"> yrs</w:t>
            </w:r>
          </w:p>
        </w:tc>
      </w:tr>
      <w:tr w:rsidR="008B0CE6" w14:paraId="03F78CA5" w14:textId="77777777" w:rsidTr="007C7948">
        <w:trPr>
          <w:trHeight w:val="216"/>
        </w:trPr>
        <w:tc>
          <w:tcPr>
            <w:tcW w:w="3109" w:type="dxa"/>
            <w:shd w:val="clear" w:color="auto" w:fill="auto"/>
          </w:tcPr>
          <w:p w14:paraId="280FFF5A" w14:textId="1C2892C8" w:rsidR="008B0CE6" w:rsidRPr="008B0CE6" w:rsidRDefault="008B0CE6" w:rsidP="007C7948">
            <w:pPr>
              <w:pStyle w:val="DHHStabletext"/>
            </w:pPr>
            <w:r w:rsidRPr="008B0CE6">
              <w:t>Males</w:t>
            </w:r>
            <w:r w:rsidR="00F40F85">
              <w:t xml:space="preserve"> (%)</w:t>
            </w:r>
          </w:p>
        </w:tc>
        <w:tc>
          <w:tcPr>
            <w:tcW w:w="1048" w:type="dxa"/>
            <w:shd w:val="clear" w:color="auto" w:fill="auto"/>
          </w:tcPr>
          <w:p w14:paraId="08C3EDD9" w14:textId="2D261E02" w:rsidR="008B0CE6" w:rsidRPr="008B0CE6" w:rsidRDefault="008B0CE6" w:rsidP="007C7948">
            <w:pPr>
              <w:pStyle w:val="DHHStabletext"/>
            </w:pPr>
            <w:r>
              <w:t>1.2</w:t>
            </w:r>
          </w:p>
        </w:tc>
        <w:tc>
          <w:tcPr>
            <w:tcW w:w="927" w:type="dxa"/>
            <w:shd w:val="clear" w:color="auto" w:fill="auto"/>
          </w:tcPr>
          <w:p w14:paraId="5F88629D" w14:textId="173F4C4C" w:rsidR="008B0CE6" w:rsidRPr="008B0CE6" w:rsidRDefault="008B0CE6" w:rsidP="007C7948">
            <w:pPr>
              <w:pStyle w:val="DHHStabletext"/>
            </w:pPr>
            <w:r>
              <w:t>1.8</w:t>
            </w:r>
          </w:p>
        </w:tc>
        <w:tc>
          <w:tcPr>
            <w:tcW w:w="1002" w:type="dxa"/>
            <w:shd w:val="clear" w:color="auto" w:fill="auto"/>
          </w:tcPr>
          <w:p w14:paraId="0E3C1780" w14:textId="0FD0FE21" w:rsidR="008B0CE6" w:rsidRPr="008B0CE6" w:rsidRDefault="008B0CE6" w:rsidP="007C7948">
            <w:pPr>
              <w:pStyle w:val="DHHStabletext"/>
            </w:pPr>
            <w:r>
              <w:t>3.1</w:t>
            </w:r>
          </w:p>
        </w:tc>
        <w:tc>
          <w:tcPr>
            <w:tcW w:w="992" w:type="dxa"/>
            <w:shd w:val="clear" w:color="auto" w:fill="auto"/>
          </w:tcPr>
          <w:p w14:paraId="325E43A5" w14:textId="5FC6CDBC" w:rsidR="008B0CE6" w:rsidRPr="008B0CE6" w:rsidRDefault="008B0CE6" w:rsidP="007C7948">
            <w:pPr>
              <w:pStyle w:val="DHHStabletext"/>
            </w:pPr>
            <w:r>
              <w:t>5.1</w:t>
            </w:r>
          </w:p>
        </w:tc>
        <w:tc>
          <w:tcPr>
            <w:tcW w:w="992" w:type="dxa"/>
            <w:shd w:val="clear" w:color="auto" w:fill="auto"/>
          </w:tcPr>
          <w:p w14:paraId="6555E8FB" w14:textId="41922641" w:rsidR="008B0CE6" w:rsidRPr="008B0CE6" w:rsidRDefault="008B0CE6" w:rsidP="007C7948">
            <w:pPr>
              <w:pStyle w:val="DHHStabletext"/>
            </w:pPr>
            <w:r>
              <w:t>10.3</w:t>
            </w:r>
          </w:p>
        </w:tc>
        <w:tc>
          <w:tcPr>
            <w:tcW w:w="992" w:type="dxa"/>
            <w:shd w:val="clear" w:color="auto" w:fill="auto"/>
          </w:tcPr>
          <w:p w14:paraId="2BD7CF6F" w14:textId="3396BDE8" w:rsidR="008B0CE6" w:rsidRPr="008B0CE6" w:rsidRDefault="008B0CE6" w:rsidP="007C7948">
            <w:pPr>
              <w:pStyle w:val="DHHStabletext"/>
            </w:pPr>
            <w:r>
              <w:t>13.4</w:t>
            </w:r>
          </w:p>
        </w:tc>
        <w:tc>
          <w:tcPr>
            <w:tcW w:w="1240" w:type="dxa"/>
            <w:shd w:val="clear" w:color="auto" w:fill="auto"/>
          </w:tcPr>
          <w:p w14:paraId="113D9E88" w14:textId="1F19B4E7" w:rsidR="008B0CE6" w:rsidRPr="008B0CE6" w:rsidRDefault="008B0CE6" w:rsidP="007C7948">
            <w:pPr>
              <w:pStyle w:val="DHHStabletext"/>
            </w:pPr>
            <w:r>
              <w:t>5.4</w:t>
            </w:r>
          </w:p>
        </w:tc>
      </w:tr>
      <w:tr w:rsidR="008B0CE6" w14:paraId="049DD1B4" w14:textId="77777777" w:rsidTr="007C7948">
        <w:trPr>
          <w:trHeight w:val="216"/>
        </w:trPr>
        <w:tc>
          <w:tcPr>
            <w:tcW w:w="3109" w:type="dxa"/>
            <w:shd w:val="clear" w:color="auto" w:fill="auto"/>
          </w:tcPr>
          <w:p w14:paraId="4ADB431F" w14:textId="2FCF515D" w:rsidR="008B0CE6" w:rsidRPr="008B0CE6" w:rsidRDefault="008B0CE6" w:rsidP="007C7948">
            <w:pPr>
              <w:pStyle w:val="DHHStabletext"/>
            </w:pPr>
            <w:r w:rsidRPr="008B0CE6">
              <w:t>Females</w:t>
            </w:r>
            <w:r w:rsidR="00F40F85">
              <w:t xml:space="preserve"> (%)</w:t>
            </w:r>
          </w:p>
        </w:tc>
        <w:tc>
          <w:tcPr>
            <w:tcW w:w="1048" w:type="dxa"/>
            <w:shd w:val="clear" w:color="auto" w:fill="auto"/>
          </w:tcPr>
          <w:p w14:paraId="58AAEA68" w14:textId="0DE4D02A" w:rsidR="008B0CE6" w:rsidRPr="008B0CE6" w:rsidRDefault="008B0CE6" w:rsidP="007C7948">
            <w:pPr>
              <w:pStyle w:val="DHHStabletext"/>
            </w:pPr>
            <w:r>
              <w:t>0.9</w:t>
            </w:r>
          </w:p>
        </w:tc>
        <w:tc>
          <w:tcPr>
            <w:tcW w:w="927" w:type="dxa"/>
            <w:shd w:val="clear" w:color="auto" w:fill="auto"/>
          </w:tcPr>
          <w:p w14:paraId="2FEF7212" w14:textId="42A0E98F" w:rsidR="008B0CE6" w:rsidRPr="008B0CE6" w:rsidRDefault="008B0CE6" w:rsidP="007C7948">
            <w:pPr>
              <w:pStyle w:val="DHHStabletext"/>
            </w:pPr>
            <w:r>
              <w:t>1.8</w:t>
            </w:r>
          </w:p>
        </w:tc>
        <w:tc>
          <w:tcPr>
            <w:tcW w:w="1002" w:type="dxa"/>
            <w:shd w:val="clear" w:color="auto" w:fill="auto"/>
          </w:tcPr>
          <w:p w14:paraId="0FF7F1A9" w14:textId="5FAEBDCC" w:rsidR="008B0CE6" w:rsidRPr="008B0CE6" w:rsidRDefault="008B0CE6" w:rsidP="007C7948">
            <w:pPr>
              <w:pStyle w:val="DHHStabletext"/>
            </w:pPr>
            <w:r>
              <w:t>4.0</w:t>
            </w:r>
          </w:p>
        </w:tc>
        <w:tc>
          <w:tcPr>
            <w:tcW w:w="992" w:type="dxa"/>
            <w:shd w:val="clear" w:color="auto" w:fill="auto"/>
          </w:tcPr>
          <w:p w14:paraId="35FEA10F" w14:textId="4A5403EA" w:rsidR="008B0CE6" w:rsidRPr="008B0CE6" w:rsidRDefault="008B0CE6" w:rsidP="007C7948">
            <w:pPr>
              <w:pStyle w:val="DHHStabletext"/>
            </w:pPr>
            <w:r>
              <w:t>5.9</w:t>
            </w:r>
          </w:p>
        </w:tc>
        <w:tc>
          <w:tcPr>
            <w:tcW w:w="992" w:type="dxa"/>
            <w:shd w:val="clear" w:color="auto" w:fill="auto"/>
          </w:tcPr>
          <w:p w14:paraId="04758CED" w14:textId="51349D91" w:rsidR="008B0CE6" w:rsidRPr="008B0CE6" w:rsidRDefault="008B0CE6" w:rsidP="007C7948">
            <w:pPr>
              <w:pStyle w:val="DHHStabletext"/>
            </w:pPr>
            <w:r>
              <w:t>7.3</w:t>
            </w:r>
          </w:p>
        </w:tc>
        <w:tc>
          <w:tcPr>
            <w:tcW w:w="992" w:type="dxa"/>
            <w:shd w:val="clear" w:color="auto" w:fill="auto"/>
          </w:tcPr>
          <w:p w14:paraId="2CAC16B9" w14:textId="7949B2C3" w:rsidR="008B0CE6" w:rsidRPr="008B0CE6" w:rsidRDefault="008B0CE6" w:rsidP="007C7948">
            <w:pPr>
              <w:pStyle w:val="DHHStabletext"/>
            </w:pPr>
            <w:r>
              <w:t>10.9</w:t>
            </w:r>
          </w:p>
        </w:tc>
        <w:tc>
          <w:tcPr>
            <w:tcW w:w="1240" w:type="dxa"/>
            <w:shd w:val="clear" w:color="auto" w:fill="auto"/>
          </w:tcPr>
          <w:p w14:paraId="60F07AA4" w14:textId="717A56E0" w:rsidR="008B0CE6" w:rsidRPr="008B0CE6" w:rsidRDefault="008B0CE6" w:rsidP="007C7948">
            <w:pPr>
              <w:pStyle w:val="DHHStabletext"/>
            </w:pPr>
            <w:r>
              <w:t>4.9</w:t>
            </w:r>
          </w:p>
        </w:tc>
      </w:tr>
      <w:tr w:rsidR="008B0CE6" w14:paraId="632437EC" w14:textId="77777777" w:rsidTr="007C7948">
        <w:trPr>
          <w:trHeight w:val="216"/>
        </w:trPr>
        <w:tc>
          <w:tcPr>
            <w:tcW w:w="3109" w:type="dxa"/>
            <w:shd w:val="clear" w:color="auto" w:fill="auto"/>
          </w:tcPr>
          <w:p w14:paraId="35829DFD" w14:textId="3BB390C8" w:rsidR="008B0CE6" w:rsidRPr="00617087" w:rsidRDefault="008B0CE6" w:rsidP="007C7948">
            <w:pPr>
              <w:pStyle w:val="DHHStabletext"/>
              <w:rPr>
                <w:b/>
              </w:rPr>
            </w:pPr>
            <w:r w:rsidRPr="00617087">
              <w:rPr>
                <w:b/>
              </w:rPr>
              <w:t>Total</w:t>
            </w:r>
            <w:r w:rsidR="00F40F85">
              <w:rPr>
                <w:b/>
              </w:rPr>
              <w:t xml:space="preserve"> (%)</w:t>
            </w:r>
          </w:p>
        </w:tc>
        <w:tc>
          <w:tcPr>
            <w:tcW w:w="1048" w:type="dxa"/>
            <w:shd w:val="clear" w:color="auto" w:fill="auto"/>
          </w:tcPr>
          <w:p w14:paraId="6EF3C434" w14:textId="6DE9079D" w:rsidR="008B0CE6" w:rsidRPr="00FD69FE" w:rsidRDefault="008B0CE6" w:rsidP="007C7948">
            <w:pPr>
              <w:pStyle w:val="DHHStabletext"/>
            </w:pPr>
            <w:r w:rsidRPr="00FD69FE">
              <w:t>1.1</w:t>
            </w:r>
          </w:p>
        </w:tc>
        <w:tc>
          <w:tcPr>
            <w:tcW w:w="927" w:type="dxa"/>
            <w:shd w:val="clear" w:color="auto" w:fill="auto"/>
          </w:tcPr>
          <w:p w14:paraId="18BB022B" w14:textId="576CE91B" w:rsidR="008B0CE6" w:rsidRPr="00FD69FE" w:rsidRDefault="008B0CE6" w:rsidP="007C7948">
            <w:pPr>
              <w:pStyle w:val="DHHStabletext"/>
            </w:pPr>
            <w:r w:rsidRPr="00FD69FE">
              <w:t>1.8</w:t>
            </w:r>
          </w:p>
        </w:tc>
        <w:tc>
          <w:tcPr>
            <w:tcW w:w="1002" w:type="dxa"/>
            <w:shd w:val="clear" w:color="auto" w:fill="auto"/>
          </w:tcPr>
          <w:p w14:paraId="594EE816" w14:textId="1431CD0C" w:rsidR="008B0CE6" w:rsidRPr="00FD69FE" w:rsidRDefault="008B0CE6" w:rsidP="007C7948">
            <w:pPr>
              <w:pStyle w:val="DHHStabletext"/>
            </w:pPr>
            <w:r w:rsidRPr="00FD69FE">
              <w:t>3.5</w:t>
            </w:r>
          </w:p>
        </w:tc>
        <w:tc>
          <w:tcPr>
            <w:tcW w:w="992" w:type="dxa"/>
            <w:shd w:val="clear" w:color="auto" w:fill="auto"/>
          </w:tcPr>
          <w:p w14:paraId="432A843C" w14:textId="4F626ABB" w:rsidR="008B0CE6" w:rsidRPr="00FD69FE" w:rsidRDefault="008B0CE6" w:rsidP="007C7948">
            <w:pPr>
              <w:pStyle w:val="DHHStabletext"/>
            </w:pPr>
            <w:r w:rsidRPr="00FD69FE">
              <w:t>5.5</w:t>
            </w:r>
          </w:p>
        </w:tc>
        <w:tc>
          <w:tcPr>
            <w:tcW w:w="992" w:type="dxa"/>
            <w:shd w:val="clear" w:color="auto" w:fill="auto"/>
          </w:tcPr>
          <w:p w14:paraId="511FCF62" w14:textId="49009F85" w:rsidR="008B0CE6" w:rsidRPr="00FD69FE" w:rsidRDefault="008B0CE6" w:rsidP="007C7948">
            <w:pPr>
              <w:pStyle w:val="DHHStabletext"/>
            </w:pPr>
            <w:r w:rsidRPr="00FD69FE">
              <w:t>8.8</w:t>
            </w:r>
          </w:p>
        </w:tc>
        <w:tc>
          <w:tcPr>
            <w:tcW w:w="992" w:type="dxa"/>
            <w:shd w:val="clear" w:color="auto" w:fill="auto"/>
          </w:tcPr>
          <w:p w14:paraId="4C63B76C" w14:textId="59E61490" w:rsidR="008B0CE6" w:rsidRPr="00FD69FE" w:rsidRDefault="008B0CE6" w:rsidP="007C7948">
            <w:pPr>
              <w:pStyle w:val="DHHStabletext"/>
            </w:pPr>
            <w:r w:rsidRPr="00FD69FE">
              <w:t>12.1</w:t>
            </w:r>
          </w:p>
        </w:tc>
        <w:tc>
          <w:tcPr>
            <w:tcW w:w="1240" w:type="dxa"/>
            <w:shd w:val="clear" w:color="auto" w:fill="auto"/>
          </w:tcPr>
          <w:p w14:paraId="28807564" w14:textId="2D888E89" w:rsidR="008B0CE6" w:rsidRPr="00FD69FE" w:rsidRDefault="008B0CE6" w:rsidP="007C7948">
            <w:pPr>
              <w:pStyle w:val="DHHStabletext"/>
            </w:pPr>
            <w:r w:rsidRPr="00FD69FE">
              <w:t>5.1</w:t>
            </w:r>
          </w:p>
        </w:tc>
      </w:tr>
      <w:tr w:rsidR="00C84F99" w14:paraId="3F5C283D" w14:textId="77777777" w:rsidTr="00D72DEC">
        <w:trPr>
          <w:trHeight w:val="216"/>
        </w:trPr>
        <w:tc>
          <w:tcPr>
            <w:tcW w:w="3109" w:type="dxa"/>
            <w:tcBorders>
              <w:bottom w:val="nil"/>
            </w:tcBorders>
            <w:shd w:val="clear" w:color="auto" w:fill="auto"/>
          </w:tcPr>
          <w:p w14:paraId="2AD92FE1" w14:textId="77777777" w:rsidR="00C84F99" w:rsidRPr="00617087" w:rsidRDefault="00C84F99" w:rsidP="007C7948">
            <w:pPr>
              <w:pStyle w:val="DHHStabletext"/>
              <w:rPr>
                <w:b/>
              </w:rPr>
            </w:pPr>
          </w:p>
        </w:tc>
        <w:tc>
          <w:tcPr>
            <w:tcW w:w="1048" w:type="dxa"/>
            <w:tcBorders>
              <w:bottom w:val="nil"/>
            </w:tcBorders>
            <w:shd w:val="clear" w:color="auto" w:fill="auto"/>
          </w:tcPr>
          <w:p w14:paraId="690E8BD9" w14:textId="77777777" w:rsidR="00C84F99" w:rsidRPr="00FD69FE" w:rsidRDefault="00C84F99" w:rsidP="007C7948">
            <w:pPr>
              <w:pStyle w:val="DHHStabletext"/>
            </w:pPr>
          </w:p>
        </w:tc>
        <w:tc>
          <w:tcPr>
            <w:tcW w:w="927" w:type="dxa"/>
            <w:tcBorders>
              <w:bottom w:val="nil"/>
            </w:tcBorders>
            <w:shd w:val="clear" w:color="auto" w:fill="auto"/>
          </w:tcPr>
          <w:p w14:paraId="6E17FE1D" w14:textId="77777777" w:rsidR="00C84F99" w:rsidRPr="00FD69FE" w:rsidRDefault="00C84F99" w:rsidP="007C7948">
            <w:pPr>
              <w:pStyle w:val="DHHStabletext"/>
            </w:pPr>
          </w:p>
        </w:tc>
        <w:tc>
          <w:tcPr>
            <w:tcW w:w="1002" w:type="dxa"/>
            <w:tcBorders>
              <w:bottom w:val="nil"/>
            </w:tcBorders>
            <w:shd w:val="clear" w:color="auto" w:fill="auto"/>
          </w:tcPr>
          <w:p w14:paraId="297C8929" w14:textId="77777777" w:rsidR="00C84F99" w:rsidRPr="00FD69FE" w:rsidRDefault="00C84F99" w:rsidP="007C7948">
            <w:pPr>
              <w:pStyle w:val="DHHStabletext"/>
            </w:pPr>
          </w:p>
        </w:tc>
        <w:tc>
          <w:tcPr>
            <w:tcW w:w="992" w:type="dxa"/>
            <w:tcBorders>
              <w:bottom w:val="nil"/>
            </w:tcBorders>
            <w:shd w:val="clear" w:color="auto" w:fill="auto"/>
          </w:tcPr>
          <w:p w14:paraId="29A6AFA8" w14:textId="77777777" w:rsidR="00C84F99" w:rsidRPr="00FD69FE" w:rsidRDefault="00C84F99" w:rsidP="007C7948">
            <w:pPr>
              <w:pStyle w:val="DHHStabletext"/>
            </w:pPr>
          </w:p>
        </w:tc>
        <w:tc>
          <w:tcPr>
            <w:tcW w:w="992" w:type="dxa"/>
            <w:tcBorders>
              <w:bottom w:val="nil"/>
            </w:tcBorders>
            <w:shd w:val="clear" w:color="auto" w:fill="auto"/>
          </w:tcPr>
          <w:p w14:paraId="7AAD77A0" w14:textId="77777777" w:rsidR="00C84F99" w:rsidRPr="00FD69FE" w:rsidRDefault="00C84F99" w:rsidP="007C7948">
            <w:pPr>
              <w:pStyle w:val="DHHStabletext"/>
            </w:pPr>
          </w:p>
        </w:tc>
        <w:tc>
          <w:tcPr>
            <w:tcW w:w="992" w:type="dxa"/>
            <w:tcBorders>
              <w:bottom w:val="nil"/>
            </w:tcBorders>
            <w:shd w:val="clear" w:color="auto" w:fill="auto"/>
          </w:tcPr>
          <w:p w14:paraId="6BD32CC8" w14:textId="77777777" w:rsidR="00C84F99" w:rsidRPr="00FD69FE" w:rsidRDefault="00C84F99" w:rsidP="007C7948">
            <w:pPr>
              <w:pStyle w:val="DHHStabletext"/>
            </w:pPr>
          </w:p>
        </w:tc>
        <w:tc>
          <w:tcPr>
            <w:tcW w:w="1240" w:type="dxa"/>
            <w:tcBorders>
              <w:bottom w:val="nil"/>
            </w:tcBorders>
            <w:shd w:val="clear" w:color="auto" w:fill="auto"/>
          </w:tcPr>
          <w:p w14:paraId="1F69F802" w14:textId="77777777" w:rsidR="00C84F99" w:rsidRPr="00FD69FE" w:rsidRDefault="00C84F99" w:rsidP="007C7948">
            <w:pPr>
              <w:pStyle w:val="DHHStabletext"/>
            </w:pPr>
          </w:p>
        </w:tc>
      </w:tr>
      <w:tr w:rsidR="00C84F99" w14:paraId="22C3B5FB" w14:textId="77777777" w:rsidTr="00D72DEC">
        <w:trPr>
          <w:trHeight w:val="216"/>
        </w:trPr>
        <w:tc>
          <w:tcPr>
            <w:tcW w:w="3109" w:type="dxa"/>
            <w:tcBorders>
              <w:top w:val="nil"/>
            </w:tcBorders>
            <w:shd w:val="clear" w:color="auto" w:fill="EDCDCF"/>
          </w:tcPr>
          <w:p w14:paraId="0B6DF3CF" w14:textId="79190274" w:rsidR="00C84F99" w:rsidRPr="00617087" w:rsidRDefault="00F40F85" w:rsidP="007C7948">
            <w:pPr>
              <w:pStyle w:val="DHHStablecolhead"/>
            </w:pPr>
            <w:r w:rsidRPr="00DB4F90">
              <w:t>Current smokers (Victoria)</w:t>
            </w:r>
          </w:p>
        </w:tc>
        <w:tc>
          <w:tcPr>
            <w:tcW w:w="1048" w:type="dxa"/>
            <w:tcBorders>
              <w:top w:val="nil"/>
            </w:tcBorders>
            <w:shd w:val="clear" w:color="auto" w:fill="EDCDCF"/>
          </w:tcPr>
          <w:p w14:paraId="142EFB7B" w14:textId="77777777" w:rsidR="00C84F99" w:rsidRPr="00FD69FE" w:rsidRDefault="00C84F99" w:rsidP="007C7948">
            <w:pPr>
              <w:pStyle w:val="DHHStablecolhead"/>
            </w:pPr>
          </w:p>
        </w:tc>
        <w:tc>
          <w:tcPr>
            <w:tcW w:w="927" w:type="dxa"/>
            <w:tcBorders>
              <w:top w:val="nil"/>
            </w:tcBorders>
            <w:shd w:val="clear" w:color="auto" w:fill="EDCDCF"/>
          </w:tcPr>
          <w:p w14:paraId="697268C2" w14:textId="77777777" w:rsidR="00C84F99" w:rsidRPr="00FD69FE" w:rsidRDefault="00C84F99" w:rsidP="007C7948">
            <w:pPr>
              <w:pStyle w:val="DHHStablecolhead"/>
            </w:pPr>
          </w:p>
        </w:tc>
        <w:tc>
          <w:tcPr>
            <w:tcW w:w="1002" w:type="dxa"/>
            <w:tcBorders>
              <w:top w:val="nil"/>
            </w:tcBorders>
            <w:shd w:val="clear" w:color="auto" w:fill="EDCDCF"/>
          </w:tcPr>
          <w:p w14:paraId="6529DAD4" w14:textId="77777777" w:rsidR="00C84F99" w:rsidRPr="00FD69FE" w:rsidRDefault="00C84F99" w:rsidP="007C7948">
            <w:pPr>
              <w:pStyle w:val="DHHStablecolhead"/>
            </w:pPr>
          </w:p>
        </w:tc>
        <w:tc>
          <w:tcPr>
            <w:tcW w:w="992" w:type="dxa"/>
            <w:tcBorders>
              <w:top w:val="nil"/>
            </w:tcBorders>
            <w:shd w:val="clear" w:color="auto" w:fill="EDCDCF"/>
          </w:tcPr>
          <w:p w14:paraId="11BCD6A1" w14:textId="77777777" w:rsidR="00C84F99" w:rsidRPr="00FD69FE" w:rsidRDefault="00C84F99" w:rsidP="007C7948">
            <w:pPr>
              <w:pStyle w:val="DHHStablecolhead"/>
            </w:pPr>
          </w:p>
        </w:tc>
        <w:tc>
          <w:tcPr>
            <w:tcW w:w="992" w:type="dxa"/>
            <w:tcBorders>
              <w:top w:val="nil"/>
            </w:tcBorders>
            <w:shd w:val="clear" w:color="auto" w:fill="EDCDCF"/>
          </w:tcPr>
          <w:p w14:paraId="14828946" w14:textId="77777777" w:rsidR="00C84F99" w:rsidRPr="00FD69FE" w:rsidRDefault="00C84F99" w:rsidP="007C7948">
            <w:pPr>
              <w:pStyle w:val="DHHStablecolhead"/>
            </w:pPr>
          </w:p>
        </w:tc>
        <w:tc>
          <w:tcPr>
            <w:tcW w:w="992" w:type="dxa"/>
            <w:tcBorders>
              <w:top w:val="nil"/>
            </w:tcBorders>
            <w:shd w:val="clear" w:color="auto" w:fill="EDCDCF"/>
          </w:tcPr>
          <w:p w14:paraId="6ED91167" w14:textId="77777777" w:rsidR="00C84F99" w:rsidRPr="00FD69FE" w:rsidRDefault="00C84F99" w:rsidP="007C7948">
            <w:pPr>
              <w:pStyle w:val="DHHStablecolhead"/>
            </w:pPr>
          </w:p>
        </w:tc>
        <w:tc>
          <w:tcPr>
            <w:tcW w:w="1240" w:type="dxa"/>
            <w:tcBorders>
              <w:top w:val="nil"/>
            </w:tcBorders>
            <w:shd w:val="clear" w:color="auto" w:fill="EDCDCF"/>
          </w:tcPr>
          <w:p w14:paraId="187D877E" w14:textId="77777777" w:rsidR="00C84F99" w:rsidRPr="00FD69FE" w:rsidRDefault="00C84F99" w:rsidP="007C7948">
            <w:pPr>
              <w:pStyle w:val="DHHStablecolhead"/>
            </w:pPr>
          </w:p>
        </w:tc>
      </w:tr>
      <w:tr w:rsidR="00F40F85" w14:paraId="7A07189D" w14:textId="77777777" w:rsidTr="007C7948">
        <w:trPr>
          <w:trHeight w:val="216"/>
        </w:trPr>
        <w:tc>
          <w:tcPr>
            <w:tcW w:w="3109" w:type="dxa"/>
            <w:shd w:val="clear" w:color="auto" w:fill="auto"/>
          </w:tcPr>
          <w:p w14:paraId="408735DF" w14:textId="2A98CE89" w:rsidR="00F40F85" w:rsidRPr="00617087" w:rsidRDefault="00F40F85" w:rsidP="007C7948">
            <w:pPr>
              <w:pStyle w:val="DHHStabletext"/>
              <w:rPr>
                <w:b/>
              </w:rPr>
            </w:pPr>
            <w:r w:rsidRPr="008B0CE6">
              <w:t>Males</w:t>
            </w:r>
            <w:r>
              <w:t xml:space="preserve"> (%)</w:t>
            </w:r>
          </w:p>
        </w:tc>
        <w:tc>
          <w:tcPr>
            <w:tcW w:w="1048" w:type="dxa"/>
            <w:shd w:val="clear" w:color="auto" w:fill="auto"/>
          </w:tcPr>
          <w:p w14:paraId="1E2A78BE" w14:textId="34912F2E" w:rsidR="00F40F85" w:rsidRPr="00FD69FE" w:rsidRDefault="00F40F85" w:rsidP="007C7948">
            <w:pPr>
              <w:pStyle w:val="DHHStabletext"/>
            </w:pPr>
            <w:r>
              <w:t>1.0</w:t>
            </w:r>
          </w:p>
        </w:tc>
        <w:tc>
          <w:tcPr>
            <w:tcW w:w="927" w:type="dxa"/>
            <w:shd w:val="clear" w:color="auto" w:fill="auto"/>
          </w:tcPr>
          <w:p w14:paraId="5E66C47F" w14:textId="122C41E9" w:rsidR="00F40F85" w:rsidRPr="00FD69FE" w:rsidRDefault="00F40F85" w:rsidP="007C7948">
            <w:pPr>
              <w:pStyle w:val="DHHStabletext"/>
            </w:pPr>
            <w:r>
              <w:t>2.0</w:t>
            </w:r>
          </w:p>
        </w:tc>
        <w:tc>
          <w:tcPr>
            <w:tcW w:w="1002" w:type="dxa"/>
            <w:shd w:val="clear" w:color="auto" w:fill="auto"/>
          </w:tcPr>
          <w:p w14:paraId="278D342C" w14:textId="3055FA2F" w:rsidR="00F40F85" w:rsidRPr="00FD69FE" w:rsidRDefault="00F40F85" w:rsidP="007C7948">
            <w:pPr>
              <w:pStyle w:val="DHHStabletext"/>
            </w:pPr>
            <w:r>
              <w:t>3.0</w:t>
            </w:r>
          </w:p>
        </w:tc>
        <w:tc>
          <w:tcPr>
            <w:tcW w:w="992" w:type="dxa"/>
            <w:shd w:val="clear" w:color="auto" w:fill="auto"/>
          </w:tcPr>
          <w:p w14:paraId="6F17555F" w14:textId="70FB9F40" w:rsidR="00F40F85" w:rsidRPr="00FD69FE" w:rsidRDefault="00F40F85" w:rsidP="007C7948">
            <w:pPr>
              <w:pStyle w:val="DHHStabletext"/>
            </w:pPr>
            <w:r>
              <w:t>5.0</w:t>
            </w:r>
          </w:p>
        </w:tc>
        <w:tc>
          <w:tcPr>
            <w:tcW w:w="992" w:type="dxa"/>
            <w:shd w:val="clear" w:color="auto" w:fill="auto"/>
          </w:tcPr>
          <w:p w14:paraId="6D331219" w14:textId="75532884" w:rsidR="00F40F85" w:rsidRPr="00FD69FE" w:rsidRDefault="00F40F85" w:rsidP="007C7948">
            <w:pPr>
              <w:pStyle w:val="DHHStabletext"/>
            </w:pPr>
            <w:r>
              <w:t>10.0</w:t>
            </w:r>
          </w:p>
        </w:tc>
        <w:tc>
          <w:tcPr>
            <w:tcW w:w="992" w:type="dxa"/>
            <w:shd w:val="clear" w:color="auto" w:fill="auto"/>
          </w:tcPr>
          <w:p w14:paraId="5B4A3B32" w14:textId="62237EEE" w:rsidR="00F40F85" w:rsidRPr="00FD69FE" w:rsidRDefault="00F40F85" w:rsidP="007C7948">
            <w:pPr>
              <w:pStyle w:val="DHHStabletext"/>
            </w:pPr>
            <w:r>
              <w:t>13.0</w:t>
            </w:r>
          </w:p>
        </w:tc>
        <w:tc>
          <w:tcPr>
            <w:tcW w:w="1240" w:type="dxa"/>
            <w:shd w:val="clear" w:color="auto" w:fill="auto"/>
            <w:vAlign w:val="center"/>
          </w:tcPr>
          <w:p w14:paraId="49CDDF94" w14:textId="1C579E2A" w:rsidR="00F40F85" w:rsidRPr="00FD69FE" w:rsidRDefault="00F40F85" w:rsidP="007C7948">
            <w:pPr>
              <w:pStyle w:val="DHHStabletext"/>
            </w:pPr>
            <w:r>
              <w:t>6.0</w:t>
            </w:r>
          </w:p>
        </w:tc>
      </w:tr>
      <w:tr w:rsidR="00F40F85" w14:paraId="55765456" w14:textId="77777777" w:rsidTr="007C7948">
        <w:trPr>
          <w:trHeight w:val="216"/>
        </w:trPr>
        <w:tc>
          <w:tcPr>
            <w:tcW w:w="3109" w:type="dxa"/>
            <w:shd w:val="clear" w:color="auto" w:fill="auto"/>
          </w:tcPr>
          <w:p w14:paraId="7D4835CB" w14:textId="40E75BAD" w:rsidR="00F40F85" w:rsidRPr="00617087" w:rsidRDefault="00F40F85" w:rsidP="007C7948">
            <w:pPr>
              <w:pStyle w:val="DHHStabletext"/>
              <w:rPr>
                <w:b/>
              </w:rPr>
            </w:pPr>
            <w:r w:rsidRPr="008B0CE6">
              <w:t>Females</w:t>
            </w:r>
            <w:r>
              <w:t xml:space="preserve"> (%)</w:t>
            </w:r>
          </w:p>
        </w:tc>
        <w:tc>
          <w:tcPr>
            <w:tcW w:w="1048" w:type="dxa"/>
            <w:shd w:val="clear" w:color="auto" w:fill="auto"/>
          </w:tcPr>
          <w:p w14:paraId="5644A933" w14:textId="00EF6A01" w:rsidR="00F40F85" w:rsidRPr="00FD69FE" w:rsidRDefault="00F40F85" w:rsidP="007C7948">
            <w:pPr>
              <w:pStyle w:val="DHHStabletext"/>
            </w:pPr>
            <w:r>
              <w:t>1.0</w:t>
            </w:r>
          </w:p>
        </w:tc>
        <w:tc>
          <w:tcPr>
            <w:tcW w:w="927" w:type="dxa"/>
            <w:shd w:val="clear" w:color="auto" w:fill="auto"/>
          </w:tcPr>
          <w:p w14:paraId="231BFE7E" w14:textId="72758893" w:rsidR="00F40F85" w:rsidRPr="00FD69FE" w:rsidRDefault="00F40F85" w:rsidP="007C7948">
            <w:pPr>
              <w:pStyle w:val="DHHStabletext"/>
            </w:pPr>
            <w:r>
              <w:t>2.0</w:t>
            </w:r>
          </w:p>
        </w:tc>
        <w:tc>
          <w:tcPr>
            <w:tcW w:w="1002" w:type="dxa"/>
            <w:shd w:val="clear" w:color="auto" w:fill="auto"/>
          </w:tcPr>
          <w:p w14:paraId="03FEF002" w14:textId="63DF40E4" w:rsidR="00F40F85" w:rsidRPr="00FD69FE" w:rsidRDefault="00F40F85" w:rsidP="007C7948">
            <w:pPr>
              <w:pStyle w:val="DHHStabletext"/>
            </w:pPr>
            <w:r>
              <w:t>4.0</w:t>
            </w:r>
          </w:p>
        </w:tc>
        <w:tc>
          <w:tcPr>
            <w:tcW w:w="992" w:type="dxa"/>
            <w:shd w:val="clear" w:color="auto" w:fill="auto"/>
          </w:tcPr>
          <w:p w14:paraId="664A3419" w14:textId="000FD012" w:rsidR="00F40F85" w:rsidRPr="00FD69FE" w:rsidRDefault="00F40F85" w:rsidP="007C7948">
            <w:pPr>
              <w:pStyle w:val="DHHStabletext"/>
            </w:pPr>
            <w:r>
              <w:t>6.0</w:t>
            </w:r>
          </w:p>
        </w:tc>
        <w:tc>
          <w:tcPr>
            <w:tcW w:w="992" w:type="dxa"/>
            <w:shd w:val="clear" w:color="auto" w:fill="auto"/>
          </w:tcPr>
          <w:p w14:paraId="47BD85D6" w14:textId="14DBDAE5" w:rsidR="00F40F85" w:rsidRPr="00FD69FE" w:rsidRDefault="00F40F85" w:rsidP="007C7948">
            <w:pPr>
              <w:pStyle w:val="DHHStabletext"/>
            </w:pPr>
            <w:r>
              <w:t>7.0</w:t>
            </w:r>
          </w:p>
        </w:tc>
        <w:tc>
          <w:tcPr>
            <w:tcW w:w="992" w:type="dxa"/>
            <w:shd w:val="clear" w:color="auto" w:fill="auto"/>
          </w:tcPr>
          <w:p w14:paraId="4CC44C04" w14:textId="13739E85" w:rsidR="00F40F85" w:rsidRPr="00FD69FE" w:rsidRDefault="00F40F85" w:rsidP="007C7948">
            <w:pPr>
              <w:pStyle w:val="DHHStabletext"/>
            </w:pPr>
            <w:r>
              <w:t>11.0</w:t>
            </w:r>
          </w:p>
        </w:tc>
        <w:tc>
          <w:tcPr>
            <w:tcW w:w="1240" w:type="dxa"/>
            <w:shd w:val="clear" w:color="auto" w:fill="auto"/>
          </w:tcPr>
          <w:p w14:paraId="21A51729" w14:textId="653D1E7D" w:rsidR="00F40F85" w:rsidRPr="00FD69FE" w:rsidRDefault="007C7948" w:rsidP="007C7948">
            <w:pPr>
              <w:pStyle w:val="DHHStabletext"/>
            </w:pPr>
            <w:r>
              <w:t>6.0</w:t>
            </w:r>
          </w:p>
        </w:tc>
      </w:tr>
    </w:tbl>
    <w:p w14:paraId="02F17428" w14:textId="77777777" w:rsidR="00FA1AAC" w:rsidRDefault="00FA1AAC" w:rsidP="00E04BEE">
      <w:pPr>
        <w:autoSpaceDE w:val="0"/>
        <w:autoSpaceDN w:val="0"/>
        <w:adjustRightInd w:val="0"/>
        <w:rPr>
          <w:rFonts w:ascii="Arial" w:hAnsi="Arial" w:cs="Arial"/>
          <w:bCs/>
          <w:i/>
          <w:sz w:val="18"/>
          <w:szCs w:val="18"/>
        </w:rPr>
      </w:pPr>
    </w:p>
    <w:p w14:paraId="0420C47C" w14:textId="3128BD43" w:rsidR="004F0FAA" w:rsidRDefault="00554E1F" w:rsidP="00FA1AAC">
      <w:pPr>
        <w:pStyle w:val="DHHStablefigurenote"/>
        <w:rPr>
          <w:b/>
        </w:rPr>
      </w:pPr>
      <w:r w:rsidRPr="00554E1F">
        <w:t>Source</w:t>
      </w:r>
      <w:r w:rsidR="004F0FAA">
        <w:t>s</w:t>
      </w:r>
      <w:r w:rsidRPr="007C139F">
        <w:t>:</w:t>
      </w:r>
      <w:r w:rsidR="00952FC7">
        <w:rPr>
          <w:b/>
        </w:rPr>
        <w:t xml:space="preserve"> </w:t>
      </w:r>
    </w:p>
    <w:p w14:paraId="7ECA8446" w14:textId="61F1B2FD" w:rsidR="00F72AFF" w:rsidRDefault="00554E1F" w:rsidP="00FA1AAC">
      <w:pPr>
        <w:pStyle w:val="DHHStablefigurenote"/>
        <w:rPr>
          <w:lang w:val="en"/>
        </w:rPr>
      </w:pPr>
      <w:r w:rsidRPr="00554E1F">
        <w:rPr>
          <w:lang w:val="en"/>
        </w:rPr>
        <w:t>White V</w:t>
      </w:r>
      <w:r w:rsidR="00557193">
        <w:rPr>
          <w:lang w:val="en"/>
        </w:rPr>
        <w:t>,</w:t>
      </w:r>
      <w:r w:rsidRPr="00554E1F">
        <w:rPr>
          <w:lang w:val="en"/>
        </w:rPr>
        <w:t xml:space="preserve"> Williams T</w:t>
      </w:r>
      <w:r w:rsidR="00557193">
        <w:rPr>
          <w:lang w:val="en"/>
        </w:rPr>
        <w:t xml:space="preserve"> 2015.</w:t>
      </w:r>
      <w:r w:rsidRPr="00554E1F">
        <w:rPr>
          <w:lang w:val="en"/>
        </w:rPr>
        <w:t xml:space="preserve"> Australian secondary school students’ use of tobacco in 2014. Centre for Behavioural Research</w:t>
      </w:r>
    </w:p>
    <w:p w14:paraId="78C420A0" w14:textId="53BD3188" w:rsidR="00E04BEE" w:rsidRPr="00A5064E" w:rsidRDefault="00554E1F" w:rsidP="00FA1AAC">
      <w:pPr>
        <w:pStyle w:val="DHHStablefigurenote"/>
        <w:rPr>
          <w:b/>
        </w:rPr>
      </w:pPr>
      <w:r w:rsidRPr="00676EB9">
        <w:rPr>
          <w:lang w:val="en"/>
        </w:rPr>
        <w:t xml:space="preserve">in Cancer, Cancer Council Victoria. Available from: </w:t>
      </w:r>
      <w:r w:rsidRPr="007C139F">
        <w:rPr>
          <w:rStyle w:val="Hyperlink"/>
          <w:rFonts w:cs="Arial"/>
          <w:i w:val="0"/>
          <w:color w:val="auto"/>
          <w:szCs w:val="18"/>
          <w:u w:val="none"/>
          <w:lang w:val="en"/>
        </w:rPr>
        <w:t>http://www.nationaldrugstrategy.gov.au/internet/drugstrategy/Publishing.nsf/content/school11</w:t>
      </w:r>
    </w:p>
    <w:p w14:paraId="38FBE8E4" w14:textId="77777777" w:rsidR="00554E1F" w:rsidRPr="00554E1F" w:rsidRDefault="00554E1F" w:rsidP="00FA1AAC">
      <w:pPr>
        <w:pStyle w:val="DHHStablefigurenote"/>
        <w:rPr>
          <w:b/>
        </w:rPr>
      </w:pPr>
    </w:p>
    <w:p w14:paraId="395E6E8E" w14:textId="1C220B65" w:rsidR="001A6F9C" w:rsidRPr="001A6F9C" w:rsidRDefault="001A6F9C" w:rsidP="00FA1AAC">
      <w:pPr>
        <w:pStyle w:val="DHHStablefigurenote"/>
      </w:pPr>
      <w:r w:rsidRPr="007C139F">
        <w:t xml:space="preserve">Victorian Department of Health and Human </w:t>
      </w:r>
      <w:r w:rsidRPr="00676EB9">
        <w:t>Services</w:t>
      </w:r>
      <w:r w:rsidRPr="00A5064E">
        <w:t xml:space="preserve"> 2016</w:t>
      </w:r>
      <w:r w:rsidRPr="001A6F9C">
        <w:t>. Tobacco, alcohol, over-the-counter and illicit substance use among</w:t>
      </w:r>
      <w:r>
        <w:t xml:space="preserve"> </w:t>
      </w:r>
      <w:r w:rsidRPr="001A6F9C">
        <w:t>Victorian secondary school students 2014. Available from</w:t>
      </w:r>
      <w:r w:rsidR="00557193">
        <w:t>:</w:t>
      </w:r>
      <w:r w:rsidRPr="001A6F9C">
        <w:t xml:space="preserve"> https://www2.health.vic.gov.au/about/publications/researchandreports/australian-secondary-students-alcohol-and-drug-survey-victorian-report-2014</w:t>
      </w:r>
    </w:p>
    <w:p w14:paraId="4B427D18" w14:textId="0D776B5C" w:rsidR="00D13E39" w:rsidRDefault="00D13E39" w:rsidP="00D13E39">
      <w:pPr>
        <w:pStyle w:val="Heading4"/>
        <w:rPr>
          <w:lang w:eastAsia="en-AU"/>
        </w:rPr>
      </w:pPr>
      <w:r>
        <w:rPr>
          <w:lang w:eastAsia="en-AU"/>
        </w:rPr>
        <w:t>Measure assessment</w:t>
      </w:r>
    </w:p>
    <w:p w14:paraId="4F31C964" w14:textId="6CF280CE" w:rsidR="00D13E39" w:rsidRPr="00E060C8" w:rsidRDefault="00D13E39" w:rsidP="00E060C8">
      <w:pPr>
        <w:autoSpaceDE w:val="0"/>
        <w:autoSpaceDN w:val="0"/>
        <w:adjustRightInd w:val="0"/>
        <w:spacing w:after="120" w:line="270" w:lineRule="atLeast"/>
        <w:rPr>
          <w:rFonts w:ascii="Arial" w:hAnsi="Arial" w:cs="Arial"/>
          <w:color w:val="C5511A"/>
        </w:rPr>
      </w:pPr>
      <w:r w:rsidRPr="00B92B1A">
        <w:rPr>
          <w:rFonts w:ascii="Arial" w:hAnsi="Arial" w:cs="Arial"/>
        </w:rPr>
        <w:t xml:space="preserve">Traffic light rating: </w:t>
      </w:r>
      <w:r w:rsidR="007632A6"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7DBA636B" w14:textId="30955BE0" w:rsidR="00D13E39" w:rsidRPr="00B92B1A" w:rsidRDefault="00D13E39" w:rsidP="00E060C8">
      <w:pPr>
        <w:autoSpaceDE w:val="0"/>
        <w:autoSpaceDN w:val="0"/>
        <w:adjustRightInd w:val="0"/>
        <w:spacing w:after="120" w:line="270" w:lineRule="atLeast"/>
        <w:rPr>
          <w:rFonts w:ascii="Arial" w:hAnsi="Arial" w:cs="Arial"/>
        </w:rPr>
      </w:pPr>
      <w:r w:rsidRPr="00B92B1A">
        <w:rPr>
          <w:rFonts w:ascii="Arial" w:hAnsi="Arial" w:cs="Arial"/>
        </w:rPr>
        <w:t xml:space="preserve">Overall trend: </w:t>
      </w:r>
      <w:r w:rsidR="00377E3B">
        <w:rPr>
          <w:rFonts w:ascii="Arial" w:hAnsi="Arial" w:cs="Arial"/>
        </w:rPr>
        <w:t>Could not be calculated due to only one data point</w:t>
      </w:r>
    </w:p>
    <w:p w14:paraId="357F9FEF" w14:textId="12A64F68" w:rsidR="00482410" w:rsidRDefault="00D13E39" w:rsidP="00E060C8">
      <w:pPr>
        <w:autoSpaceDE w:val="0"/>
        <w:autoSpaceDN w:val="0"/>
        <w:adjustRightInd w:val="0"/>
        <w:spacing w:after="120" w:line="270" w:lineRule="atLeast"/>
        <w:rPr>
          <w:rFonts w:ascii="Arial" w:hAnsi="Arial" w:cs="Arial"/>
        </w:rPr>
      </w:pPr>
      <w:r w:rsidRPr="004776EC">
        <w:rPr>
          <w:rFonts w:ascii="Arial" w:hAnsi="Arial" w:cs="Arial"/>
        </w:rPr>
        <w:t>Commentary:</w:t>
      </w:r>
      <w:r w:rsidR="00A54736" w:rsidRPr="004776EC">
        <w:rPr>
          <w:rFonts w:ascii="Arial" w:hAnsi="Arial" w:cs="Arial"/>
        </w:rPr>
        <w:t xml:space="preserve"> </w:t>
      </w:r>
      <w:r w:rsidR="00A54736" w:rsidRPr="004776EC">
        <w:rPr>
          <w:rFonts w:ascii="Arial" w:hAnsi="Arial" w:cs="Arial"/>
          <w:lang w:val="en"/>
        </w:rPr>
        <w:t xml:space="preserve">Most adults who </w:t>
      </w:r>
      <w:r w:rsidR="00683273" w:rsidRPr="004776EC">
        <w:rPr>
          <w:rFonts w:ascii="Arial" w:hAnsi="Arial" w:cs="Arial"/>
          <w:lang w:val="en"/>
        </w:rPr>
        <w:t xml:space="preserve">currently </w:t>
      </w:r>
      <w:r w:rsidR="00A54736" w:rsidRPr="004776EC">
        <w:rPr>
          <w:rFonts w:ascii="Arial" w:hAnsi="Arial" w:cs="Arial"/>
          <w:lang w:val="en"/>
        </w:rPr>
        <w:t xml:space="preserve">smoke </w:t>
      </w:r>
      <w:r w:rsidR="00683273" w:rsidRPr="004776EC">
        <w:rPr>
          <w:rFonts w:ascii="Arial" w:hAnsi="Arial" w:cs="Arial"/>
          <w:lang w:val="en"/>
        </w:rPr>
        <w:t xml:space="preserve">will have </w:t>
      </w:r>
      <w:r w:rsidR="00A54736" w:rsidRPr="004776EC">
        <w:rPr>
          <w:rFonts w:ascii="Arial" w:hAnsi="Arial" w:cs="Arial"/>
          <w:lang w:val="en"/>
        </w:rPr>
        <w:t xml:space="preserve">started smoking when they were </w:t>
      </w:r>
      <w:r w:rsidR="00917D46">
        <w:rPr>
          <w:rFonts w:ascii="Arial" w:hAnsi="Arial" w:cs="Arial"/>
          <w:lang w:val="en"/>
        </w:rPr>
        <w:t>adolescents</w:t>
      </w:r>
      <w:r w:rsidR="00A54736" w:rsidRPr="004776EC">
        <w:rPr>
          <w:rFonts w:ascii="Arial" w:hAnsi="Arial" w:cs="Arial"/>
          <w:lang w:val="en"/>
        </w:rPr>
        <w:t>,</w:t>
      </w:r>
      <w:r w:rsidR="00683273" w:rsidRPr="004776EC">
        <w:rPr>
          <w:rStyle w:val="FootnoteReference"/>
          <w:rFonts w:cs="Arial"/>
          <w:lang w:val="en"/>
        </w:rPr>
        <w:footnoteReference w:id="52"/>
      </w:r>
      <w:r w:rsidR="00A54736" w:rsidRPr="004776EC">
        <w:rPr>
          <w:rFonts w:ascii="Arial" w:hAnsi="Arial" w:cs="Arial"/>
          <w:lang w:val="en"/>
        </w:rPr>
        <w:t xml:space="preserve"> therefore preventing tobacco use among young people is an integral part of ending the tobacco epidemic.</w:t>
      </w:r>
      <w:r w:rsidR="00895E75" w:rsidRPr="004776EC">
        <w:rPr>
          <w:rStyle w:val="FootnoteReference"/>
          <w:rFonts w:cs="Arial"/>
          <w:lang w:val="en"/>
        </w:rPr>
        <w:footnoteReference w:id="53"/>
      </w:r>
      <w:r w:rsidR="00BA1378" w:rsidRPr="004776EC">
        <w:rPr>
          <w:rFonts w:ascii="Arial" w:hAnsi="Arial" w:cs="Arial"/>
          <w:lang w:val="en"/>
        </w:rPr>
        <w:t xml:space="preserve"> </w:t>
      </w:r>
      <w:r w:rsidR="00B50EDB" w:rsidRPr="004776EC">
        <w:rPr>
          <w:rFonts w:ascii="Arial" w:hAnsi="Arial" w:cs="Arial"/>
          <w:lang w:val="en"/>
        </w:rPr>
        <w:t>Table 6.2 show</w:t>
      </w:r>
      <w:r w:rsidR="00F40F85">
        <w:rPr>
          <w:rFonts w:ascii="Arial" w:hAnsi="Arial" w:cs="Arial"/>
          <w:lang w:val="en"/>
        </w:rPr>
        <w:t>s</w:t>
      </w:r>
      <w:r w:rsidR="00B50EDB" w:rsidRPr="004776EC">
        <w:rPr>
          <w:rFonts w:ascii="Arial" w:hAnsi="Arial" w:cs="Arial"/>
          <w:lang w:val="en"/>
        </w:rPr>
        <w:t xml:space="preserve"> the proportion of males and females smoking cigarettes in different time periods at each age for Australia and Victoria.</w:t>
      </w:r>
      <w:r w:rsidR="00952FC7">
        <w:rPr>
          <w:rFonts w:ascii="Arial" w:hAnsi="Arial" w:cs="Arial"/>
          <w:lang w:val="en"/>
        </w:rPr>
        <w:t xml:space="preserve"> </w:t>
      </w:r>
      <w:r w:rsidR="00287B86" w:rsidRPr="004776EC">
        <w:rPr>
          <w:rFonts w:ascii="Arial" w:hAnsi="Arial" w:cs="Arial"/>
          <w:lang w:val="en"/>
        </w:rPr>
        <w:t xml:space="preserve">Involvement with smoking appears </w:t>
      </w:r>
      <w:r w:rsidR="007713C0" w:rsidRPr="004776EC">
        <w:rPr>
          <w:rFonts w:ascii="Arial" w:hAnsi="Arial" w:cs="Arial"/>
          <w:lang w:val="en"/>
        </w:rPr>
        <w:t>more</w:t>
      </w:r>
      <w:r w:rsidR="00287B86" w:rsidRPr="004776EC">
        <w:rPr>
          <w:rFonts w:ascii="Arial" w:hAnsi="Arial" w:cs="Arial"/>
          <w:lang w:val="en"/>
        </w:rPr>
        <w:t xml:space="preserve"> common as </w:t>
      </w:r>
      <w:r w:rsidR="00A719BB" w:rsidRPr="004776EC">
        <w:rPr>
          <w:rFonts w:ascii="Arial" w:hAnsi="Arial" w:cs="Arial"/>
          <w:lang w:val="en"/>
        </w:rPr>
        <w:t>adolescents</w:t>
      </w:r>
      <w:r w:rsidR="00287B86" w:rsidRPr="004776EC">
        <w:rPr>
          <w:rFonts w:ascii="Arial" w:hAnsi="Arial" w:cs="Arial"/>
          <w:lang w:val="en"/>
        </w:rPr>
        <w:t xml:space="preserve"> progress through secondary school both nationally and in Victoria.</w:t>
      </w:r>
      <w:r w:rsidR="00952FC7">
        <w:rPr>
          <w:rFonts w:ascii="Arial" w:hAnsi="Arial" w:cs="Arial"/>
          <w:lang w:val="en"/>
        </w:rPr>
        <w:t xml:space="preserve"> </w:t>
      </w:r>
      <w:r w:rsidR="00C44B55" w:rsidRPr="004776EC">
        <w:rPr>
          <w:rFonts w:ascii="Arial" w:hAnsi="Arial" w:cs="Arial"/>
          <w:lang w:val="en"/>
        </w:rPr>
        <w:t>In Victoria</w:t>
      </w:r>
      <w:r w:rsidR="006E2C2B">
        <w:rPr>
          <w:rFonts w:ascii="Arial" w:hAnsi="Arial" w:cs="Arial"/>
          <w:lang w:val="en"/>
        </w:rPr>
        <w:t>,</w:t>
      </w:r>
      <w:r w:rsidR="00C44B55" w:rsidRPr="004776EC">
        <w:rPr>
          <w:rFonts w:ascii="Arial" w:hAnsi="Arial" w:cs="Arial"/>
          <w:lang w:val="en"/>
        </w:rPr>
        <w:t xml:space="preserve"> the proportion of adolescents who were current smokers in 2014 increased from one per cent of 12</w:t>
      </w:r>
      <w:r w:rsidR="00D24CD5">
        <w:rPr>
          <w:rFonts w:ascii="Arial" w:hAnsi="Arial" w:cs="Arial"/>
          <w:lang w:val="en"/>
        </w:rPr>
        <w:t>-</w:t>
      </w:r>
      <w:r w:rsidR="00C44B55" w:rsidRPr="004776EC">
        <w:rPr>
          <w:rFonts w:ascii="Arial" w:hAnsi="Arial" w:cs="Arial"/>
          <w:lang w:val="en"/>
        </w:rPr>
        <w:t>year</w:t>
      </w:r>
      <w:r w:rsidR="00D24CD5">
        <w:rPr>
          <w:rFonts w:ascii="Arial" w:hAnsi="Arial" w:cs="Arial"/>
          <w:lang w:val="en"/>
        </w:rPr>
        <w:t>-</w:t>
      </w:r>
      <w:r w:rsidR="00C44B55" w:rsidRPr="004776EC">
        <w:rPr>
          <w:rFonts w:ascii="Arial" w:hAnsi="Arial" w:cs="Arial"/>
          <w:lang w:val="en"/>
        </w:rPr>
        <w:t xml:space="preserve">olds (males and females) to </w:t>
      </w:r>
      <w:r w:rsidR="00453E7E">
        <w:rPr>
          <w:rFonts w:ascii="Arial" w:hAnsi="Arial" w:cs="Arial"/>
          <w:lang w:val="en"/>
        </w:rPr>
        <w:t>11</w:t>
      </w:r>
      <w:r w:rsidR="00C44B55" w:rsidRPr="004776EC">
        <w:rPr>
          <w:rFonts w:ascii="Arial" w:hAnsi="Arial" w:cs="Arial"/>
          <w:lang w:val="en"/>
        </w:rPr>
        <w:t xml:space="preserve"> per cent of 17-year-old females and 13 per cent of </w:t>
      </w:r>
      <w:r w:rsidR="00A40D00" w:rsidRPr="004776EC">
        <w:rPr>
          <w:rFonts w:ascii="Arial" w:hAnsi="Arial" w:cs="Arial"/>
          <w:lang w:val="en"/>
        </w:rPr>
        <w:t>17-year-old</w:t>
      </w:r>
      <w:r w:rsidR="00C44B55" w:rsidRPr="004776EC">
        <w:rPr>
          <w:rFonts w:ascii="Arial" w:hAnsi="Arial" w:cs="Arial"/>
          <w:lang w:val="en"/>
        </w:rPr>
        <w:t xml:space="preserve"> males. Overall </w:t>
      </w:r>
      <w:r w:rsidR="00C44B55" w:rsidRPr="004776EC">
        <w:rPr>
          <w:rFonts w:ascii="Arial" w:hAnsi="Arial" w:cs="Arial"/>
        </w:rPr>
        <w:t>six per cent of all Victorian adolescents 12</w:t>
      </w:r>
      <w:r w:rsidR="00690CD3">
        <w:rPr>
          <w:rFonts w:ascii="Arial" w:hAnsi="Arial" w:cs="Arial"/>
        </w:rPr>
        <w:t>–1</w:t>
      </w:r>
      <w:r w:rsidR="00C44B55" w:rsidRPr="004776EC">
        <w:rPr>
          <w:rFonts w:ascii="Arial" w:hAnsi="Arial" w:cs="Arial"/>
        </w:rPr>
        <w:t>7 years were identified as current smokers</w:t>
      </w:r>
      <w:r w:rsidR="00557193">
        <w:rPr>
          <w:rFonts w:ascii="Arial" w:hAnsi="Arial" w:cs="Arial"/>
        </w:rPr>
        <w:t>,</w:t>
      </w:r>
      <w:r w:rsidR="00C44B55" w:rsidRPr="004776EC">
        <w:rPr>
          <w:rStyle w:val="FootnoteReference"/>
          <w:rFonts w:cs="Arial"/>
        </w:rPr>
        <w:footnoteReference w:id="54"/>
      </w:r>
      <w:r w:rsidR="00C44B55" w:rsidRPr="004776EC">
        <w:rPr>
          <w:rFonts w:ascii="Arial" w:hAnsi="Arial" w:cs="Arial"/>
        </w:rPr>
        <w:t xml:space="preserve"> which was higher than the population of 12- to 17-year-old secondary school</w:t>
      </w:r>
      <w:r w:rsidR="00557193">
        <w:rPr>
          <w:rFonts w:ascii="Arial" w:hAnsi="Arial" w:cs="Arial"/>
        </w:rPr>
        <w:t xml:space="preserve"> student</w:t>
      </w:r>
      <w:r w:rsidR="00C44B55" w:rsidRPr="004776EC">
        <w:rPr>
          <w:rFonts w:ascii="Arial" w:hAnsi="Arial" w:cs="Arial"/>
        </w:rPr>
        <w:t>s throughout Australia (5.1 per cent).</w:t>
      </w:r>
      <w:r w:rsidR="0065295E" w:rsidRPr="004776EC">
        <w:rPr>
          <w:rFonts w:ascii="Arial" w:hAnsi="Arial" w:cs="Arial"/>
        </w:rPr>
        <w:t xml:space="preserve"> </w:t>
      </w:r>
    </w:p>
    <w:p w14:paraId="4688DD34" w14:textId="4A304015" w:rsidR="007632A6" w:rsidRPr="00904A74" w:rsidRDefault="0065295E" w:rsidP="00904A74">
      <w:pPr>
        <w:autoSpaceDE w:val="0"/>
        <w:autoSpaceDN w:val="0"/>
        <w:adjustRightInd w:val="0"/>
        <w:spacing w:after="120" w:line="270" w:lineRule="atLeast"/>
        <w:rPr>
          <w:rFonts w:ascii="Arial" w:hAnsi="Arial" w:cs="Arial"/>
          <w:lang w:val="en"/>
        </w:rPr>
      </w:pPr>
      <w:r w:rsidRPr="004776EC">
        <w:rPr>
          <w:rFonts w:ascii="Arial" w:hAnsi="Arial" w:cs="Arial"/>
        </w:rPr>
        <w:t>Extrapolating the</w:t>
      </w:r>
      <w:r w:rsidR="00FF340D" w:rsidRPr="004776EC">
        <w:rPr>
          <w:rFonts w:ascii="Arial" w:hAnsi="Arial" w:cs="Arial"/>
        </w:rPr>
        <w:t>se national</w:t>
      </w:r>
      <w:r w:rsidRPr="004776EC">
        <w:rPr>
          <w:rFonts w:ascii="Arial" w:hAnsi="Arial" w:cs="Arial"/>
        </w:rPr>
        <w:t xml:space="preserve"> results to the Australian student population, it is estimated that just under 81,000 </w:t>
      </w:r>
      <w:r w:rsidR="00557193">
        <w:rPr>
          <w:rFonts w:ascii="Arial" w:hAnsi="Arial" w:cs="Arial"/>
        </w:rPr>
        <w:t xml:space="preserve">of </w:t>
      </w:r>
      <w:r w:rsidRPr="004776EC">
        <w:rPr>
          <w:rFonts w:ascii="Arial" w:hAnsi="Arial" w:cs="Arial"/>
        </w:rPr>
        <w:t xml:space="preserve">12- to 17-year-old students in Australia </w:t>
      </w:r>
      <w:r w:rsidR="00B47D67" w:rsidRPr="004776EC">
        <w:rPr>
          <w:rFonts w:ascii="Arial" w:hAnsi="Arial" w:cs="Arial"/>
        </w:rPr>
        <w:t xml:space="preserve">in 2014 </w:t>
      </w:r>
      <w:r w:rsidRPr="004776EC">
        <w:rPr>
          <w:rFonts w:ascii="Arial" w:hAnsi="Arial" w:cs="Arial"/>
        </w:rPr>
        <w:t>had smoked at least one cigarette in the seven days preceding the survey</w:t>
      </w:r>
      <w:r w:rsidR="00461F0C" w:rsidRPr="004776EC">
        <w:rPr>
          <w:rStyle w:val="FootnoteReference"/>
          <w:rFonts w:cs="Arial"/>
        </w:rPr>
        <w:footnoteReference w:id="55"/>
      </w:r>
      <w:r w:rsidRPr="004776EC">
        <w:rPr>
          <w:rFonts w:ascii="Arial" w:hAnsi="Arial" w:cs="Arial"/>
        </w:rPr>
        <w:t xml:space="preserve"> (current smokers).</w:t>
      </w:r>
      <w:r w:rsidR="00960E96" w:rsidRPr="004776EC">
        <w:rPr>
          <w:rFonts w:ascii="Arial" w:hAnsi="Arial" w:cs="Arial"/>
        </w:rPr>
        <w:t xml:space="preserve"> International comparisons of adolescent smoking prevalence show</w:t>
      </w:r>
      <w:r w:rsidR="001D6235">
        <w:rPr>
          <w:rFonts w:ascii="Arial" w:hAnsi="Arial" w:cs="Arial"/>
        </w:rPr>
        <w:t xml:space="preserve"> </w:t>
      </w:r>
      <w:r w:rsidR="00960E96" w:rsidRPr="004776EC">
        <w:rPr>
          <w:rFonts w:ascii="Arial" w:hAnsi="Arial" w:cs="Arial"/>
        </w:rPr>
        <w:t>similar figures to Victoria.</w:t>
      </w:r>
      <w:r w:rsidR="00952FC7">
        <w:rPr>
          <w:rFonts w:ascii="Arial" w:hAnsi="Arial" w:cs="Arial"/>
        </w:rPr>
        <w:t xml:space="preserve"> </w:t>
      </w:r>
      <w:r w:rsidR="00960E96" w:rsidRPr="004776EC">
        <w:rPr>
          <w:rFonts w:ascii="Arial" w:hAnsi="Arial" w:cs="Arial"/>
        </w:rPr>
        <w:t xml:space="preserve">For example, </w:t>
      </w:r>
      <w:r w:rsidR="00557193">
        <w:rPr>
          <w:rFonts w:ascii="Arial" w:hAnsi="Arial" w:cs="Arial"/>
        </w:rPr>
        <w:t>the</w:t>
      </w:r>
      <w:r w:rsidR="00960E96" w:rsidRPr="004776EC">
        <w:rPr>
          <w:rFonts w:ascii="Arial" w:hAnsi="Arial" w:cs="Arial"/>
        </w:rPr>
        <w:t xml:space="preserve"> Canadian Student Tobacco, Alcohol and Drugs Survey found that in 2014</w:t>
      </w:r>
      <w:r w:rsidR="00690CD3">
        <w:rPr>
          <w:rFonts w:ascii="Arial" w:hAnsi="Arial" w:cs="Arial"/>
        </w:rPr>
        <w:t>–1</w:t>
      </w:r>
      <w:r w:rsidR="00960E96" w:rsidRPr="004776EC">
        <w:rPr>
          <w:rFonts w:ascii="Arial" w:hAnsi="Arial" w:cs="Arial"/>
        </w:rPr>
        <w:t xml:space="preserve">5, less than 2 per cent of </w:t>
      </w:r>
      <w:r w:rsidR="00960E96" w:rsidRPr="004776EC">
        <w:rPr>
          <w:rFonts w:ascii="Arial" w:hAnsi="Arial" w:cs="Arial"/>
          <w:lang w:val="en"/>
        </w:rPr>
        <w:lastRenderedPageBreak/>
        <w:t>stud</w:t>
      </w:r>
      <w:r w:rsidR="00C0163E">
        <w:rPr>
          <w:rFonts w:ascii="Arial" w:hAnsi="Arial" w:cs="Arial"/>
          <w:lang w:val="en"/>
        </w:rPr>
        <w:t>ents in grades 6–9 and about 10 per cent</w:t>
      </w:r>
      <w:r w:rsidR="00960E96" w:rsidRPr="004776EC">
        <w:rPr>
          <w:rFonts w:ascii="Arial" w:hAnsi="Arial" w:cs="Arial"/>
          <w:lang w:val="en"/>
        </w:rPr>
        <w:t xml:space="preserve"> of students aged 15–19 were current smokers.</w:t>
      </w:r>
      <w:r w:rsidR="004776EC" w:rsidRPr="004776EC">
        <w:rPr>
          <w:rStyle w:val="FootnoteReference"/>
          <w:rFonts w:cs="Arial"/>
          <w:lang w:val="en"/>
        </w:rPr>
        <w:footnoteReference w:id="56"/>
      </w:r>
      <w:r w:rsidR="00960E96" w:rsidRPr="004776EC">
        <w:rPr>
          <w:rFonts w:ascii="Arial" w:hAnsi="Arial" w:cs="Arial"/>
          <w:lang w:val="en"/>
        </w:rPr>
        <w:t xml:space="preserve"> Ireland’s</w:t>
      </w:r>
      <w:r w:rsidR="00960E96">
        <w:rPr>
          <w:lang w:val="en"/>
        </w:rPr>
        <w:t xml:space="preserve"> </w:t>
      </w:r>
      <w:r w:rsidR="00960E96" w:rsidRPr="004776EC">
        <w:rPr>
          <w:rFonts w:ascii="Arial" w:hAnsi="Arial" w:cs="Arial"/>
          <w:lang w:val="en"/>
        </w:rPr>
        <w:t>Health Behaviour in School-aged Child</w:t>
      </w:r>
      <w:r w:rsidR="00917D46">
        <w:rPr>
          <w:rFonts w:ascii="Arial" w:hAnsi="Arial" w:cs="Arial"/>
          <w:lang w:val="en"/>
        </w:rPr>
        <w:t xml:space="preserve">ren Survey 2014 reported that </w:t>
      </w:r>
      <w:r w:rsidR="00557193">
        <w:rPr>
          <w:rFonts w:ascii="Arial" w:hAnsi="Arial" w:cs="Arial"/>
          <w:lang w:val="en"/>
        </w:rPr>
        <w:t>eight</w:t>
      </w:r>
      <w:r w:rsidR="00917D46">
        <w:rPr>
          <w:rFonts w:ascii="Arial" w:hAnsi="Arial" w:cs="Arial"/>
          <w:lang w:val="en"/>
        </w:rPr>
        <w:t xml:space="preserve"> per cent</w:t>
      </w:r>
      <w:r w:rsidR="00960E96" w:rsidRPr="004776EC">
        <w:rPr>
          <w:rFonts w:ascii="Arial" w:hAnsi="Arial" w:cs="Arial"/>
          <w:lang w:val="en"/>
        </w:rPr>
        <w:t xml:space="preserve"> of 10‒17</w:t>
      </w:r>
      <w:r w:rsidR="00D24CD5">
        <w:rPr>
          <w:rFonts w:ascii="Arial" w:hAnsi="Arial" w:cs="Arial"/>
          <w:lang w:val="en"/>
        </w:rPr>
        <w:t>-year-olds</w:t>
      </w:r>
      <w:r w:rsidR="00960E96" w:rsidRPr="004776EC">
        <w:rPr>
          <w:rFonts w:ascii="Arial" w:hAnsi="Arial" w:cs="Arial"/>
          <w:lang w:val="en"/>
        </w:rPr>
        <w:t xml:space="preserve"> were current smokers</w:t>
      </w:r>
      <w:r w:rsidR="00557193">
        <w:rPr>
          <w:rFonts w:ascii="Arial" w:hAnsi="Arial" w:cs="Arial"/>
          <w:lang w:val="en"/>
        </w:rPr>
        <w:t>,</w:t>
      </w:r>
      <w:r w:rsidR="004776EC" w:rsidRPr="004776EC">
        <w:rPr>
          <w:rStyle w:val="FootnoteReference"/>
          <w:rFonts w:cs="Arial"/>
          <w:lang w:val="en"/>
        </w:rPr>
        <w:footnoteReference w:id="57"/>
      </w:r>
      <w:r w:rsidR="004776EC" w:rsidRPr="004776EC">
        <w:rPr>
          <w:rFonts w:ascii="Arial" w:hAnsi="Arial" w:cs="Arial"/>
        </w:rPr>
        <w:t xml:space="preserve"> although it should be noted that the latter cannot be directly comparable with national and Victoria</w:t>
      </w:r>
      <w:r w:rsidR="00A4654A">
        <w:rPr>
          <w:rFonts w:ascii="Arial" w:hAnsi="Arial" w:cs="Arial"/>
        </w:rPr>
        <w:t>n</w:t>
      </w:r>
      <w:r w:rsidR="00917D46">
        <w:rPr>
          <w:rFonts w:ascii="Arial" w:hAnsi="Arial" w:cs="Arial"/>
        </w:rPr>
        <w:t xml:space="preserve"> </w:t>
      </w:r>
      <w:r w:rsidR="004776EC" w:rsidRPr="004776EC">
        <w:rPr>
          <w:rFonts w:ascii="Arial" w:hAnsi="Arial" w:cs="Arial"/>
          <w:lang w:val="en"/>
        </w:rPr>
        <w:t>data because the Irish study includes 10</w:t>
      </w:r>
      <w:r w:rsidR="00D24CD5">
        <w:rPr>
          <w:rFonts w:ascii="Arial" w:hAnsi="Arial" w:cs="Arial"/>
          <w:lang w:val="en"/>
        </w:rPr>
        <w:t xml:space="preserve">- </w:t>
      </w:r>
      <w:r w:rsidR="004776EC" w:rsidRPr="004776EC">
        <w:rPr>
          <w:rFonts w:ascii="Arial" w:hAnsi="Arial" w:cs="Arial"/>
          <w:lang w:val="en"/>
        </w:rPr>
        <w:t>and 11</w:t>
      </w:r>
      <w:r w:rsidR="00D24CD5">
        <w:rPr>
          <w:rFonts w:ascii="Arial" w:hAnsi="Arial" w:cs="Arial"/>
          <w:lang w:val="en"/>
        </w:rPr>
        <w:t>-</w:t>
      </w:r>
      <w:r w:rsidR="004776EC" w:rsidRPr="004776EC">
        <w:rPr>
          <w:rFonts w:ascii="Arial" w:hAnsi="Arial" w:cs="Arial"/>
          <w:lang w:val="en"/>
        </w:rPr>
        <w:t>year</w:t>
      </w:r>
      <w:r w:rsidR="00D24CD5">
        <w:rPr>
          <w:rFonts w:ascii="Arial" w:hAnsi="Arial" w:cs="Arial"/>
          <w:lang w:val="en"/>
        </w:rPr>
        <w:t>-</w:t>
      </w:r>
      <w:r w:rsidR="004776EC" w:rsidRPr="004776EC">
        <w:rPr>
          <w:rFonts w:ascii="Arial" w:hAnsi="Arial" w:cs="Arial"/>
          <w:lang w:val="en"/>
        </w:rPr>
        <w:t>olds.</w:t>
      </w:r>
    </w:p>
    <w:p w14:paraId="025587DE" w14:textId="77777777" w:rsidR="00BB027B" w:rsidRDefault="00C44B55" w:rsidP="00223D80">
      <w:pPr>
        <w:pStyle w:val="DHHSbody"/>
        <w:rPr>
          <w:rFonts w:cs="Arial"/>
          <w:lang w:eastAsia="en-AU"/>
        </w:rPr>
      </w:pPr>
      <w:r w:rsidRPr="00207DCB">
        <w:rPr>
          <w:rFonts w:cs="Arial"/>
          <w:lang w:eastAsia="en-AU"/>
        </w:rPr>
        <w:t xml:space="preserve">Although no trend </w:t>
      </w:r>
      <w:r w:rsidR="00DF4CE0">
        <w:rPr>
          <w:rFonts w:cs="Arial"/>
          <w:lang w:eastAsia="en-AU"/>
        </w:rPr>
        <w:t xml:space="preserve">data </w:t>
      </w:r>
      <w:r w:rsidRPr="00207DCB">
        <w:rPr>
          <w:rFonts w:cs="Arial"/>
          <w:lang w:eastAsia="en-AU"/>
        </w:rPr>
        <w:t xml:space="preserve">is available for this age group, that </w:t>
      </w:r>
      <w:r w:rsidR="00557193">
        <w:rPr>
          <w:rFonts w:cs="Arial"/>
          <w:lang w:eastAsia="en-AU"/>
        </w:rPr>
        <w:t>six</w:t>
      </w:r>
      <w:r w:rsidRPr="00207DCB">
        <w:rPr>
          <w:rFonts w:cs="Arial"/>
          <w:lang w:eastAsia="en-AU"/>
        </w:rPr>
        <w:t xml:space="preserve"> per cent of </w:t>
      </w:r>
      <w:r w:rsidR="0065295E" w:rsidRPr="00207DCB">
        <w:rPr>
          <w:rFonts w:cs="Arial"/>
          <w:lang w:eastAsia="en-AU"/>
        </w:rPr>
        <w:t>young</w:t>
      </w:r>
      <w:r w:rsidRPr="00207DCB">
        <w:rPr>
          <w:rFonts w:cs="Arial"/>
          <w:lang w:eastAsia="en-AU"/>
        </w:rPr>
        <w:t xml:space="preserve"> </w:t>
      </w:r>
      <w:r w:rsidR="00F40E00" w:rsidRPr="00207DCB">
        <w:rPr>
          <w:rFonts w:cs="Arial"/>
          <w:lang w:eastAsia="en-AU"/>
        </w:rPr>
        <w:t xml:space="preserve">Victorian </w:t>
      </w:r>
      <w:r w:rsidRPr="00207DCB">
        <w:rPr>
          <w:rFonts w:cs="Arial"/>
          <w:lang w:eastAsia="en-AU"/>
        </w:rPr>
        <w:t xml:space="preserve">people </w:t>
      </w:r>
      <w:r w:rsidR="007713C0" w:rsidRPr="00207DCB">
        <w:rPr>
          <w:rFonts w:cs="Arial"/>
          <w:lang w:eastAsia="en-AU"/>
        </w:rPr>
        <w:t>we</w:t>
      </w:r>
      <w:r w:rsidR="0065295E" w:rsidRPr="00207DCB">
        <w:rPr>
          <w:rFonts w:cs="Arial"/>
          <w:lang w:eastAsia="en-AU"/>
        </w:rPr>
        <w:t>re classified</w:t>
      </w:r>
      <w:r w:rsidR="007713C0" w:rsidRPr="00207DCB">
        <w:rPr>
          <w:rFonts w:cs="Arial"/>
          <w:lang w:eastAsia="en-AU"/>
        </w:rPr>
        <w:t xml:space="preserve"> in 2014 </w:t>
      </w:r>
      <w:r w:rsidR="0065295E" w:rsidRPr="00207DCB">
        <w:rPr>
          <w:rFonts w:cs="Arial"/>
          <w:lang w:eastAsia="en-AU"/>
        </w:rPr>
        <w:t>as current smokers</w:t>
      </w:r>
      <w:r w:rsidR="00432F20" w:rsidRPr="00207DCB">
        <w:rPr>
          <w:rFonts w:cs="Arial"/>
          <w:lang w:eastAsia="en-AU"/>
        </w:rPr>
        <w:t xml:space="preserve"> requires contin</w:t>
      </w:r>
      <w:r w:rsidR="00DA33BB" w:rsidRPr="00207DCB">
        <w:rPr>
          <w:rFonts w:cs="Arial"/>
          <w:lang w:eastAsia="en-AU"/>
        </w:rPr>
        <w:t>u</w:t>
      </w:r>
      <w:r w:rsidR="00432F20" w:rsidRPr="00207DCB">
        <w:rPr>
          <w:rFonts w:cs="Arial"/>
          <w:lang w:eastAsia="en-AU"/>
        </w:rPr>
        <w:t xml:space="preserve">ed </w:t>
      </w:r>
      <w:r w:rsidR="00DA33BB" w:rsidRPr="00207DCB">
        <w:rPr>
          <w:rFonts w:cs="Arial"/>
          <w:lang w:eastAsia="en-AU"/>
        </w:rPr>
        <w:t xml:space="preserve">and sustained </w:t>
      </w:r>
      <w:r w:rsidR="00432F20" w:rsidRPr="00207DCB">
        <w:rPr>
          <w:rFonts w:cs="Arial"/>
          <w:lang w:eastAsia="en-AU"/>
        </w:rPr>
        <w:t>attenti</w:t>
      </w:r>
      <w:r w:rsidR="00DA33BB" w:rsidRPr="00207DCB">
        <w:rPr>
          <w:rFonts w:cs="Arial"/>
          <w:lang w:eastAsia="en-AU"/>
        </w:rPr>
        <w:t>on</w:t>
      </w:r>
      <w:r w:rsidR="00432F20" w:rsidRPr="00207DCB">
        <w:rPr>
          <w:rFonts w:cs="Arial"/>
          <w:lang w:eastAsia="en-AU"/>
        </w:rPr>
        <w:t xml:space="preserve"> at a population level</w:t>
      </w:r>
      <w:r w:rsidR="00557193">
        <w:rPr>
          <w:rFonts w:cs="Arial"/>
          <w:lang w:eastAsia="en-AU"/>
        </w:rPr>
        <w:t>,</w:t>
      </w:r>
      <w:r w:rsidR="00DA33BB" w:rsidRPr="00207DCB">
        <w:rPr>
          <w:rFonts w:cs="Arial"/>
          <w:lang w:eastAsia="en-AU"/>
        </w:rPr>
        <w:t xml:space="preserve"> particularly </w:t>
      </w:r>
      <w:r w:rsidR="00557193">
        <w:rPr>
          <w:rFonts w:cs="Arial"/>
          <w:lang w:eastAsia="en-AU"/>
        </w:rPr>
        <w:t xml:space="preserve">because </w:t>
      </w:r>
      <w:r w:rsidR="00DA33BB" w:rsidRPr="00207DCB">
        <w:rPr>
          <w:rFonts w:cs="Arial"/>
          <w:lang w:eastAsia="en-AU"/>
        </w:rPr>
        <w:t>previous research has shown that smoking rates among adolescents increas</w:t>
      </w:r>
      <w:r w:rsidR="00557193">
        <w:rPr>
          <w:rFonts w:cs="Arial"/>
          <w:lang w:eastAsia="en-AU"/>
        </w:rPr>
        <w:t>e</w:t>
      </w:r>
      <w:r w:rsidR="00DA33BB" w:rsidRPr="00207DCB">
        <w:rPr>
          <w:rFonts w:cs="Arial"/>
          <w:lang w:eastAsia="en-AU"/>
        </w:rPr>
        <w:t xml:space="preserve"> when there </w:t>
      </w:r>
      <w:r w:rsidR="00557193">
        <w:rPr>
          <w:rFonts w:cs="Arial"/>
          <w:lang w:eastAsia="en-AU"/>
        </w:rPr>
        <w:t>i</w:t>
      </w:r>
      <w:r w:rsidR="00DA33BB" w:rsidRPr="00207DCB">
        <w:rPr>
          <w:rFonts w:cs="Arial"/>
          <w:lang w:eastAsia="en-AU"/>
        </w:rPr>
        <w:t>s a reduction in tobacco control activity, including tobacco control advertising campaign</w:t>
      </w:r>
      <w:r w:rsidR="00917D46">
        <w:rPr>
          <w:rFonts w:cs="Arial"/>
          <w:lang w:eastAsia="en-AU"/>
        </w:rPr>
        <w:t>s</w:t>
      </w:r>
      <w:r w:rsidR="00DA33BB" w:rsidRPr="00207DCB">
        <w:rPr>
          <w:rFonts w:cs="Arial"/>
          <w:lang w:eastAsia="en-AU"/>
        </w:rPr>
        <w:t>.</w:t>
      </w:r>
      <w:r w:rsidR="00DA33BB" w:rsidRPr="00207DCB">
        <w:rPr>
          <w:rStyle w:val="FootnoteReference"/>
          <w:rFonts w:cs="Arial"/>
          <w:lang w:eastAsia="en-AU"/>
        </w:rPr>
        <w:footnoteReference w:id="58"/>
      </w:r>
      <w:r w:rsidR="00952FC7">
        <w:rPr>
          <w:rFonts w:cs="Arial"/>
          <w:lang w:eastAsia="en-AU"/>
        </w:rPr>
        <w:t xml:space="preserve"> </w:t>
      </w:r>
      <w:r w:rsidR="005E3030" w:rsidRPr="00207DCB">
        <w:rPr>
          <w:rFonts w:cs="Arial"/>
          <w:lang w:eastAsia="en-AU"/>
        </w:rPr>
        <w:t xml:space="preserve">To </w:t>
      </w:r>
      <w:r w:rsidR="00615148">
        <w:rPr>
          <w:rFonts w:cs="Arial"/>
          <w:lang w:eastAsia="en-AU"/>
        </w:rPr>
        <w:t>make certain</w:t>
      </w:r>
      <w:r w:rsidR="005E3030" w:rsidRPr="00207DCB">
        <w:rPr>
          <w:rFonts w:cs="Arial"/>
          <w:lang w:eastAsia="en-AU"/>
        </w:rPr>
        <w:t xml:space="preserve"> that the gains made in ensuring that smoking </w:t>
      </w:r>
      <w:r w:rsidR="00091DEE" w:rsidRPr="00207DCB">
        <w:rPr>
          <w:rFonts w:cs="Arial"/>
          <w:lang w:eastAsia="en-AU"/>
        </w:rPr>
        <w:t xml:space="preserve">prevalence </w:t>
      </w:r>
      <w:r w:rsidR="005E3030" w:rsidRPr="00207DCB">
        <w:rPr>
          <w:rFonts w:cs="Arial"/>
          <w:lang w:eastAsia="en-AU"/>
        </w:rPr>
        <w:t xml:space="preserve">among Australian adolescents </w:t>
      </w:r>
      <w:r w:rsidR="00091DEE" w:rsidRPr="00207DCB">
        <w:rPr>
          <w:rFonts w:cs="Arial"/>
          <w:lang w:eastAsia="en-AU"/>
        </w:rPr>
        <w:t xml:space="preserve">does not increase from the 2014 baseline, </w:t>
      </w:r>
      <w:r w:rsidR="005E3030" w:rsidRPr="00207DCB">
        <w:rPr>
          <w:rFonts w:cs="Arial"/>
          <w:lang w:eastAsia="en-AU"/>
        </w:rPr>
        <w:t>interventions known to</w:t>
      </w:r>
      <w:r w:rsidR="00091DEE" w:rsidRPr="00207DCB">
        <w:rPr>
          <w:rFonts w:cs="Arial"/>
          <w:lang w:eastAsia="en-AU"/>
        </w:rPr>
        <w:t xml:space="preserve"> </w:t>
      </w:r>
      <w:r w:rsidR="005E3030" w:rsidRPr="00207DCB">
        <w:rPr>
          <w:rFonts w:cs="Arial"/>
          <w:lang w:eastAsia="en-AU"/>
        </w:rPr>
        <w:t xml:space="preserve">reduce adolescents’ involvement with smoking </w:t>
      </w:r>
      <w:r w:rsidR="00091DEE" w:rsidRPr="00207DCB">
        <w:rPr>
          <w:rFonts w:cs="Arial"/>
          <w:lang w:eastAsia="en-AU"/>
        </w:rPr>
        <w:t xml:space="preserve">will </w:t>
      </w:r>
      <w:r w:rsidR="005E3030" w:rsidRPr="00207DCB">
        <w:rPr>
          <w:rFonts w:cs="Arial"/>
          <w:lang w:eastAsia="en-AU"/>
        </w:rPr>
        <w:t>need to continue</w:t>
      </w:r>
      <w:r w:rsidR="00091DEE" w:rsidRPr="00207DCB">
        <w:rPr>
          <w:rFonts w:cs="Arial"/>
          <w:lang w:eastAsia="en-AU"/>
        </w:rPr>
        <w:t>.</w:t>
      </w:r>
      <w:r w:rsidR="0048790B" w:rsidRPr="00207DCB">
        <w:rPr>
          <w:rStyle w:val="FootnoteReference"/>
          <w:rFonts w:cs="Arial"/>
          <w:lang w:eastAsia="en-AU"/>
        </w:rPr>
        <w:footnoteReference w:id="59"/>
      </w:r>
      <w:r w:rsidR="00091DEE" w:rsidRPr="00207DCB">
        <w:rPr>
          <w:rFonts w:cs="Arial"/>
          <w:lang w:eastAsia="en-AU"/>
        </w:rPr>
        <w:t xml:space="preserve"> </w:t>
      </w:r>
      <w:r w:rsidR="007713C0" w:rsidRPr="00207DCB">
        <w:rPr>
          <w:rFonts w:cs="Arial"/>
          <w:lang w:eastAsia="en-AU"/>
        </w:rPr>
        <w:t>This will be important</w:t>
      </w:r>
      <w:r w:rsidR="00091DEE" w:rsidRPr="00207DCB">
        <w:rPr>
          <w:rFonts w:cs="Arial"/>
          <w:lang w:eastAsia="en-AU"/>
        </w:rPr>
        <w:t xml:space="preserve"> in</w:t>
      </w:r>
      <w:r w:rsidR="007713C0" w:rsidRPr="00207DCB">
        <w:rPr>
          <w:rFonts w:cs="Arial"/>
          <w:lang w:eastAsia="en-AU"/>
        </w:rPr>
        <w:t xml:space="preserve"> ensur</w:t>
      </w:r>
      <w:r w:rsidR="00091DEE" w:rsidRPr="00207DCB">
        <w:rPr>
          <w:rFonts w:cs="Arial"/>
          <w:lang w:eastAsia="en-AU"/>
        </w:rPr>
        <w:t>ing</w:t>
      </w:r>
      <w:r w:rsidR="007713C0" w:rsidRPr="00207DCB">
        <w:rPr>
          <w:rFonts w:cs="Arial"/>
          <w:lang w:eastAsia="en-AU"/>
        </w:rPr>
        <w:t xml:space="preserve"> that </w:t>
      </w:r>
      <w:r w:rsidR="005E3030" w:rsidRPr="00207DCB">
        <w:rPr>
          <w:rFonts w:cs="Arial"/>
          <w:lang w:eastAsia="en-AU"/>
        </w:rPr>
        <w:t xml:space="preserve">the target of a 30 per cent decrease in smoking </w:t>
      </w:r>
      <w:r w:rsidR="00124BDE" w:rsidRPr="00207DCB">
        <w:rPr>
          <w:rFonts w:cs="Arial"/>
          <w:lang w:eastAsia="en-AU"/>
        </w:rPr>
        <w:t>among</w:t>
      </w:r>
      <w:r w:rsidR="005E3030" w:rsidRPr="00207DCB">
        <w:rPr>
          <w:rFonts w:cs="Arial"/>
          <w:lang w:eastAsia="en-AU"/>
        </w:rPr>
        <w:t xml:space="preserve"> adolescents by 2025 from the 2014 baseline is reached.</w:t>
      </w:r>
    </w:p>
    <w:p w14:paraId="76F9FF3D" w14:textId="05EA2336" w:rsidR="00C9473B" w:rsidRPr="00BB027B" w:rsidRDefault="00D10B5A" w:rsidP="00BB027B">
      <w:pPr>
        <w:pStyle w:val="Heading3"/>
      </w:pPr>
      <w:bookmarkStart w:id="360" w:name="_Measure_6.3_–"/>
      <w:bookmarkEnd w:id="360"/>
      <w:r w:rsidRPr="00091DEE">
        <w:rPr>
          <w:rFonts w:cs="Arial"/>
        </w:rPr>
        <w:br w:type="page"/>
      </w:r>
      <w:r w:rsidR="00C9473B" w:rsidRPr="00BB027B">
        <w:lastRenderedPageBreak/>
        <w:t>Measure 6.3 – Proportion of adults who consume alcohol at lifetime risk of harm</w:t>
      </w:r>
    </w:p>
    <w:p w14:paraId="7CEF0482" w14:textId="6AF2BFAB" w:rsidR="003A001C" w:rsidRDefault="000D1A38" w:rsidP="003A001C">
      <w:pPr>
        <w:pStyle w:val="DHHSfigurecaption"/>
      </w:pPr>
      <w:bookmarkStart w:id="361" w:name="_Toc19008058"/>
      <w:bookmarkStart w:id="362" w:name="_Toc19008297"/>
      <w:bookmarkStart w:id="363" w:name="_Toc19008444"/>
      <w:bookmarkStart w:id="364" w:name="_Toc19008591"/>
      <w:bookmarkStart w:id="365" w:name="_Toc27414299"/>
      <w:r w:rsidRPr="000D1A38">
        <w:t>Figure 6.3</w:t>
      </w:r>
      <w:r w:rsidR="008D2095">
        <w:t>:</w:t>
      </w:r>
      <w:r w:rsidRPr="000D1A38">
        <w:t xml:space="preserve"> Proportion of </w:t>
      </w:r>
      <w:r w:rsidR="00193C20">
        <w:t xml:space="preserve">Victorian </w:t>
      </w:r>
      <w:r w:rsidRPr="000D1A38">
        <w:t xml:space="preserve">adults </w:t>
      </w:r>
      <w:r w:rsidR="00193C20">
        <w:t>(</w:t>
      </w:r>
      <w:r w:rsidR="00193C20" w:rsidRPr="005554BD">
        <w:rPr>
          <w:rFonts w:cs="Arial"/>
          <w:bCs/>
          <w:color w:val="000000"/>
        </w:rPr>
        <w:t>aged 18 y</w:t>
      </w:r>
      <w:r w:rsidR="00E9274F">
        <w:rPr>
          <w:rFonts w:cs="Arial"/>
          <w:bCs/>
          <w:color w:val="000000"/>
        </w:rPr>
        <w:t>ea</w:t>
      </w:r>
      <w:r w:rsidR="00193C20" w:rsidRPr="005554BD">
        <w:rPr>
          <w:rFonts w:cs="Arial"/>
          <w:bCs/>
          <w:color w:val="000000"/>
        </w:rPr>
        <w:t xml:space="preserve">rs </w:t>
      </w:r>
      <w:r w:rsidR="001B50BF">
        <w:rPr>
          <w:rFonts w:cs="Arial"/>
          <w:bCs/>
          <w:color w:val="000000"/>
        </w:rPr>
        <w:t>or</w:t>
      </w:r>
      <w:r w:rsidR="001B50BF" w:rsidRPr="005554BD">
        <w:rPr>
          <w:rFonts w:cs="Arial"/>
          <w:bCs/>
          <w:color w:val="000000"/>
        </w:rPr>
        <w:t xml:space="preserve"> </w:t>
      </w:r>
      <w:r w:rsidR="00193C20" w:rsidRPr="005554BD">
        <w:rPr>
          <w:rFonts w:cs="Arial"/>
          <w:bCs/>
          <w:color w:val="000000"/>
        </w:rPr>
        <w:t>older</w:t>
      </w:r>
      <w:r w:rsidR="00193C20">
        <w:rPr>
          <w:rFonts w:cs="Arial"/>
          <w:bCs/>
          <w:color w:val="000000"/>
        </w:rPr>
        <w:t>)</w:t>
      </w:r>
      <w:r w:rsidR="00193C20" w:rsidRPr="000D1A38">
        <w:t xml:space="preserve"> </w:t>
      </w:r>
      <w:r w:rsidRPr="000D1A38">
        <w:t>who consume alcohol at lifetime risk of harm</w:t>
      </w:r>
      <w:r w:rsidR="009956F1">
        <w:t>,</w:t>
      </w:r>
      <w:r w:rsidR="002C7FB7">
        <w:t xml:space="preserve"> by year, 2014</w:t>
      </w:r>
      <w:r w:rsidR="00CA2AD7">
        <w:t>–</w:t>
      </w:r>
      <w:r w:rsidR="002C7FB7">
        <w:t>201</w:t>
      </w:r>
      <w:bookmarkEnd w:id="361"/>
      <w:bookmarkEnd w:id="362"/>
      <w:bookmarkEnd w:id="363"/>
      <w:bookmarkEnd w:id="364"/>
      <w:r w:rsidR="00855218">
        <w:t>7</w:t>
      </w:r>
      <w:bookmarkEnd w:id="365"/>
    </w:p>
    <w:p w14:paraId="6FC1B620" w14:textId="1C94890B" w:rsidR="000D1A38" w:rsidRPr="00CE5D54" w:rsidRDefault="00AA1BCF" w:rsidP="003A001C">
      <w:pPr>
        <w:pStyle w:val="DHHSbody"/>
      </w:pPr>
      <w:r>
        <w:rPr>
          <w:noProof/>
        </w:rPr>
        <w:drawing>
          <wp:inline distT="0" distB="0" distL="0" distR="0" wp14:anchorId="2EC3FC50" wp14:editId="166EB2A8">
            <wp:extent cx="6334125" cy="3206750"/>
            <wp:effectExtent l="0" t="0" r="9525" b="0"/>
            <wp:docPr id="324" name="Picture 324" descr="This figure presents data under Measure 6.3 - Proportion of adults who consume alcohol at lifetime risk of harm'. The data for this figure is available in this section for the study period 2014 to 2017 - refer to Table 6.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34125" cy="3206750"/>
                    </a:xfrm>
                    <a:prstGeom prst="rect">
                      <a:avLst/>
                    </a:prstGeom>
                    <a:noFill/>
                  </pic:spPr>
                </pic:pic>
              </a:graphicData>
            </a:graphic>
          </wp:inline>
        </w:drawing>
      </w:r>
    </w:p>
    <w:p w14:paraId="7E8A0AB4" w14:textId="2EEDC662" w:rsidR="004E5892" w:rsidRPr="004E5892" w:rsidRDefault="004E5892" w:rsidP="008C38C6">
      <w:pPr>
        <w:pStyle w:val="DHHStablecaption"/>
      </w:pPr>
      <w:bookmarkStart w:id="366" w:name="_Toc18908729"/>
      <w:bookmarkStart w:id="367" w:name="_Toc27414408"/>
      <w:r w:rsidRPr="004E5892">
        <w:t>Table 6.3</w:t>
      </w:r>
      <w:r w:rsidR="00CA2AD7">
        <w:t>:</w:t>
      </w:r>
      <w:r w:rsidRPr="004E5892">
        <w:t xml:space="preserve"> Proportion of Victorian adults (</w:t>
      </w:r>
      <w:r w:rsidRPr="004E5892">
        <w:rPr>
          <w:rFonts w:cs="Arial"/>
          <w:bCs/>
          <w:color w:val="000000"/>
        </w:rPr>
        <w:t>aged 18 y</w:t>
      </w:r>
      <w:r w:rsidR="00E9274F">
        <w:rPr>
          <w:rFonts w:cs="Arial"/>
          <w:bCs/>
          <w:color w:val="000000"/>
        </w:rPr>
        <w:t>ea</w:t>
      </w:r>
      <w:r w:rsidRPr="004E5892">
        <w:rPr>
          <w:rFonts w:cs="Arial"/>
          <w:bCs/>
          <w:color w:val="000000"/>
        </w:rPr>
        <w:t xml:space="preserve">rs </w:t>
      </w:r>
      <w:r w:rsidR="00CA2AD7">
        <w:rPr>
          <w:rFonts w:cs="Arial"/>
          <w:bCs/>
          <w:color w:val="000000"/>
        </w:rPr>
        <w:t>or</w:t>
      </w:r>
      <w:r w:rsidR="00CA2AD7" w:rsidRPr="004E5892">
        <w:rPr>
          <w:rFonts w:cs="Arial"/>
          <w:bCs/>
          <w:color w:val="000000"/>
        </w:rPr>
        <w:t xml:space="preserve"> </w:t>
      </w:r>
      <w:r w:rsidRPr="004E5892">
        <w:rPr>
          <w:rFonts w:cs="Arial"/>
          <w:bCs/>
          <w:color w:val="000000"/>
        </w:rPr>
        <w:t>older)</w:t>
      </w:r>
      <w:r w:rsidRPr="004E5892">
        <w:t xml:space="preserve"> who consume alcohol at lifetime risk</w:t>
      </w:r>
      <w:r w:rsidRPr="000D1A38">
        <w:t xml:space="preserve"> of harm</w:t>
      </w:r>
      <w:r w:rsidR="009956F1">
        <w:t>,</w:t>
      </w:r>
      <w:r w:rsidR="002C7FB7">
        <w:t xml:space="preserve"> by year, 2014</w:t>
      </w:r>
      <w:r w:rsidR="00CA2AD7">
        <w:t>–</w:t>
      </w:r>
      <w:r w:rsidR="002C7FB7">
        <w:t>201</w:t>
      </w:r>
      <w:bookmarkEnd w:id="366"/>
      <w:r w:rsidR="00CE5D54">
        <w:t>7</w:t>
      </w:r>
      <w:bookmarkEnd w:id="367"/>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086"/>
        <w:gridCol w:w="1990"/>
        <w:gridCol w:w="2175"/>
        <w:gridCol w:w="2270"/>
        <w:gridCol w:w="2115"/>
      </w:tblGrid>
      <w:tr w:rsidR="00613926" w:rsidRPr="000517B8" w14:paraId="74BAD747" w14:textId="42F94CB2" w:rsidTr="00613926">
        <w:trPr>
          <w:trHeight w:val="297"/>
        </w:trPr>
        <w:tc>
          <w:tcPr>
            <w:tcW w:w="2086" w:type="dxa"/>
            <w:shd w:val="clear" w:color="auto" w:fill="EDCDCF"/>
            <w:vAlign w:val="center"/>
          </w:tcPr>
          <w:p w14:paraId="214C7AFD" w14:textId="77777777" w:rsidR="00613926" w:rsidRPr="00DB4F90" w:rsidRDefault="00613926" w:rsidP="00573DB3">
            <w:pPr>
              <w:pStyle w:val="DHHStablecolhead"/>
            </w:pPr>
            <w:r w:rsidRPr="00DB4F90">
              <w:t>Year</w:t>
            </w:r>
          </w:p>
        </w:tc>
        <w:tc>
          <w:tcPr>
            <w:tcW w:w="1990" w:type="dxa"/>
            <w:shd w:val="clear" w:color="auto" w:fill="EDCDCF"/>
            <w:vAlign w:val="center"/>
          </w:tcPr>
          <w:p w14:paraId="0E17039F" w14:textId="77777777" w:rsidR="00613926" w:rsidRPr="00DB4F90" w:rsidRDefault="00613926" w:rsidP="00573DB3">
            <w:pPr>
              <w:pStyle w:val="DHHStablecolhead"/>
            </w:pPr>
            <w:r w:rsidRPr="00DB4F90">
              <w:t>2014</w:t>
            </w:r>
          </w:p>
        </w:tc>
        <w:tc>
          <w:tcPr>
            <w:tcW w:w="2175" w:type="dxa"/>
            <w:shd w:val="clear" w:color="auto" w:fill="EDCDCF"/>
            <w:vAlign w:val="center"/>
          </w:tcPr>
          <w:p w14:paraId="23F297B9" w14:textId="77777777" w:rsidR="00613926" w:rsidRPr="00DB4F90" w:rsidRDefault="00613926" w:rsidP="00573DB3">
            <w:pPr>
              <w:pStyle w:val="DHHStablecolhead"/>
            </w:pPr>
            <w:r w:rsidRPr="00DB4F90">
              <w:t>2015</w:t>
            </w:r>
          </w:p>
        </w:tc>
        <w:tc>
          <w:tcPr>
            <w:tcW w:w="2270" w:type="dxa"/>
            <w:shd w:val="clear" w:color="auto" w:fill="EDCDCF"/>
            <w:vAlign w:val="center"/>
          </w:tcPr>
          <w:p w14:paraId="2CB34716" w14:textId="77777777" w:rsidR="00613926" w:rsidRPr="00DB4F90" w:rsidRDefault="00613926" w:rsidP="00573DB3">
            <w:pPr>
              <w:pStyle w:val="DHHStablecolhead"/>
            </w:pPr>
            <w:r w:rsidRPr="00DB4F90">
              <w:t>2016</w:t>
            </w:r>
          </w:p>
        </w:tc>
        <w:tc>
          <w:tcPr>
            <w:tcW w:w="2115" w:type="dxa"/>
            <w:shd w:val="clear" w:color="auto" w:fill="EDCDCF"/>
          </w:tcPr>
          <w:p w14:paraId="71002127" w14:textId="038E2732" w:rsidR="00613926" w:rsidRPr="00DB4F90" w:rsidRDefault="00613926" w:rsidP="00573DB3">
            <w:pPr>
              <w:pStyle w:val="DHHStablecolhead"/>
            </w:pPr>
            <w:r>
              <w:t>2017</w:t>
            </w:r>
          </w:p>
        </w:tc>
      </w:tr>
      <w:tr w:rsidR="00613926" w:rsidRPr="000517B8" w14:paraId="1024874E" w14:textId="2D04C2DD" w:rsidTr="00613926">
        <w:trPr>
          <w:trHeight w:val="297"/>
        </w:trPr>
        <w:tc>
          <w:tcPr>
            <w:tcW w:w="2086" w:type="dxa"/>
            <w:shd w:val="clear" w:color="auto" w:fill="auto"/>
            <w:vAlign w:val="center"/>
          </w:tcPr>
          <w:p w14:paraId="3EE1B927" w14:textId="77777777" w:rsidR="00613926" w:rsidRPr="005E739D" w:rsidRDefault="00613926" w:rsidP="00573DB3">
            <w:pPr>
              <w:pStyle w:val="DHHStabletext"/>
            </w:pPr>
            <w:r>
              <w:t>Per cent (%)</w:t>
            </w:r>
          </w:p>
        </w:tc>
        <w:tc>
          <w:tcPr>
            <w:tcW w:w="1990" w:type="dxa"/>
            <w:shd w:val="clear" w:color="auto" w:fill="auto"/>
            <w:vAlign w:val="center"/>
          </w:tcPr>
          <w:p w14:paraId="7488D878" w14:textId="77777777" w:rsidR="00613926" w:rsidRPr="0069114D" w:rsidRDefault="00613926" w:rsidP="00573DB3">
            <w:pPr>
              <w:pStyle w:val="DHHStabletext"/>
            </w:pPr>
            <w:r w:rsidRPr="0069114D">
              <w:t>59.2</w:t>
            </w:r>
          </w:p>
        </w:tc>
        <w:tc>
          <w:tcPr>
            <w:tcW w:w="2175" w:type="dxa"/>
            <w:shd w:val="clear" w:color="auto" w:fill="auto"/>
            <w:vAlign w:val="center"/>
          </w:tcPr>
          <w:p w14:paraId="40E5627D" w14:textId="33F27749" w:rsidR="00613926" w:rsidRPr="0069114D" w:rsidRDefault="00613926" w:rsidP="00573DB3">
            <w:pPr>
              <w:pStyle w:val="DHHStabletext"/>
            </w:pPr>
            <w:r>
              <w:t>58.6</w:t>
            </w:r>
          </w:p>
        </w:tc>
        <w:tc>
          <w:tcPr>
            <w:tcW w:w="2270" w:type="dxa"/>
            <w:shd w:val="clear" w:color="auto" w:fill="auto"/>
            <w:vAlign w:val="center"/>
          </w:tcPr>
          <w:p w14:paraId="3B0028A8" w14:textId="77777777" w:rsidR="00613926" w:rsidRPr="0069114D" w:rsidRDefault="00613926" w:rsidP="00573DB3">
            <w:pPr>
              <w:pStyle w:val="DHHStabletext"/>
            </w:pPr>
            <w:r w:rsidRPr="0069114D">
              <w:t>57.7</w:t>
            </w:r>
          </w:p>
        </w:tc>
        <w:tc>
          <w:tcPr>
            <w:tcW w:w="2115" w:type="dxa"/>
          </w:tcPr>
          <w:p w14:paraId="2AB46F21" w14:textId="26AF6064" w:rsidR="00613926" w:rsidRPr="0069114D" w:rsidRDefault="00CE5D54" w:rsidP="00573DB3">
            <w:pPr>
              <w:pStyle w:val="DHHStabletext"/>
            </w:pPr>
            <w:r>
              <w:t>59.5</w:t>
            </w:r>
          </w:p>
        </w:tc>
      </w:tr>
      <w:tr w:rsidR="00613926" w:rsidRPr="000517B8" w14:paraId="661D3963" w14:textId="67180C78" w:rsidTr="00613926">
        <w:trPr>
          <w:trHeight w:val="297"/>
        </w:trPr>
        <w:tc>
          <w:tcPr>
            <w:tcW w:w="2086" w:type="dxa"/>
            <w:shd w:val="clear" w:color="auto" w:fill="auto"/>
            <w:vAlign w:val="center"/>
          </w:tcPr>
          <w:p w14:paraId="2417EC4D" w14:textId="4789255D" w:rsidR="00613926" w:rsidRDefault="00613926" w:rsidP="00573DB3">
            <w:pPr>
              <w:pStyle w:val="DHHStabletext"/>
            </w:pPr>
            <w:r>
              <w:t>95% CI</w:t>
            </w:r>
          </w:p>
        </w:tc>
        <w:tc>
          <w:tcPr>
            <w:tcW w:w="1990" w:type="dxa"/>
            <w:shd w:val="clear" w:color="auto" w:fill="auto"/>
            <w:vAlign w:val="center"/>
          </w:tcPr>
          <w:p w14:paraId="44D10D9B" w14:textId="320C30C1" w:rsidR="00613926" w:rsidRPr="0069114D" w:rsidRDefault="00613926" w:rsidP="00573DB3">
            <w:pPr>
              <w:pStyle w:val="DHHStabletext"/>
            </w:pPr>
            <w:r w:rsidRPr="0069114D">
              <w:t>(</w:t>
            </w:r>
            <w:r>
              <w:t>58</w:t>
            </w:r>
            <w:r w:rsidRPr="0069114D">
              <w:t>.</w:t>
            </w:r>
            <w:r>
              <w:t>0–60</w:t>
            </w:r>
            <w:r w:rsidRPr="0069114D">
              <w:t>.</w:t>
            </w:r>
            <w:r>
              <w:t>3</w:t>
            </w:r>
            <w:r w:rsidRPr="0069114D">
              <w:t>)</w:t>
            </w:r>
          </w:p>
        </w:tc>
        <w:tc>
          <w:tcPr>
            <w:tcW w:w="2175" w:type="dxa"/>
            <w:shd w:val="clear" w:color="auto" w:fill="auto"/>
            <w:vAlign w:val="center"/>
          </w:tcPr>
          <w:p w14:paraId="2303BFAA" w14:textId="18B73009" w:rsidR="00613926" w:rsidRPr="0069114D" w:rsidRDefault="00613926" w:rsidP="00573DB3">
            <w:pPr>
              <w:pStyle w:val="DHHStabletext"/>
            </w:pPr>
            <w:r w:rsidRPr="0069114D">
              <w:t>(</w:t>
            </w:r>
            <w:r>
              <w:t>57</w:t>
            </w:r>
            <w:r w:rsidRPr="0069114D">
              <w:t>.</w:t>
            </w:r>
            <w:r>
              <w:t>0–60</w:t>
            </w:r>
            <w:r w:rsidRPr="0069114D">
              <w:t>.</w:t>
            </w:r>
            <w:r>
              <w:t>2</w:t>
            </w:r>
            <w:r w:rsidRPr="0069114D">
              <w:t>)</w:t>
            </w:r>
          </w:p>
        </w:tc>
        <w:tc>
          <w:tcPr>
            <w:tcW w:w="2270" w:type="dxa"/>
            <w:shd w:val="clear" w:color="auto" w:fill="auto"/>
            <w:vAlign w:val="center"/>
          </w:tcPr>
          <w:p w14:paraId="61DC93C1" w14:textId="26872CA1" w:rsidR="00613926" w:rsidRPr="0069114D" w:rsidRDefault="00613926" w:rsidP="00573DB3">
            <w:pPr>
              <w:pStyle w:val="DHHStabletext"/>
            </w:pPr>
            <w:r w:rsidRPr="0069114D">
              <w:t>(</w:t>
            </w:r>
            <w:r>
              <w:t>56.3–59</w:t>
            </w:r>
            <w:r w:rsidRPr="0069114D">
              <w:t>.</w:t>
            </w:r>
            <w:r>
              <w:t>2</w:t>
            </w:r>
            <w:r w:rsidRPr="0069114D">
              <w:t>)</w:t>
            </w:r>
          </w:p>
        </w:tc>
        <w:tc>
          <w:tcPr>
            <w:tcW w:w="2115" w:type="dxa"/>
          </w:tcPr>
          <w:p w14:paraId="20A33C60" w14:textId="440AD2E2" w:rsidR="00613926" w:rsidRPr="0069114D" w:rsidRDefault="00CE5D54" w:rsidP="00573DB3">
            <w:pPr>
              <w:pStyle w:val="DHHStabletext"/>
            </w:pPr>
            <w:r>
              <w:t>(58.6–60.4)</w:t>
            </w:r>
          </w:p>
        </w:tc>
      </w:tr>
    </w:tbl>
    <w:p w14:paraId="600B1824" w14:textId="1B11D923" w:rsidR="006744C7" w:rsidRPr="00143AA5" w:rsidRDefault="006744C7" w:rsidP="00FA1AAC">
      <w:pPr>
        <w:pStyle w:val="DHHStablefigurenote"/>
      </w:pPr>
      <w:r w:rsidRPr="00143AA5">
        <w:t>Source:</w:t>
      </w:r>
      <w:r w:rsidR="00986080" w:rsidRPr="00143AA5">
        <w:t xml:space="preserve"> Victorian Population Health Survey</w:t>
      </w:r>
      <w:r w:rsidR="00143AA5" w:rsidRPr="00143AA5">
        <w:t>s 2014</w:t>
      </w:r>
      <w:r w:rsidR="00CA2AD7">
        <w:t>–</w:t>
      </w:r>
      <w:r w:rsidR="00143AA5" w:rsidRPr="00143AA5">
        <w:t>201</w:t>
      </w:r>
      <w:r w:rsidR="00613926">
        <w:t>7</w:t>
      </w:r>
      <w:r w:rsidR="00F101A6">
        <w:t xml:space="preserve"> (age</w:t>
      </w:r>
      <w:r w:rsidR="00A5064E">
        <w:t>-</w:t>
      </w:r>
      <w:r w:rsidR="00F101A6">
        <w:t>standardised to 2011 Victorian population)</w:t>
      </w:r>
    </w:p>
    <w:p w14:paraId="64677FBE" w14:textId="6034AE2F" w:rsidR="003E20E9" w:rsidRDefault="003E20E9" w:rsidP="003E20E9">
      <w:pPr>
        <w:pStyle w:val="Heading4"/>
        <w:rPr>
          <w:lang w:eastAsia="en-AU"/>
        </w:rPr>
      </w:pPr>
      <w:r>
        <w:rPr>
          <w:lang w:eastAsia="en-AU"/>
        </w:rPr>
        <w:t>Measure assessment</w:t>
      </w:r>
    </w:p>
    <w:p w14:paraId="1F33997B" w14:textId="3DB91E18" w:rsidR="003E20E9" w:rsidRPr="00E060C8" w:rsidRDefault="003E20E9" w:rsidP="00E060C8">
      <w:pPr>
        <w:autoSpaceDE w:val="0"/>
        <w:autoSpaceDN w:val="0"/>
        <w:adjustRightInd w:val="0"/>
        <w:spacing w:after="120" w:line="270" w:lineRule="atLeast"/>
        <w:rPr>
          <w:rFonts w:ascii="Arial" w:hAnsi="Arial" w:cs="Arial"/>
          <w:color w:val="00B050"/>
        </w:rPr>
      </w:pPr>
      <w:r w:rsidRPr="009F01B1">
        <w:rPr>
          <w:rFonts w:ascii="Arial" w:hAnsi="Arial" w:cs="Arial"/>
        </w:rPr>
        <w:t>Traffic light rating:</w:t>
      </w:r>
      <w:r w:rsidRPr="00113A48">
        <w:rPr>
          <w:rFonts w:ascii="Arial" w:hAnsi="Arial" w:cs="Arial"/>
          <w:b/>
          <w:color w:val="92D050"/>
        </w:rPr>
        <w:t xml:space="preserve"> </w:t>
      </w:r>
      <w:r w:rsidR="0070536B" w:rsidRPr="00061321">
        <w:rPr>
          <w:rFonts w:ascii="Arial" w:hAnsi="Arial" w:cs="Arial"/>
          <w:b/>
          <w:color w:val="007B4B"/>
        </w:rPr>
        <w:t>Green</w:t>
      </w:r>
      <w:r w:rsidR="00061321">
        <w:rPr>
          <w:rFonts w:ascii="Arial" w:hAnsi="Arial" w:cs="Arial"/>
          <w:color w:val="007B4B"/>
        </w:rPr>
        <w:t xml:space="preserve"> (satisfactory result)</w:t>
      </w:r>
    </w:p>
    <w:p w14:paraId="525C77C6" w14:textId="01C463F3" w:rsidR="003E20E9" w:rsidRDefault="003E20E9" w:rsidP="00BB027B">
      <w:pPr>
        <w:autoSpaceDE w:val="0"/>
        <w:autoSpaceDN w:val="0"/>
        <w:adjustRightInd w:val="0"/>
        <w:spacing w:after="10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B30937">
        <w:rPr>
          <w:rFonts w:ascii="Arial" w:hAnsi="Arial" w:cs="Arial"/>
        </w:rPr>
        <w:t>Moving in the right direction</w:t>
      </w:r>
    </w:p>
    <w:p w14:paraId="7C6CF8F0" w14:textId="05C87998" w:rsidR="00A45BB3" w:rsidRPr="000B1800" w:rsidRDefault="003E20E9" w:rsidP="00BB027B">
      <w:pPr>
        <w:pStyle w:val="DHHSbody"/>
        <w:spacing w:after="100"/>
        <w:rPr>
          <w:rFonts w:cs="Arial"/>
          <w:color w:val="000000" w:themeColor="text1"/>
        </w:rPr>
      </w:pPr>
      <w:r w:rsidRPr="000B1800">
        <w:rPr>
          <w:rFonts w:cs="Arial"/>
          <w:color w:val="000000" w:themeColor="text1"/>
        </w:rPr>
        <w:t>Commentary:</w:t>
      </w:r>
      <w:r w:rsidR="00400914" w:rsidRPr="000B1800">
        <w:rPr>
          <w:rFonts w:cs="Arial"/>
          <w:color w:val="000000" w:themeColor="text1"/>
        </w:rPr>
        <w:t xml:space="preserve"> </w:t>
      </w:r>
      <w:r w:rsidR="004F752C" w:rsidRPr="000B1800">
        <w:rPr>
          <w:rFonts w:cs="Arial"/>
          <w:color w:val="000000" w:themeColor="text1"/>
        </w:rPr>
        <w:t>Lifetime r</w:t>
      </w:r>
      <w:r w:rsidR="008B0A13" w:rsidRPr="000B1800">
        <w:rPr>
          <w:rFonts w:cs="Arial"/>
          <w:color w:val="000000" w:themeColor="text1"/>
        </w:rPr>
        <w:t>isk of alcohol-related harm attempts to measure the risk associated with developing an illness that may include various cancers</w:t>
      </w:r>
      <w:r w:rsidR="00E4754D">
        <w:rPr>
          <w:rFonts w:cs="Arial"/>
          <w:color w:val="000000" w:themeColor="text1"/>
        </w:rPr>
        <w:t>,</w:t>
      </w:r>
      <w:r w:rsidR="003C177C" w:rsidRPr="000B1800">
        <w:rPr>
          <w:rFonts w:cs="Arial"/>
          <w:color w:val="000000" w:themeColor="text1"/>
        </w:rPr>
        <w:t xml:space="preserve"> </w:t>
      </w:r>
      <w:r w:rsidR="00D815F3" w:rsidRPr="000B1800">
        <w:rPr>
          <w:rFonts w:cs="Arial"/>
          <w:color w:val="000000" w:themeColor="text1"/>
        </w:rPr>
        <w:t xml:space="preserve">namely </w:t>
      </w:r>
      <w:r w:rsidR="00D815F3" w:rsidRPr="000B1800">
        <w:rPr>
          <w:rFonts w:cs="Arial"/>
          <w:color w:val="000000" w:themeColor="text1"/>
          <w:lang w:val="en"/>
        </w:rPr>
        <w:t>cancers of the upper aerodigestive tract, liver, colorectal and female breast</w:t>
      </w:r>
      <w:r w:rsidR="00802511" w:rsidRPr="000B1800">
        <w:rPr>
          <w:rFonts w:cs="Arial"/>
          <w:color w:val="000000" w:themeColor="text1"/>
          <w:lang w:val="en"/>
        </w:rPr>
        <w:t>.</w:t>
      </w:r>
      <w:r w:rsidR="00802511" w:rsidRPr="000B1800">
        <w:rPr>
          <w:rStyle w:val="FootnoteReference"/>
          <w:rFonts w:cs="Arial"/>
          <w:color w:val="000000" w:themeColor="text1"/>
          <w:lang w:val="en"/>
        </w:rPr>
        <w:footnoteReference w:id="60"/>
      </w:r>
      <w:r w:rsidR="00952FC7">
        <w:rPr>
          <w:rFonts w:cs="Arial"/>
          <w:color w:val="000000" w:themeColor="text1"/>
          <w:lang w:val="en"/>
        </w:rPr>
        <w:t xml:space="preserve"> </w:t>
      </w:r>
      <w:r w:rsidR="00A45BB3" w:rsidRPr="000B1800">
        <w:rPr>
          <w:rFonts w:cs="Arial"/>
          <w:color w:val="000000" w:themeColor="text1"/>
        </w:rPr>
        <w:t>For the purposes of this measure</w:t>
      </w:r>
      <w:r w:rsidR="00E4754D">
        <w:rPr>
          <w:rFonts w:cs="Arial"/>
          <w:color w:val="000000" w:themeColor="text1"/>
        </w:rPr>
        <w:t>,</w:t>
      </w:r>
      <w:r w:rsidR="00A45BB3" w:rsidRPr="000B1800">
        <w:rPr>
          <w:rFonts w:cs="Arial"/>
          <w:color w:val="000000" w:themeColor="text1"/>
        </w:rPr>
        <w:t xml:space="preserve"> lifetime risky alcohol consumption was determined if alc</w:t>
      </w:r>
      <w:r w:rsidR="00BD2C2B" w:rsidRPr="000B1800">
        <w:rPr>
          <w:rFonts w:cs="Arial"/>
          <w:color w:val="000000" w:themeColor="text1"/>
        </w:rPr>
        <w:t>ohol consumption exceed</w:t>
      </w:r>
      <w:r w:rsidR="00C279C3" w:rsidRPr="000B1800">
        <w:rPr>
          <w:rFonts w:cs="Arial"/>
          <w:color w:val="000000" w:themeColor="text1"/>
        </w:rPr>
        <w:t>ed</w:t>
      </w:r>
      <w:r w:rsidR="00BD2C2B" w:rsidRPr="000B1800">
        <w:rPr>
          <w:rFonts w:cs="Arial"/>
          <w:color w:val="000000" w:themeColor="text1"/>
        </w:rPr>
        <w:t xml:space="preserve"> the 2009 </w:t>
      </w:r>
      <w:r w:rsidR="00A45BB3" w:rsidRPr="000B1800">
        <w:rPr>
          <w:rFonts w:cs="Arial"/>
          <w:color w:val="000000" w:themeColor="text1"/>
        </w:rPr>
        <w:t>National Health and Medical Research Council (NHMRC) guidelines for reducing health risks associated with alcohol consumption.</w:t>
      </w:r>
      <w:r w:rsidR="00C279C3" w:rsidRPr="000B1800">
        <w:rPr>
          <w:rStyle w:val="FootnoteReference"/>
          <w:rFonts w:cs="Arial"/>
          <w:color w:val="000000" w:themeColor="text1"/>
        </w:rPr>
        <w:footnoteReference w:id="61"/>
      </w:r>
      <w:r w:rsidR="00A45BB3" w:rsidRPr="000B1800">
        <w:rPr>
          <w:rFonts w:cs="Arial"/>
          <w:color w:val="000000" w:themeColor="text1"/>
        </w:rPr>
        <w:t xml:space="preserve"> </w:t>
      </w:r>
      <w:r w:rsidR="00C279C3" w:rsidRPr="000B1800">
        <w:rPr>
          <w:rFonts w:cs="Arial"/>
          <w:color w:val="000000" w:themeColor="text1"/>
        </w:rPr>
        <w:t>These guidelines state that,</w:t>
      </w:r>
      <w:r w:rsidR="000B1800" w:rsidRPr="000B1800">
        <w:rPr>
          <w:rFonts w:cs="Arial"/>
          <w:color w:val="000000" w:themeColor="text1"/>
        </w:rPr>
        <w:t xml:space="preserve"> </w:t>
      </w:r>
      <w:r w:rsidR="00C279C3" w:rsidRPr="000B1800">
        <w:rPr>
          <w:color w:val="000000" w:themeColor="text1"/>
        </w:rPr>
        <w:t xml:space="preserve">for healthy men and women, </w:t>
      </w:r>
      <w:r w:rsidR="00CA2AD7">
        <w:rPr>
          <w:iCs/>
          <w:color w:val="000000" w:themeColor="text1"/>
        </w:rPr>
        <w:t>‘</w:t>
      </w:r>
      <w:r w:rsidR="00C279C3" w:rsidRPr="006078FE">
        <w:rPr>
          <w:iCs/>
          <w:color w:val="000000" w:themeColor="text1"/>
        </w:rPr>
        <w:t>drinking no more than two standard drinks on any day reduces the lifetime risk of harm from alcohol-related disease or injury</w:t>
      </w:r>
      <w:r w:rsidR="00CA2AD7">
        <w:rPr>
          <w:iCs/>
          <w:color w:val="000000" w:themeColor="text1"/>
        </w:rPr>
        <w:t>’</w:t>
      </w:r>
      <w:r w:rsidR="00C279C3" w:rsidRPr="00CA2AD7">
        <w:rPr>
          <w:iCs/>
          <w:color w:val="000000" w:themeColor="text1"/>
        </w:rPr>
        <w:t>.</w:t>
      </w:r>
      <w:r w:rsidR="000B1800" w:rsidRPr="00CA2AD7">
        <w:rPr>
          <w:rStyle w:val="FootnoteReference"/>
          <w:iCs/>
          <w:color w:val="000000" w:themeColor="text1"/>
        </w:rPr>
        <w:footnoteReference w:id="62"/>
      </w:r>
    </w:p>
    <w:p w14:paraId="3DCA8A70" w14:textId="4DD11325" w:rsidR="00963EA4" w:rsidRDefault="00BE7423" w:rsidP="00BB027B">
      <w:pPr>
        <w:pStyle w:val="DHHSbody"/>
        <w:spacing w:after="100"/>
        <w:rPr>
          <w:rFonts w:cs="Arial"/>
        </w:rPr>
      </w:pPr>
      <w:r>
        <w:rPr>
          <w:rFonts w:cs="Arial"/>
        </w:rPr>
        <w:t xml:space="preserve">The </w:t>
      </w:r>
      <w:r w:rsidRPr="0070536B">
        <w:rPr>
          <w:rFonts w:cs="Arial"/>
          <w:i/>
        </w:rPr>
        <w:t xml:space="preserve">Victorian </w:t>
      </w:r>
      <w:r w:rsidR="00CA2AD7">
        <w:rPr>
          <w:rFonts w:cs="Arial"/>
          <w:i/>
        </w:rPr>
        <w:t>p</w:t>
      </w:r>
      <w:r w:rsidRPr="0070536B">
        <w:rPr>
          <w:rFonts w:cs="Arial"/>
          <w:i/>
        </w:rPr>
        <w:t xml:space="preserve">ublic </w:t>
      </w:r>
      <w:r w:rsidR="00CA2AD7">
        <w:rPr>
          <w:rFonts w:cs="Arial"/>
          <w:i/>
        </w:rPr>
        <w:t>h</w:t>
      </w:r>
      <w:r w:rsidRPr="0070536B">
        <w:rPr>
          <w:rFonts w:cs="Arial"/>
          <w:i/>
        </w:rPr>
        <w:t xml:space="preserve">ealth and </w:t>
      </w:r>
      <w:r w:rsidR="00CA2AD7">
        <w:rPr>
          <w:rFonts w:cs="Arial"/>
          <w:i/>
        </w:rPr>
        <w:t>w</w:t>
      </w:r>
      <w:r w:rsidRPr="0070536B">
        <w:rPr>
          <w:rFonts w:cs="Arial"/>
          <w:i/>
        </w:rPr>
        <w:t xml:space="preserve">ellbeing </w:t>
      </w:r>
      <w:r w:rsidR="00CA2AD7">
        <w:rPr>
          <w:rFonts w:cs="Arial"/>
          <w:i/>
        </w:rPr>
        <w:t>o</w:t>
      </w:r>
      <w:r w:rsidRPr="0070536B">
        <w:rPr>
          <w:rFonts w:cs="Arial"/>
          <w:i/>
        </w:rPr>
        <w:t xml:space="preserve">utcomes </w:t>
      </w:r>
      <w:r w:rsidR="00CA2AD7">
        <w:rPr>
          <w:rFonts w:cs="Arial"/>
          <w:i/>
        </w:rPr>
        <w:t>f</w:t>
      </w:r>
      <w:r w:rsidRPr="0070536B">
        <w:rPr>
          <w:rFonts w:cs="Arial"/>
          <w:i/>
        </w:rPr>
        <w:t>ramework</w:t>
      </w:r>
      <w:r>
        <w:rPr>
          <w:rFonts w:cs="Arial"/>
        </w:rPr>
        <w:t xml:space="preserve"> has a target of a 10 per cent decrease in the number of adults who consume excess alcohol by 2025, from the 2014 baseline of 59.2 per cent</w:t>
      </w:r>
      <w:r w:rsidR="00485CB7">
        <w:rPr>
          <w:rFonts w:cs="Arial"/>
        </w:rPr>
        <w:t xml:space="preserve"> (Figure and Table 6.3)</w:t>
      </w:r>
      <w:r>
        <w:rPr>
          <w:rFonts w:cs="Arial"/>
        </w:rPr>
        <w:t>.</w:t>
      </w:r>
      <w:r w:rsidR="00707E8D">
        <w:rPr>
          <w:rFonts w:cs="Arial"/>
        </w:rPr>
        <w:t xml:space="preserve"> </w:t>
      </w:r>
    </w:p>
    <w:p w14:paraId="506E6A5C" w14:textId="77777777" w:rsidR="00BB027B" w:rsidRDefault="00BE7423" w:rsidP="00BB027B">
      <w:pPr>
        <w:pStyle w:val="DHHSbody"/>
        <w:spacing w:after="100"/>
      </w:pPr>
      <w:r>
        <w:t>Currently Victoria is on track to meet the 2025 target of 53.3 per cent, with 5</w:t>
      </w:r>
      <w:r w:rsidR="00CE5D54">
        <w:t>9</w:t>
      </w:r>
      <w:r>
        <w:t>.</w:t>
      </w:r>
      <w:r w:rsidR="00CE5D54">
        <w:t>5</w:t>
      </w:r>
      <w:r>
        <w:t xml:space="preserve"> per cent of adults reported in 201</w:t>
      </w:r>
      <w:r w:rsidR="00CE5D54">
        <w:t>7</w:t>
      </w:r>
      <w:r>
        <w:t xml:space="preserve"> as being at an increased lifetime risk of alcohol</w:t>
      </w:r>
      <w:r w:rsidR="00E4754D">
        <w:t>-</w:t>
      </w:r>
      <w:r>
        <w:t xml:space="preserve">related harm based on the </w:t>
      </w:r>
      <w:r w:rsidR="00E4754D" w:rsidRPr="000B1800">
        <w:rPr>
          <w:color w:val="000000" w:themeColor="text1"/>
        </w:rPr>
        <w:t>NHMRC</w:t>
      </w:r>
      <w:r w:rsidR="00E4754D">
        <w:rPr>
          <w:color w:val="000000" w:themeColor="text1"/>
        </w:rPr>
        <w:t>’s</w:t>
      </w:r>
      <w:r w:rsidR="00E4754D" w:rsidDel="00E4754D">
        <w:t xml:space="preserve"> </w:t>
      </w:r>
      <w:r>
        <w:t>2009 guidelines.</w:t>
      </w:r>
    </w:p>
    <w:p w14:paraId="0415F476" w14:textId="5BB52C39" w:rsidR="00C9473B" w:rsidRPr="00E01969" w:rsidRDefault="00D10B5A" w:rsidP="00BB027B">
      <w:pPr>
        <w:pStyle w:val="Heading3"/>
        <w:rPr>
          <w:rStyle w:val="Heading3Char"/>
        </w:rPr>
      </w:pPr>
      <w:bookmarkStart w:id="368" w:name="_Measure_6.4_–"/>
      <w:bookmarkEnd w:id="368"/>
      <w:r>
        <w:rPr>
          <w:lang w:eastAsia="en-AU"/>
        </w:rPr>
        <w:br w:type="page"/>
      </w:r>
      <w:r w:rsidR="00C9473B" w:rsidRPr="00BB027B">
        <w:lastRenderedPageBreak/>
        <w:t>Measure 6.4 – Proportion of adolescents 12</w:t>
      </w:r>
      <w:r w:rsidR="00690CD3" w:rsidRPr="00BB027B">
        <w:t>–1</w:t>
      </w:r>
      <w:r w:rsidR="00C9473B" w:rsidRPr="00BB027B">
        <w:t>7 years who consume alcohol at least month</w:t>
      </w:r>
      <w:r w:rsidRPr="00BB027B">
        <w:t>l</w:t>
      </w:r>
      <w:r w:rsidR="00C9473B" w:rsidRPr="00BB027B">
        <w:t>y</w:t>
      </w:r>
    </w:p>
    <w:p w14:paraId="707A3F54" w14:textId="0C4647C0" w:rsidR="00C9473B" w:rsidRDefault="000D1A38" w:rsidP="001E72C2">
      <w:pPr>
        <w:pStyle w:val="DHHSfigurecaption"/>
      </w:pPr>
      <w:bookmarkStart w:id="369" w:name="_Toc19008059"/>
      <w:bookmarkStart w:id="370" w:name="_Toc19008298"/>
      <w:bookmarkStart w:id="371" w:name="_Toc19008445"/>
      <w:bookmarkStart w:id="372" w:name="_Toc19008592"/>
      <w:bookmarkStart w:id="373" w:name="_Toc27414300"/>
      <w:r w:rsidRPr="00CB5791">
        <w:t>Figure 6.4</w:t>
      </w:r>
      <w:r w:rsidR="00CA2AD7">
        <w:t>:</w:t>
      </w:r>
      <w:r w:rsidRPr="00CB5791">
        <w:t xml:space="preserve"> Proportion of </w:t>
      </w:r>
      <w:r w:rsidR="00193C20">
        <w:t xml:space="preserve">Victorian </w:t>
      </w:r>
      <w:r w:rsidRPr="00CB5791">
        <w:t xml:space="preserve">adolescents </w:t>
      </w:r>
      <w:r w:rsidR="00E4754D">
        <w:t xml:space="preserve">aged </w:t>
      </w:r>
      <w:r w:rsidRPr="00CB5791">
        <w:t>12</w:t>
      </w:r>
      <w:r w:rsidR="00CA2AD7">
        <w:t>–</w:t>
      </w:r>
      <w:r w:rsidRPr="00CB5791">
        <w:t>17 years</w:t>
      </w:r>
      <w:r w:rsidR="00193C20">
        <w:t xml:space="preserve"> (boys and girls)</w:t>
      </w:r>
      <w:r w:rsidRPr="00CB5791">
        <w:t xml:space="preserve"> who consume alcohol at least monthly</w:t>
      </w:r>
      <w:r w:rsidR="00E4754D">
        <w:t>,</w:t>
      </w:r>
      <w:r w:rsidR="00C071D8">
        <w:t xml:space="preserve"> by year, 2014 and </w:t>
      </w:r>
      <w:r w:rsidR="00E85515">
        <w:t>2016</w:t>
      </w:r>
      <w:bookmarkEnd w:id="369"/>
      <w:bookmarkEnd w:id="370"/>
      <w:bookmarkEnd w:id="371"/>
      <w:bookmarkEnd w:id="372"/>
      <w:bookmarkEnd w:id="373"/>
      <w:r w:rsidR="00723DD3">
        <w:t xml:space="preserve"> </w:t>
      </w:r>
    </w:p>
    <w:p w14:paraId="54BBA99C" w14:textId="645071AA" w:rsidR="00EA3ED0" w:rsidRDefault="00AA1BCF" w:rsidP="001B5792">
      <w:pPr>
        <w:pStyle w:val="DHHSbody"/>
      </w:pPr>
      <w:r>
        <w:rPr>
          <w:noProof/>
        </w:rPr>
        <w:drawing>
          <wp:inline distT="0" distB="0" distL="0" distR="0" wp14:anchorId="0E33C6C7" wp14:editId="64FD1240">
            <wp:extent cx="6743065" cy="3792220"/>
            <wp:effectExtent l="0" t="0" r="635" b="0"/>
            <wp:docPr id="325" name="Picture 325" descr="This figure presents data under Measure 6.4 - Proportion of adolescents 12-17 years who consume alcohol at least  monthly'. The data for this figure is available in this section for 2014 and 2016 - refer to Table 6.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743065" cy="3792220"/>
                    </a:xfrm>
                    <a:prstGeom prst="rect">
                      <a:avLst/>
                    </a:prstGeom>
                    <a:noFill/>
                  </pic:spPr>
                </pic:pic>
              </a:graphicData>
            </a:graphic>
          </wp:inline>
        </w:drawing>
      </w:r>
    </w:p>
    <w:p w14:paraId="0544F8C1" w14:textId="00C305A1" w:rsidR="005C1410" w:rsidRPr="004E5892" w:rsidRDefault="005C1410" w:rsidP="00EA3ED0">
      <w:pPr>
        <w:pStyle w:val="DHHSfigurecaption"/>
      </w:pPr>
      <w:bookmarkStart w:id="374" w:name="_Toc19008060"/>
      <w:bookmarkStart w:id="375" w:name="_Toc19008299"/>
      <w:bookmarkStart w:id="376" w:name="_Toc19008446"/>
      <w:bookmarkStart w:id="377" w:name="_Toc19008593"/>
      <w:bookmarkStart w:id="378" w:name="_Toc27414301"/>
      <w:r w:rsidRPr="004E5892">
        <w:t>Table 6.</w:t>
      </w:r>
      <w:r>
        <w:t>4:</w:t>
      </w:r>
      <w:r w:rsidRPr="004E5892">
        <w:t xml:space="preserve"> </w:t>
      </w:r>
      <w:r w:rsidR="00695876" w:rsidRPr="00CB5791">
        <w:t xml:space="preserve">Proportion of </w:t>
      </w:r>
      <w:r w:rsidR="00695876">
        <w:t xml:space="preserve">Victorian </w:t>
      </w:r>
      <w:r w:rsidR="00695876" w:rsidRPr="00CB5791">
        <w:t xml:space="preserve">adolescents </w:t>
      </w:r>
      <w:r w:rsidR="00695876">
        <w:t xml:space="preserve">aged </w:t>
      </w:r>
      <w:r w:rsidR="00695876" w:rsidRPr="00CB5791">
        <w:t>12</w:t>
      </w:r>
      <w:r w:rsidR="00695876">
        <w:t>–</w:t>
      </w:r>
      <w:r w:rsidR="00695876" w:rsidRPr="00CB5791">
        <w:t>17 years</w:t>
      </w:r>
      <w:r w:rsidR="00695876">
        <w:t xml:space="preserve"> (boys and girls)</w:t>
      </w:r>
      <w:r w:rsidR="00695876" w:rsidRPr="00CB5791">
        <w:t xml:space="preserve"> who consume alcohol at least monthly</w:t>
      </w:r>
      <w:r w:rsidR="00695876">
        <w:t>, by year, 2014 and 2016</w:t>
      </w:r>
      <w:bookmarkEnd w:id="374"/>
      <w:bookmarkEnd w:id="375"/>
      <w:bookmarkEnd w:id="376"/>
      <w:bookmarkEnd w:id="377"/>
      <w:bookmarkEnd w:id="378"/>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634"/>
        <w:gridCol w:w="2449"/>
        <w:gridCol w:w="2704"/>
        <w:gridCol w:w="2835"/>
      </w:tblGrid>
      <w:tr w:rsidR="005C1410" w:rsidRPr="000517B8" w14:paraId="187302EC" w14:textId="77777777" w:rsidTr="00F1788A">
        <w:trPr>
          <w:trHeight w:val="297"/>
        </w:trPr>
        <w:tc>
          <w:tcPr>
            <w:tcW w:w="2634" w:type="dxa"/>
            <w:shd w:val="clear" w:color="auto" w:fill="EDCDCF"/>
            <w:vAlign w:val="center"/>
          </w:tcPr>
          <w:p w14:paraId="4207C4C7" w14:textId="77777777" w:rsidR="005C1410" w:rsidRPr="00DB4F90" w:rsidRDefault="005C1410" w:rsidP="00F1788A">
            <w:pPr>
              <w:pStyle w:val="DHHStablecolhead"/>
            </w:pPr>
            <w:r w:rsidRPr="00DB4F90">
              <w:t>Year</w:t>
            </w:r>
          </w:p>
        </w:tc>
        <w:tc>
          <w:tcPr>
            <w:tcW w:w="2449" w:type="dxa"/>
            <w:shd w:val="clear" w:color="auto" w:fill="EDCDCF"/>
            <w:vAlign w:val="center"/>
          </w:tcPr>
          <w:p w14:paraId="3F14D6C4" w14:textId="77777777" w:rsidR="005C1410" w:rsidRPr="00DB4F90" w:rsidRDefault="005C1410" w:rsidP="00F1788A">
            <w:pPr>
              <w:pStyle w:val="DHHStablecolhead"/>
            </w:pPr>
            <w:r w:rsidRPr="00DB4F90">
              <w:t>2014</w:t>
            </w:r>
          </w:p>
        </w:tc>
        <w:tc>
          <w:tcPr>
            <w:tcW w:w="2704" w:type="dxa"/>
            <w:shd w:val="clear" w:color="auto" w:fill="EDCDCF"/>
            <w:vAlign w:val="center"/>
          </w:tcPr>
          <w:p w14:paraId="1D7FFA31" w14:textId="66ABD5D1" w:rsidR="005C1410" w:rsidRPr="00DB4F90" w:rsidRDefault="005C1410" w:rsidP="00F1788A">
            <w:pPr>
              <w:pStyle w:val="DHHStablecolhead"/>
            </w:pPr>
          </w:p>
        </w:tc>
        <w:tc>
          <w:tcPr>
            <w:tcW w:w="2835" w:type="dxa"/>
            <w:shd w:val="clear" w:color="auto" w:fill="EDCDCF"/>
            <w:vAlign w:val="center"/>
          </w:tcPr>
          <w:p w14:paraId="51ADED3C" w14:textId="77777777" w:rsidR="005C1410" w:rsidRPr="00DB4F90" w:rsidRDefault="005C1410" w:rsidP="00F1788A">
            <w:pPr>
              <w:pStyle w:val="DHHStablecolhead"/>
            </w:pPr>
            <w:r w:rsidRPr="00DB4F90">
              <w:t>2016</w:t>
            </w:r>
          </w:p>
        </w:tc>
      </w:tr>
      <w:tr w:rsidR="005C1410" w:rsidRPr="000517B8" w14:paraId="5BBE3514" w14:textId="77777777" w:rsidTr="00F1788A">
        <w:trPr>
          <w:trHeight w:val="297"/>
        </w:trPr>
        <w:tc>
          <w:tcPr>
            <w:tcW w:w="2634" w:type="dxa"/>
            <w:shd w:val="clear" w:color="auto" w:fill="auto"/>
            <w:vAlign w:val="center"/>
          </w:tcPr>
          <w:p w14:paraId="0F43CF56" w14:textId="77777777" w:rsidR="005C1410" w:rsidRPr="005E739D" w:rsidRDefault="005C1410" w:rsidP="00F1788A">
            <w:pPr>
              <w:pStyle w:val="DHHStabletext"/>
            </w:pPr>
            <w:r>
              <w:t>Per cent (%)</w:t>
            </w:r>
          </w:p>
        </w:tc>
        <w:tc>
          <w:tcPr>
            <w:tcW w:w="2449" w:type="dxa"/>
            <w:shd w:val="clear" w:color="auto" w:fill="auto"/>
            <w:vAlign w:val="center"/>
          </w:tcPr>
          <w:p w14:paraId="3775C12D" w14:textId="4CBF892B" w:rsidR="005C1410" w:rsidRPr="0069114D" w:rsidRDefault="00695876" w:rsidP="00F1788A">
            <w:pPr>
              <w:pStyle w:val="DHHStabletext"/>
            </w:pPr>
            <w:r>
              <w:t>34</w:t>
            </w:r>
            <w:r w:rsidR="005C1410" w:rsidRPr="0069114D">
              <w:t>.</w:t>
            </w:r>
            <w:r>
              <w:t>6</w:t>
            </w:r>
          </w:p>
        </w:tc>
        <w:tc>
          <w:tcPr>
            <w:tcW w:w="2704" w:type="dxa"/>
            <w:shd w:val="clear" w:color="auto" w:fill="auto"/>
            <w:vAlign w:val="center"/>
          </w:tcPr>
          <w:p w14:paraId="3B80B842" w14:textId="6936A1E4" w:rsidR="005C1410" w:rsidRPr="0069114D" w:rsidRDefault="005C1410" w:rsidP="00F1788A">
            <w:pPr>
              <w:pStyle w:val="DHHStabletext"/>
            </w:pPr>
          </w:p>
        </w:tc>
        <w:tc>
          <w:tcPr>
            <w:tcW w:w="2835" w:type="dxa"/>
            <w:shd w:val="clear" w:color="auto" w:fill="auto"/>
            <w:vAlign w:val="center"/>
          </w:tcPr>
          <w:p w14:paraId="54299ECE" w14:textId="34BD50D1" w:rsidR="005C1410" w:rsidRPr="0069114D" w:rsidRDefault="00695876" w:rsidP="00F1788A">
            <w:pPr>
              <w:pStyle w:val="DHHStabletext"/>
            </w:pPr>
            <w:r>
              <w:t>34</w:t>
            </w:r>
            <w:r w:rsidR="005C1410" w:rsidRPr="0069114D">
              <w:t>.7</w:t>
            </w:r>
          </w:p>
        </w:tc>
      </w:tr>
      <w:tr w:rsidR="005C1410" w:rsidRPr="000517B8" w14:paraId="40EB8C31" w14:textId="77777777" w:rsidTr="00F1788A">
        <w:trPr>
          <w:trHeight w:val="297"/>
        </w:trPr>
        <w:tc>
          <w:tcPr>
            <w:tcW w:w="2634" w:type="dxa"/>
            <w:shd w:val="clear" w:color="auto" w:fill="auto"/>
            <w:vAlign w:val="center"/>
          </w:tcPr>
          <w:p w14:paraId="2B071DDA" w14:textId="77777777" w:rsidR="005C1410" w:rsidRDefault="005C1410" w:rsidP="00F1788A">
            <w:pPr>
              <w:pStyle w:val="DHHStabletext"/>
            </w:pPr>
            <w:r>
              <w:t>95% CI</w:t>
            </w:r>
          </w:p>
        </w:tc>
        <w:tc>
          <w:tcPr>
            <w:tcW w:w="2449" w:type="dxa"/>
            <w:shd w:val="clear" w:color="auto" w:fill="auto"/>
            <w:vAlign w:val="center"/>
          </w:tcPr>
          <w:p w14:paraId="4B110904" w14:textId="32950715" w:rsidR="005C1410" w:rsidRPr="0069114D" w:rsidRDefault="005C1410" w:rsidP="00F1788A">
            <w:pPr>
              <w:pStyle w:val="DHHStabletext"/>
            </w:pPr>
            <w:r w:rsidRPr="0069114D">
              <w:t>(</w:t>
            </w:r>
            <w:r w:rsidR="00695876">
              <w:t>31</w:t>
            </w:r>
            <w:r w:rsidRPr="0069114D">
              <w:t>.</w:t>
            </w:r>
            <w:r w:rsidR="00695876">
              <w:t>6</w:t>
            </w:r>
            <w:r>
              <w:t>–</w:t>
            </w:r>
            <w:r w:rsidR="00695876">
              <w:t>37</w:t>
            </w:r>
            <w:r w:rsidRPr="0069114D">
              <w:t>.</w:t>
            </w:r>
            <w:r w:rsidR="00695876">
              <w:t>7</w:t>
            </w:r>
            <w:r w:rsidRPr="0069114D">
              <w:t>)</w:t>
            </w:r>
          </w:p>
        </w:tc>
        <w:tc>
          <w:tcPr>
            <w:tcW w:w="2704" w:type="dxa"/>
            <w:shd w:val="clear" w:color="auto" w:fill="auto"/>
            <w:vAlign w:val="center"/>
          </w:tcPr>
          <w:p w14:paraId="6793A99B" w14:textId="6FEDA867" w:rsidR="005C1410" w:rsidRPr="0069114D" w:rsidRDefault="005C1410" w:rsidP="00F1788A">
            <w:pPr>
              <w:pStyle w:val="DHHStabletext"/>
            </w:pPr>
          </w:p>
        </w:tc>
        <w:tc>
          <w:tcPr>
            <w:tcW w:w="2835" w:type="dxa"/>
            <w:shd w:val="clear" w:color="auto" w:fill="auto"/>
            <w:vAlign w:val="center"/>
          </w:tcPr>
          <w:p w14:paraId="26DE8045" w14:textId="699147D3" w:rsidR="005C1410" w:rsidRPr="0069114D" w:rsidRDefault="005C1410" w:rsidP="00F1788A">
            <w:pPr>
              <w:pStyle w:val="DHHStabletext"/>
            </w:pPr>
            <w:r w:rsidRPr="0069114D">
              <w:t>(</w:t>
            </w:r>
            <w:r w:rsidR="00695876">
              <w:t>33</w:t>
            </w:r>
            <w:r>
              <w:t>.</w:t>
            </w:r>
            <w:r w:rsidR="00695876">
              <w:t>1</w:t>
            </w:r>
            <w:r>
              <w:t>–</w:t>
            </w:r>
            <w:r w:rsidR="00695876">
              <w:t>36</w:t>
            </w:r>
            <w:r w:rsidRPr="0069114D">
              <w:t>.</w:t>
            </w:r>
            <w:r>
              <w:t>2</w:t>
            </w:r>
            <w:r w:rsidRPr="0069114D">
              <w:t>)</w:t>
            </w:r>
          </w:p>
        </w:tc>
      </w:tr>
    </w:tbl>
    <w:p w14:paraId="4E692363" w14:textId="2D0D64C0" w:rsidR="00C470ED" w:rsidRPr="007D3636" w:rsidRDefault="00C470ED" w:rsidP="00FA1AAC">
      <w:pPr>
        <w:pStyle w:val="DHHStablefigurenote"/>
      </w:pPr>
      <w:r w:rsidRPr="00C470ED">
        <w:t>Sou</w:t>
      </w:r>
      <w:r>
        <w:t>rce</w:t>
      </w:r>
      <w:r w:rsidRPr="00C470ED">
        <w:t>: Victorian Student Health and Wellbeing Survey, D</w:t>
      </w:r>
      <w:r>
        <w:t>epartment of Education and Training</w:t>
      </w:r>
      <w:r w:rsidRPr="00C470ED">
        <w:t xml:space="preserve">, 2016 </w:t>
      </w:r>
    </w:p>
    <w:p w14:paraId="4BE5CA4C" w14:textId="752959DB" w:rsidR="003E20E9" w:rsidRDefault="003E20E9" w:rsidP="003E20E9">
      <w:pPr>
        <w:pStyle w:val="Heading4"/>
        <w:rPr>
          <w:lang w:eastAsia="en-AU"/>
        </w:rPr>
      </w:pPr>
      <w:r>
        <w:rPr>
          <w:lang w:eastAsia="en-AU"/>
        </w:rPr>
        <w:t>Measure assessment</w:t>
      </w:r>
    </w:p>
    <w:p w14:paraId="00FD7FA4" w14:textId="5F1AE3AD" w:rsidR="003E20E9" w:rsidRPr="00E060C8" w:rsidRDefault="003E20E9" w:rsidP="00E060C8">
      <w:pPr>
        <w:autoSpaceDE w:val="0"/>
        <w:autoSpaceDN w:val="0"/>
        <w:adjustRightInd w:val="0"/>
        <w:spacing w:after="120" w:line="270" w:lineRule="atLeast"/>
        <w:rPr>
          <w:rFonts w:ascii="Arial" w:hAnsi="Arial" w:cs="Arial"/>
          <w:color w:val="C00000"/>
        </w:rPr>
      </w:pPr>
      <w:r w:rsidRPr="009F01B1">
        <w:rPr>
          <w:rFonts w:ascii="Arial" w:hAnsi="Arial" w:cs="Arial"/>
        </w:rPr>
        <w:t xml:space="preserve">Traffic light rating: </w:t>
      </w:r>
      <w:r w:rsidR="00B71556" w:rsidRPr="00320DEB">
        <w:rPr>
          <w:rFonts w:ascii="Arial" w:hAnsi="Arial" w:cs="Arial"/>
          <w:b/>
          <w:color w:val="C00000"/>
        </w:rPr>
        <w:t>Red</w:t>
      </w:r>
      <w:r w:rsidR="00320DEB">
        <w:rPr>
          <w:rFonts w:ascii="Arial" w:hAnsi="Arial" w:cs="Arial"/>
          <w:b/>
          <w:color w:val="C00000"/>
        </w:rPr>
        <w:t xml:space="preserve"> </w:t>
      </w:r>
      <w:r w:rsidR="00320DEB">
        <w:rPr>
          <w:rFonts w:ascii="Arial" w:hAnsi="Arial" w:cs="Arial"/>
          <w:color w:val="C00000"/>
        </w:rPr>
        <w:t>(result is of concern</w:t>
      </w:r>
      <w:r w:rsidR="00320DEB" w:rsidRPr="00320DEB">
        <w:rPr>
          <w:rFonts w:ascii="Arial" w:hAnsi="Arial" w:cs="Arial"/>
          <w:color w:val="C00000"/>
        </w:rPr>
        <w:t>)</w:t>
      </w:r>
    </w:p>
    <w:p w14:paraId="2F11EB35" w14:textId="6C85ABC0" w:rsidR="0098563F" w:rsidRDefault="003E20E9" w:rsidP="00E060C8">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B71556">
        <w:rPr>
          <w:rFonts w:ascii="Arial" w:hAnsi="Arial" w:cs="Arial"/>
        </w:rPr>
        <w:t xml:space="preserve">Not </w:t>
      </w:r>
      <w:r w:rsidR="00B30937">
        <w:rPr>
          <w:rFonts w:ascii="Arial" w:hAnsi="Arial" w:cs="Arial"/>
        </w:rPr>
        <w:t>moving in the right direction</w:t>
      </w:r>
    </w:p>
    <w:p w14:paraId="53EBDFF5" w14:textId="0DB9F8D8" w:rsidR="00E4754D" w:rsidRDefault="003E20E9" w:rsidP="00E060C8">
      <w:pPr>
        <w:pStyle w:val="DHHSbody"/>
      </w:pPr>
      <w:r w:rsidRPr="00786CFA">
        <w:rPr>
          <w:rFonts w:cs="Arial"/>
        </w:rPr>
        <w:t>Commentary:</w:t>
      </w:r>
      <w:r w:rsidR="00073722" w:rsidRPr="00786CFA">
        <w:rPr>
          <w:rFonts w:cs="Arial"/>
        </w:rPr>
        <w:t xml:space="preserve"> </w:t>
      </w:r>
      <w:r w:rsidR="00B71556" w:rsidRPr="00786CFA">
        <w:t xml:space="preserve">The </w:t>
      </w:r>
      <w:r w:rsidR="00B71556" w:rsidRPr="00C83C14">
        <w:rPr>
          <w:i/>
        </w:rPr>
        <w:t xml:space="preserve">Victorian </w:t>
      </w:r>
      <w:r w:rsidR="00CD038C">
        <w:rPr>
          <w:i/>
        </w:rPr>
        <w:t>p</w:t>
      </w:r>
      <w:r w:rsidR="00B71556" w:rsidRPr="00C83C14">
        <w:rPr>
          <w:i/>
        </w:rPr>
        <w:t xml:space="preserve">ublic </w:t>
      </w:r>
      <w:r w:rsidR="00CD038C">
        <w:rPr>
          <w:i/>
        </w:rPr>
        <w:t>h</w:t>
      </w:r>
      <w:r w:rsidR="00B71556" w:rsidRPr="00C83C14">
        <w:rPr>
          <w:i/>
        </w:rPr>
        <w:t xml:space="preserve">ealth and </w:t>
      </w:r>
      <w:r w:rsidR="00CD038C">
        <w:rPr>
          <w:i/>
        </w:rPr>
        <w:t>w</w:t>
      </w:r>
      <w:r w:rsidR="00B71556" w:rsidRPr="00C83C14">
        <w:rPr>
          <w:i/>
        </w:rPr>
        <w:t xml:space="preserve">ellbeing </w:t>
      </w:r>
      <w:r w:rsidR="00CD038C">
        <w:rPr>
          <w:i/>
        </w:rPr>
        <w:t>o</w:t>
      </w:r>
      <w:r w:rsidR="00B71556" w:rsidRPr="00C83C14">
        <w:rPr>
          <w:i/>
        </w:rPr>
        <w:t xml:space="preserve">utcomes </w:t>
      </w:r>
      <w:r w:rsidR="00CD038C">
        <w:rPr>
          <w:i/>
        </w:rPr>
        <w:t>f</w:t>
      </w:r>
      <w:r w:rsidR="00B71556" w:rsidRPr="00C83C14">
        <w:rPr>
          <w:i/>
        </w:rPr>
        <w:t>ramework</w:t>
      </w:r>
      <w:r w:rsidR="00B71556" w:rsidRPr="00786CFA">
        <w:t xml:space="preserve"> has a target of</w:t>
      </w:r>
      <w:r w:rsidR="00E4754D">
        <w:t xml:space="preserve"> a</w:t>
      </w:r>
      <w:r w:rsidR="00B71556" w:rsidRPr="00786CFA">
        <w:t xml:space="preserve"> 1</w:t>
      </w:r>
      <w:r w:rsidR="005F2054">
        <w:t>0 per cent</w:t>
      </w:r>
      <w:r w:rsidR="00B71556" w:rsidRPr="00786CFA">
        <w:t xml:space="preserve"> decrease in adolescents excessively consuming alcohol by 2025</w:t>
      </w:r>
      <w:r w:rsidR="006E7AD9">
        <w:t xml:space="preserve"> from a baseline year of 2014</w:t>
      </w:r>
      <w:r w:rsidR="002321F3">
        <w:t xml:space="preserve">. </w:t>
      </w:r>
      <w:r w:rsidR="00153172">
        <w:t>Figure 6.4 shows that a</w:t>
      </w:r>
      <w:r w:rsidR="00073722" w:rsidRPr="00786CFA">
        <w:t>dolescents who consume alcohol at least monthly remained steady, from 34.6</w:t>
      </w:r>
      <w:r w:rsidR="005F2054">
        <w:t xml:space="preserve"> per cent</w:t>
      </w:r>
      <w:r w:rsidR="00073722" w:rsidRPr="00786CFA">
        <w:t xml:space="preserve"> in 2014 to 34.7</w:t>
      </w:r>
      <w:r w:rsidR="005F2054">
        <w:t xml:space="preserve"> per cent</w:t>
      </w:r>
      <w:r w:rsidR="00073722" w:rsidRPr="00786CFA">
        <w:t xml:space="preserve"> in 2016</w:t>
      </w:r>
      <w:r w:rsidR="00153172">
        <w:t>.</w:t>
      </w:r>
      <w:r w:rsidR="00073722" w:rsidRPr="00786CFA">
        <w:rPr>
          <w:rStyle w:val="FootnoteReference"/>
        </w:rPr>
        <w:footnoteReference w:id="63"/>
      </w:r>
      <w:r w:rsidR="00073722" w:rsidRPr="00786CFA">
        <w:t xml:space="preserve"> </w:t>
      </w:r>
      <w:r w:rsidR="00153172">
        <w:t>This means</w:t>
      </w:r>
      <w:r w:rsidR="00786CFA" w:rsidRPr="00786CFA">
        <w:t xml:space="preserve"> that </w:t>
      </w:r>
      <w:r w:rsidR="00BD7A5C">
        <w:t>Victoria is</w:t>
      </w:r>
      <w:r w:rsidR="00786CFA" w:rsidRPr="00786CFA">
        <w:t xml:space="preserve"> </w:t>
      </w:r>
      <w:r w:rsidR="00786CFA" w:rsidRPr="008F75FA">
        <w:t xml:space="preserve">not </w:t>
      </w:r>
      <w:r w:rsidR="008F75FA" w:rsidRPr="008F75FA">
        <w:t>moving in the right direction</w:t>
      </w:r>
      <w:r w:rsidR="00786CFA" w:rsidRPr="008F75FA">
        <w:t xml:space="preserve"> to meet the 2025 target of 3</w:t>
      </w:r>
      <w:r w:rsidR="00630C2A">
        <w:t>1</w:t>
      </w:r>
      <w:r w:rsidR="00786CFA" w:rsidRPr="008F75FA">
        <w:t>.</w:t>
      </w:r>
      <w:r w:rsidR="006E7AD9">
        <w:t>1</w:t>
      </w:r>
      <w:r w:rsidR="005F2054" w:rsidRPr="008F75FA">
        <w:t xml:space="preserve"> per cent.</w:t>
      </w:r>
    </w:p>
    <w:p w14:paraId="0C4F3C75" w14:textId="0DDF4E2D" w:rsidR="00784A70" w:rsidRPr="00B91C4A" w:rsidRDefault="003E20E9" w:rsidP="00F420B2">
      <w:pPr>
        <w:pStyle w:val="Heading2"/>
        <w:ind w:right="141"/>
      </w:pPr>
      <w:r>
        <w:br w:type="page"/>
      </w:r>
      <w:bookmarkStart w:id="379" w:name="_Toc19008061"/>
      <w:bookmarkStart w:id="380" w:name="_Toc33457072"/>
      <w:r w:rsidR="00784A70" w:rsidRPr="00B91C4A">
        <w:lastRenderedPageBreak/>
        <w:t>Key result: Fruit and vegetable consumption of adults, adolescents and children</w:t>
      </w:r>
      <w:bookmarkEnd w:id="379"/>
      <w:bookmarkEnd w:id="380"/>
    </w:p>
    <w:p w14:paraId="56CF1CBC" w14:textId="77777777" w:rsidR="00895365" w:rsidRDefault="00784A70" w:rsidP="00895365">
      <w:pPr>
        <w:pStyle w:val="Heading3"/>
        <w:rPr>
          <w:lang w:eastAsia="en-AU"/>
        </w:rPr>
      </w:pPr>
      <w:bookmarkStart w:id="381" w:name="_Measure_7.1_–"/>
      <w:bookmarkStart w:id="382" w:name="_Toc19008062"/>
      <w:bookmarkEnd w:id="381"/>
      <w:r>
        <w:rPr>
          <w:lang w:eastAsia="en-AU"/>
        </w:rPr>
        <w:t>Measure 7.1 – Mean daily serves of fruit in adults</w:t>
      </w:r>
      <w:bookmarkEnd w:id="382"/>
    </w:p>
    <w:p w14:paraId="628E3608" w14:textId="072C3445" w:rsidR="00916EB0" w:rsidRDefault="00984C41" w:rsidP="0091523F">
      <w:pPr>
        <w:pStyle w:val="DHHSfigurecaption"/>
        <w:rPr>
          <w:lang w:eastAsia="en-AU"/>
        </w:rPr>
      </w:pPr>
      <w:bookmarkStart w:id="383" w:name="_Toc19008063"/>
      <w:bookmarkStart w:id="384" w:name="_Toc19008300"/>
      <w:bookmarkStart w:id="385" w:name="_Toc19008447"/>
      <w:bookmarkStart w:id="386" w:name="_Toc19008594"/>
      <w:bookmarkStart w:id="387" w:name="_Toc27414302"/>
      <w:r w:rsidRPr="00996B6E">
        <w:t>Figure 7.1</w:t>
      </w:r>
      <w:r w:rsidR="00CA2AD7">
        <w:t>:</w:t>
      </w:r>
      <w:r w:rsidRPr="00996B6E">
        <w:t xml:space="preserve"> Daily fruit consumption</w:t>
      </w:r>
      <w:r w:rsidR="00927274" w:rsidRPr="00996B6E">
        <w:t xml:space="preserve"> among </w:t>
      </w:r>
      <w:r w:rsidR="00996B6E" w:rsidRPr="00996B6E">
        <w:t>OECD adults, 2015 (or nearest year)</w:t>
      </w:r>
      <w:r w:rsidR="0079105B">
        <w:rPr>
          <w:rStyle w:val="FootnoteReference"/>
          <w:lang w:eastAsia="en-AU"/>
        </w:rPr>
        <w:footnoteReference w:id="64"/>
      </w:r>
      <w:bookmarkEnd w:id="383"/>
      <w:bookmarkEnd w:id="384"/>
      <w:bookmarkEnd w:id="385"/>
      <w:bookmarkEnd w:id="386"/>
      <w:bookmarkEnd w:id="387"/>
    </w:p>
    <w:p w14:paraId="04BBB3AA" w14:textId="66A9AFAA" w:rsidR="00916EB0" w:rsidRPr="00916EB0" w:rsidRDefault="00523E0C" w:rsidP="004F48E1">
      <w:pPr>
        <w:pStyle w:val="DHHSbody"/>
        <w:rPr>
          <w:lang w:eastAsia="en-AU"/>
        </w:rPr>
      </w:pPr>
      <w:r>
        <w:rPr>
          <w:noProof/>
          <w:lang w:eastAsia="en-AU"/>
        </w:rPr>
        <w:drawing>
          <wp:inline distT="0" distB="0" distL="0" distR="0" wp14:anchorId="098FAACE" wp14:editId="1C70CC55">
            <wp:extent cx="6743065" cy="3005455"/>
            <wp:effectExtent l="0" t="0" r="635" b="4445"/>
            <wp:docPr id="326" name="Picture 326" descr="This figure shows the proportion of adult population (15 years and over) of OECD countries who consume at least one fruit per day by gender for 2015.  The data is available from the OECD website: https://doi.org/10.1787/health_glance-2017-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743065" cy="3005455"/>
                    </a:xfrm>
                    <a:prstGeom prst="rect">
                      <a:avLst/>
                    </a:prstGeom>
                    <a:noFill/>
                  </pic:spPr>
                </pic:pic>
              </a:graphicData>
            </a:graphic>
          </wp:inline>
        </w:drawing>
      </w:r>
    </w:p>
    <w:p w14:paraId="4D31CFD3" w14:textId="33A2E2CC" w:rsidR="00A341CC" w:rsidRPr="00652CB0" w:rsidRDefault="00275DB3" w:rsidP="00FA1AAC">
      <w:pPr>
        <w:pStyle w:val="DHHStablefigurenote"/>
      </w:pPr>
      <w:r w:rsidRPr="00916EB0">
        <w:t>Source: OECD Health Statistics</w:t>
      </w:r>
      <w:r w:rsidR="0022084E">
        <w:t xml:space="preserve"> 2017</w:t>
      </w:r>
    </w:p>
    <w:p w14:paraId="5CF41389" w14:textId="0AE37385" w:rsidR="00F934CC" w:rsidRPr="00652CB0" w:rsidRDefault="00F934CC" w:rsidP="00FA1AAC">
      <w:pPr>
        <w:pStyle w:val="DHHStablefigurenote"/>
      </w:pPr>
      <w:r>
        <w:t xml:space="preserve">Note: </w:t>
      </w:r>
      <w:r w:rsidRPr="00F934CC">
        <w:t>Data for Australia, Korea and New Zealand are derived from quantity-type questions. Data for the United States include juice made from concentrate</w:t>
      </w:r>
      <w:r w:rsidR="00652CB0">
        <w:t xml:space="preserve">; OCED 34 = the average of 34 OECD countries; Australia is highlighted in </w:t>
      </w:r>
      <w:r w:rsidR="00652CB0" w:rsidRPr="00D321C5">
        <w:rPr>
          <w:color w:val="AF272F"/>
        </w:rPr>
        <w:t>red</w:t>
      </w:r>
    </w:p>
    <w:p w14:paraId="3051A025" w14:textId="5CE8B400" w:rsidR="00B16E1A" w:rsidRDefault="00B64C81" w:rsidP="00DB1EBB">
      <w:pPr>
        <w:pStyle w:val="DHHSfigurecaption"/>
      </w:pPr>
      <w:bookmarkStart w:id="388" w:name="_Toc19008064"/>
      <w:bookmarkStart w:id="389" w:name="_Toc19008301"/>
      <w:bookmarkStart w:id="390" w:name="_Toc19008448"/>
      <w:bookmarkStart w:id="391" w:name="_Toc19008595"/>
      <w:bookmarkStart w:id="392" w:name="_Toc27414303"/>
      <w:r>
        <w:t>Figure 7.1.1</w:t>
      </w:r>
      <w:r w:rsidR="00CA2AD7">
        <w:t>:</w:t>
      </w:r>
      <w:r>
        <w:t xml:space="preserve"> </w:t>
      </w:r>
      <w:r w:rsidR="001D6235">
        <w:t>Australian a</w:t>
      </w:r>
      <w:r>
        <w:t xml:space="preserve">verage daily fruit intake for adults aged 18 years </w:t>
      </w:r>
      <w:r w:rsidR="008518CC">
        <w:t>or o</w:t>
      </w:r>
      <w:r w:rsidR="00CA2AD7">
        <w:t>lder</w:t>
      </w:r>
      <w:r w:rsidR="008518CC">
        <w:t>, 2014</w:t>
      </w:r>
      <w:r w:rsidR="00CA2AD7">
        <w:t>–</w:t>
      </w:r>
      <w:r w:rsidR="008518CC">
        <w:t>15</w:t>
      </w:r>
      <w:bookmarkEnd w:id="388"/>
      <w:bookmarkEnd w:id="389"/>
      <w:bookmarkEnd w:id="390"/>
      <w:bookmarkEnd w:id="391"/>
      <w:bookmarkEnd w:id="392"/>
    </w:p>
    <w:p w14:paraId="217DEEAD" w14:textId="35F4BD6D" w:rsidR="00B16E1A" w:rsidRPr="00665B21" w:rsidRDefault="00665B21" w:rsidP="00300E46">
      <w:pPr>
        <w:pStyle w:val="DHHSbody"/>
      </w:pPr>
      <w:r>
        <w:rPr>
          <w:noProof/>
        </w:rPr>
        <w:drawing>
          <wp:inline distT="0" distB="0" distL="0" distR="0" wp14:anchorId="120F9D5A" wp14:editId="46DE60B4">
            <wp:extent cx="5332720" cy="2999184"/>
            <wp:effectExtent l="0" t="0" r="1905" b="0"/>
            <wp:docPr id="82" name="Picture 82" descr="This figure shows that Australian daily average fruit intake for adults aged 18 years or older by sex for 2014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65648" cy="3017703"/>
                    </a:xfrm>
                    <a:prstGeom prst="rect">
                      <a:avLst/>
                    </a:prstGeom>
                  </pic:spPr>
                </pic:pic>
              </a:graphicData>
            </a:graphic>
          </wp:inline>
        </w:drawing>
      </w:r>
    </w:p>
    <w:p w14:paraId="66333AE2" w14:textId="37812E22" w:rsidR="00B16E1A" w:rsidRPr="00B16E1A" w:rsidRDefault="00300E46" w:rsidP="00FA1AAC">
      <w:pPr>
        <w:pStyle w:val="DHHStablefigurenote"/>
      </w:pPr>
      <w:r w:rsidRPr="008D37D4">
        <w:rPr>
          <w:rFonts w:cs="Arial"/>
          <w:lang w:eastAsia="en-AU"/>
        </w:rPr>
        <w:t xml:space="preserve">Source: </w:t>
      </w:r>
      <w:r w:rsidR="00781191">
        <w:t>ABS</w:t>
      </w:r>
      <w:r w:rsidRPr="008D37D4">
        <w:t xml:space="preserve"> 2015. 4364.0.55.001 National Health Survey: First </w:t>
      </w:r>
      <w:r w:rsidR="00CD038C">
        <w:t>r</w:t>
      </w:r>
      <w:r w:rsidRPr="008D37D4">
        <w:t>esults 2014</w:t>
      </w:r>
      <w:r w:rsidR="00690CD3">
        <w:t>–1</w:t>
      </w:r>
      <w:r w:rsidRPr="008D37D4">
        <w:t>5, Australia, Australian Government, Canberra</w:t>
      </w:r>
    </w:p>
    <w:p w14:paraId="66AE5592" w14:textId="74D93A18" w:rsidR="00E01969" w:rsidRPr="00652CB0" w:rsidRDefault="00300E46" w:rsidP="00FA1AAC">
      <w:pPr>
        <w:pStyle w:val="DHHStablefigurenote"/>
        <w:rPr>
          <w:rFonts w:cs="Arial"/>
          <w:lang w:eastAsia="en-AU"/>
        </w:rPr>
      </w:pPr>
      <w:r w:rsidRPr="008D37D4">
        <w:rPr>
          <w:rFonts w:cs="Arial"/>
          <w:lang w:eastAsia="en-AU"/>
        </w:rPr>
        <w:t>Note:</w:t>
      </w:r>
      <w:r w:rsidR="00952FC7">
        <w:rPr>
          <w:rFonts w:cs="Arial"/>
          <w:lang w:eastAsia="en-AU"/>
        </w:rPr>
        <w:t xml:space="preserve"> </w:t>
      </w:r>
      <w:r w:rsidRPr="008D37D4">
        <w:rPr>
          <w:rFonts w:cs="Arial"/>
          <w:lang w:eastAsia="en-AU"/>
        </w:rPr>
        <w:t xml:space="preserve">Data </w:t>
      </w:r>
      <w:r>
        <w:rPr>
          <w:rFonts w:cs="Arial"/>
          <w:lang w:eastAsia="en-AU"/>
        </w:rPr>
        <w:t>n</w:t>
      </w:r>
      <w:r w:rsidRPr="008D37D4">
        <w:rPr>
          <w:rFonts w:cs="Arial"/>
          <w:lang w:eastAsia="en-AU"/>
        </w:rPr>
        <w:t>ot age-standardised</w:t>
      </w:r>
      <w:r w:rsidR="004F0FAA">
        <w:rPr>
          <w:rFonts w:cs="Arial"/>
          <w:lang w:eastAsia="en-AU"/>
        </w:rPr>
        <w:t>.</w:t>
      </w:r>
      <w:r w:rsidR="00E01969">
        <w:rPr>
          <w:rFonts w:cs="Arial"/>
          <w:b/>
        </w:rPr>
        <w:br w:type="page"/>
      </w:r>
    </w:p>
    <w:p w14:paraId="61B1436C" w14:textId="207F04BB" w:rsidR="003D4261" w:rsidRDefault="007718EF" w:rsidP="00DB1EBB">
      <w:pPr>
        <w:pStyle w:val="DHHSfigurecaption"/>
      </w:pPr>
      <w:bookmarkStart w:id="393" w:name="_Toc19008065"/>
      <w:bookmarkStart w:id="394" w:name="_Toc19008302"/>
      <w:bookmarkStart w:id="395" w:name="_Toc19008449"/>
      <w:bookmarkStart w:id="396" w:name="_Toc19008596"/>
      <w:bookmarkStart w:id="397" w:name="_Toc27414304"/>
      <w:r>
        <w:lastRenderedPageBreak/>
        <w:t xml:space="preserve">Figure </w:t>
      </w:r>
      <w:r w:rsidR="00041A04">
        <w:t>7.</w:t>
      </w:r>
      <w:r w:rsidR="00CE03E4">
        <w:t>1.</w:t>
      </w:r>
      <w:r w:rsidR="00435354">
        <w:t>2</w:t>
      </w:r>
      <w:r w:rsidR="00CA2AD7">
        <w:t>:</w:t>
      </w:r>
      <w:r w:rsidR="00CE03E4">
        <w:t xml:space="preserve"> </w:t>
      </w:r>
      <w:r>
        <w:t>Mean daily serves of fruit in Victorian adults</w:t>
      </w:r>
      <w:r w:rsidR="00193C20">
        <w:t xml:space="preserve"> (</w:t>
      </w:r>
      <w:r w:rsidR="00193C20" w:rsidRPr="005554BD">
        <w:rPr>
          <w:bCs/>
          <w:color w:val="000000"/>
        </w:rPr>
        <w:t>aged 18 y</w:t>
      </w:r>
      <w:r w:rsidR="00E9274F">
        <w:rPr>
          <w:bCs/>
          <w:color w:val="000000"/>
        </w:rPr>
        <w:t>ea</w:t>
      </w:r>
      <w:r w:rsidR="00193C20" w:rsidRPr="005554BD">
        <w:rPr>
          <w:bCs/>
          <w:color w:val="000000"/>
        </w:rPr>
        <w:t xml:space="preserve">rs </w:t>
      </w:r>
      <w:r w:rsidR="00CA2AD7">
        <w:rPr>
          <w:bCs/>
          <w:color w:val="000000"/>
        </w:rPr>
        <w:t>or</w:t>
      </w:r>
      <w:r w:rsidR="00CA2AD7" w:rsidRPr="005554BD">
        <w:rPr>
          <w:bCs/>
          <w:color w:val="000000"/>
        </w:rPr>
        <w:t xml:space="preserve"> </w:t>
      </w:r>
      <w:r w:rsidR="00193C20" w:rsidRPr="005554BD">
        <w:rPr>
          <w:bCs/>
          <w:color w:val="000000"/>
        </w:rPr>
        <w:t>older</w:t>
      </w:r>
      <w:r w:rsidR="00193C20">
        <w:rPr>
          <w:bCs/>
          <w:color w:val="000000"/>
        </w:rPr>
        <w:t>)</w:t>
      </w:r>
      <w:r w:rsidR="00E4754D">
        <w:rPr>
          <w:bCs/>
          <w:color w:val="000000"/>
        </w:rPr>
        <w:t>,</w:t>
      </w:r>
      <w:r>
        <w:t xml:space="preserve"> by year, 2011</w:t>
      </w:r>
      <w:r w:rsidR="00CA2AD7">
        <w:t>–</w:t>
      </w:r>
      <w:r>
        <w:t>2016</w:t>
      </w:r>
      <w:bookmarkEnd w:id="393"/>
      <w:bookmarkEnd w:id="394"/>
      <w:bookmarkEnd w:id="395"/>
      <w:bookmarkEnd w:id="396"/>
      <w:bookmarkEnd w:id="397"/>
    </w:p>
    <w:p w14:paraId="4AF44B63" w14:textId="44A530E9" w:rsidR="007718EF" w:rsidRPr="00E85515" w:rsidRDefault="009F6F50" w:rsidP="004F48E1">
      <w:pPr>
        <w:pStyle w:val="DHHSbody"/>
        <w:rPr>
          <w:rFonts w:cs="Arial"/>
          <w:b/>
          <w:lang w:eastAsia="en-AU"/>
        </w:rPr>
      </w:pPr>
      <w:r>
        <w:rPr>
          <w:rFonts w:cs="Arial"/>
          <w:b/>
          <w:noProof/>
          <w:lang w:eastAsia="en-AU"/>
        </w:rPr>
        <w:drawing>
          <wp:inline distT="0" distB="0" distL="0" distR="0" wp14:anchorId="64CD27FD" wp14:editId="09C44462">
            <wp:extent cx="6870700" cy="3395980"/>
            <wp:effectExtent l="0" t="0" r="6350" b="0"/>
            <wp:docPr id="328" name="Picture 328" descr="This figure presents data under the 'Measure 7.1 - Mean daily serves of fruit in adults'. It shows  the mean daily serves of fruit in Victorian adults (aged 18 years or older) for the study period 2011 to 2016. The data for this figure is available in this section - refer to Table 7.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70700" cy="3395980"/>
                    </a:xfrm>
                    <a:prstGeom prst="rect">
                      <a:avLst/>
                    </a:prstGeom>
                    <a:noFill/>
                  </pic:spPr>
                </pic:pic>
              </a:graphicData>
            </a:graphic>
          </wp:inline>
        </w:drawing>
      </w:r>
    </w:p>
    <w:p w14:paraId="6ED25081" w14:textId="46CEFED9" w:rsidR="007718EF" w:rsidRPr="00412681" w:rsidRDefault="007718EF" w:rsidP="008C38C6">
      <w:pPr>
        <w:pStyle w:val="DHHStablecaption"/>
        <w:rPr>
          <w:noProof/>
        </w:rPr>
      </w:pPr>
      <w:bookmarkStart w:id="398" w:name="_Toc18908730"/>
      <w:bookmarkStart w:id="399" w:name="_Toc27414409"/>
      <w:r w:rsidRPr="00412681">
        <w:rPr>
          <w:noProof/>
        </w:rPr>
        <w:t>Table 7.1</w:t>
      </w:r>
      <w:r w:rsidR="00690CD3" w:rsidRPr="00412681">
        <w:rPr>
          <w:noProof/>
        </w:rPr>
        <w:t>:</w:t>
      </w:r>
      <w:r w:rsidRPr="00412681">
        <w:rPr>
          <w:noProof/>
        </w:rPr>
        <w:t xml:space="preserve"> Mean daily serves of fruit in Victorian adults </w:t>
      </w:r>
      <w:r w:rsidR="00193C20" w:rsidRPr="00412681">
        <w:rPr>
          <w:noProof/>
        </w:rPr>
        <w:t>(</w:t>
      </w:r>
      <w:r w:rsidR="00193C20" w:rsidRPr="00412681">
        <w:rPr>
          <w:rFonts w:cs="Arial"/>
          <w:bCs/>
          <w:color w:val="000000"/>
        </w:rPr>
        <w:t>aged 18 y</w:t>
      </w:r>
      <w:r w:rsidR="00E9274F" w:rsidRPr="00412681">
        <w:rPr>
          <w:rFonts w:cs="Arial"/>
          <w:bCs/>
          <w:color w:val="000000"/>
        </w:rPr>
        <w:t>ea</w:t>
      </w:r>
      <w:r w:rsidR="00193C20" w:rsidRPr="00412681">
        <w:rPr>
          <w:rFonts w:cs="Arial"/>
          <w:bCs/>
          <w:color w:val="000000"/>
        </w:rPr>
        <w:t xml:space="preserve">rs </w:t>
      </w:r>
      <w:r w:rsidR="001B50BF" w:rsidRPr="00412681">
        <w:rPr>
          <w:rFonts w:cs="Arial"/>
          <w:bCs/>
          <w:color w:val="000000"/>
        </w:rPr>
        <w:t xml:space="preserve">or </w:t>
      </w:r>
      <w:r w:rsidR="00193C20" w:rsidRPr="00412681">
        <w:rPr>
          <w:rFonts w:cs="Arial"/>
          <w:bCs/>
          <w:color w:val="000000"/>
        </w:rPr>
        <w:t>older</w:t>
      </w:r>
      <w:r w:rsidR="00193C20" w:rsidRPr="00412681">
        <w:rPr>
          <w:noProof/>
        </w:rPr>
        <w:t>)</w:t>
      </w:r>
      <w:r w:rsidR="00E4754D" w:rsidRPr="00412681">
        <w:rPr>
          <w:noProof/>
        </w:rPr>
        <w:t>,</w:t>
      </w:r>
      <w:r w:rsidR="00193C20" w:rsidRPr="00412681">
        <w:rPr>
          <w:noProof/>
        </w:rPr>
        <w:t xml:space="preserve"> </w:t>
      </w:r>
      <w:r w:rsidRPr="00412681">
        <w:rPr>
          <w:noProof/>
        </w:rPr>
        <w:t>by year, 2011</w:t>
      </w:r>
      <w:r w:rsidR="00690CD3" w:rsidRPr="00412681">
        <w:rPr>
          <w:noProof/>
        </w:rPr>
        <w:t>–</w:t>
      </w:r>
      <w:r w:rsidRPr="00412681">
        <w:rPr>
          <w:noProof/>
        </w:rPr>
        <w:t>2016</w:t>
      </w:r>
      <w:bookmarkEnd w:id="398"/>
      <w:bookmarkEnd w:id="399"/>
    </w:p>
    <w:tbl>
      <w:tblPr>
        <w:tblW w:w="0" w:type="auto"/>
        <w:jc w:val="center"/>
        <w:tblBorders>
          <w:bottom w:val="single" w:sz="4" w:space="0" w:color="C00000"/>
          <w:insideH w:val="single" w:sz="4" w:space="0" w:color="C00000"/>
        </w:tblBorders>
        <w:shd w:val="clear" w:color="auto" w:fill="EDCDCF"/>
        <w:tblLook w:val="04A0" w:firstRow="1" w:lastRow="0" w:firstColumn="1" w:lastColumn="0" w:noHBand="0" w:noVBand="1"/>
      </w:tblPr>
      <w:tblGrid>
        <w:gridCol w:w="2672"/>
        <w:gridCol w:w="1381"/>
        <w:gridCol w:w="1369"/>
        <w:gridCol w:w="1369"/>
        <w:gridCol w:w="1280"/>
        <w:gridCol w:w="1280"/>
        <w:gridCol w:w="1280"/>
      </w:tblGrid>
      <w:tr w:rsidR="00FC29D1" w:rsidRPr="00412681" w14:paraId="0F0AC011" w14:textId="77777777" w:rsidTr="001824D3">
        <w:trPr>
          <w:jc w:val="center"/>
        </w:trPr>
        <w:tc>
          <w:tcPr>
            <w:tcW w:w="2709" w:type="dxa"/>
            <w:shd w:val="clear" w:color="auto" w:fill="EDCDCF"/>
            <w:vAlign w:val="center"/>
          </w:tcPr>
          <w:p w14:paraId="43231176" w14:textId="77777777" w:rsidR="00FC29D1" w:rsidRPr="00412681" w:rsidRDefault="00FC29D1" w:rsidP="009868A0">
            <w:pPr>
              <w:pStyle w:val="DHHStablecolhead"/>
            </w:pPr>
            <w:bookmarkStart w:id="400" w:name="_Hlk1049742"/>
            <w:r w:rsidRPr="00412681">
              <w:t>Year</w:t>
            </w:r>
          </w:p>
        </w:tc>
        <w:tc>
          <w:tcPr>
            <w:tcW w:w="1392" w:type="dxa"/>
            <w:shd w:val="clear" w:color="auto" w:fill="EDCDCF"/>
            <w:vAlign w:val="center"/>
          </w:tcPr>
          <w:p w14:paraId="3361AA9E" w14:textId="2442B8C1" w:rsidR="00FC29D1" w:rsidRPr="00412681" w:rsidRDefault="00FC29D1" w:rsidP="009868A0">
            <w:pPr>
              <w:pStyle w:val="DHHStablecolhead"/>
            </w:pPr>
            <w:r w:rsidRPr="00412681">
              <w:t>2011</w:t>
            </w:r>
          </w:p>
        </w:tc>
        <w:tc>
          <w:tcPr>
            <w:tcW w:w="1380" w:type="dxa"/>
            <w:shd w:val="clear" w:color="auto" w:fill="EDCDCF"/>
            <w:vAlign w:val="center"/>
          </w:tcPr>
          <w:p w14:paraId="44DB4591" w14:textId="77777777" w:rsidR="00FC29D1" w:rsidRPr="00412681" w:rsidRDefault="00FC29D1" w:rsidP="009868A0">
            <w:pPr>
              <w:pStyle w:val="DHHStablecolhead"/>
            </w:pPr>
            <w:r w:rsidRPr="00412681">
              <w:t>2012</w:t>
            </w:r>
          </w:p>
        </w:tc>
        <w:tc>
          <w:tcPr>
            <w:tcW w:w="1380" w:type="dxa"/>
            <w:shd w:val="clear" w:color="auto" w:fill="EDCDCF"/>
            <w:vAlign w:val="center"/>
          </w:tcPr>
          <w:p w14:paraId="2B08A12C" w14:textId="13C935E1" w:rsidR="00FC29D1" w:rsidRPr="00412681" w:rsidRDefault="00FC29D1" w:rsidP="009868A0">
            <w:pPr>
              <w:pStyle w:val="DHHStablecolhead"/>
            </w:pPr>
            <w:r w:rsidRPr="00412681">
              <w:t>2013</w:t>
            </w:r>
            <w:r w:rsidR="000F33B5" w:rsidRPr="000F33B5">
              <w:rPr>
                <w:vertAlign w:val="superscript"/>
              </w:rPr>
              <w:t>*</w:t>
            </w:r>
          </w:p>
        </w:tc>
        <w:tc>
          <w:tcPr>
            <w:tcW w:w="1289" w:type="dxa"/>
            <w:shd w:val="clear" w:color="auto" w:fill="EDCDCF"/>
            <w:vAlign w:val="center"/>
          </w:tcPr>
          <w:p w14:paraId="051BD221" w14:textId="2924B415" w:rsidR="00FC29D1" w:rsidRPr="00412681" w:rsidRDefault="00FC29D1" w:rsidP="009868A0">
            <w:pPr>
              <w:pStyle w:val="DHHStablecolhead"/>
            </w:pPr>
            <w:r w:rsidRPr="00412681">
              <w:t>2014</w:t>
            </w:r>
          </w:p>
        </w:tc>
        <w:tc>
          <w:tcPr>
            <w:tcW w:w="1289" w:type="dxa"/>
            <w:shd w:val="clear" w:color="auto" w:fill="EDCDCF"/>
            <w:vAlign w:val="center"/>
          </w:tcPr>
          <w:p w14:paraId="1758F7DC" w14:textId="77777777" w:rsidR="00FC29D1" w:rsidRPr="00412681" w:rsidRDefault="00FC29D1" w:rsidP="009868A0">
            <w:pPr>
              <w:pStyle w:val="DHHStablecolhead"/>
            </w:pPr>
            <w:r w:rsidRPr="00412681">
              <w:t>2015</w:t>
            </w:r>
          </w:p>
        </w:tc>
        <w:tc>
          <w:tcPr>
            <w:tcW w:w="1289" w:type="dxa"/>
            <w:shd w:val="clear" w:color="auto" w:fill="EDCDCF"/>
            <w:vAlign w:val="center"/>
          </w:tcPr>
          <w:p w14:paraId="4B296B6B" w14:textId="77777777" w:rsidR="00FC29D1" w:rsidRPr="00412681" w:rsidRDefault="00FC29D1" w:rsidP="009868A0">
            <w:pPr>
              <w:pStyle w:val="DHHStablecolhead"/>
            </w:pPr>
            <w:r w:rsidRPr="00412681">
              <w:t>2016</w:t>
            </w:r>
          </w:p>
        </w:tc>
      </w:tr>
      <w:tr w:rsidR="00FC29D1" w:rsidRPr="00412681" w14:paraId="44D6B89C" w14:textId="77777777" w:rsidTr="001824D3">
        <w:trPr>
          <w:trHeight w:val="417"/>
          <w:jc w:val="center"/>
        </w:trPr>
        <w:tc>
          <w:tcPr>
            <w:tcW w:w="2709" w:type="dxa"/>
            <w:shd w:val="clear" w:color="auto" w:fill="auto"/>
            <w:vAlign w:val="center"/>
          </w:tcPr>
          <w:p w14:paraId="2A76F7A3" w14:textId="77777777" w:rsidR="00FC29D1" w:rsidRPr="00412681" w:rsidRDefault="00FC29D1" w:rsidP="001824D3">
            <w:pPr>
              <w:pStyle w:val="DHHStabletext"/>
            </w:pPr>
            <w:r w:rsidRPr="00412681">
              <w:t>Mean</w:t>
            </w:r>
          </w:p>
        </w:tc>
        <w:tc>
          <w:tcPr>
            <w:tcW w:w="1392" w:type="dxa"/>
            <w:shd w:val="clear" w:color="auto" w:fill="auto"/>
            <w:vAlign w:val="center"/>
          </w:tcPr>
          <w:p w14:paraId="3106E92E" w14:textId="51EB9DA6" w:rsidR="00FC29D1" w:rsidRPr="00412681" w:rsidRDefault="005A246D" w:rsidP="001824D3">
            <w:pPr>
              <w:pStyle w:val="DHHStabletext"/>
            </w:pPr>
            <w:r w:rsidRPr="00412681">
              <w:t>1.6</w:t>
            </w:r>
          </w:p>
        </w:tc>
        <w:tc>
          <w:tcPr>
            <w:tcW w:w="1380" w:type="dxa"/>
            <w:shd w:val="clear" w:color="auto" w:fill="auto"/>
            <w:vAlign w:val="center"/>
          </w:tcPr>
          <w:p w14:paraId="712C4FB1" w14:textId="307BF9BD" w:rsidR="00FC29D1" w:rsidRPr="00412681" w:rsidRDefault="00095703" w:rsidP="001824D3">
            <w:pPr>
              <w:pStyle w:val="DHHStabletext"/>
            </w:pPr>
            <w:r w:rsidRPr="00412681">
              <w:t>1.3</w:t>
            </w:r>
          </w:p>
        </w:tc>
        <w:tc>
          <w:tcPr>
            <w:tcW w:w="1380" w:type="dxa"/>
            <w:shd w:val="clear" w:color="auto" w:fill="auto"/>
            <w:vAlign w:val="center"/>
          </w:tcPr>
          <w:p w14:paraId="4BFA2C2A" w14:textId="70BA9745" w:rsidR="00FC29D1" w:rsidRPr="00412681" w:rsidRDefault="005736E9" w:rsidP="001824D3">
            <w:pPr>
              <w:pStyle w:val="DHHStabletext"/>
            </w:pPr>
            <w:r w:rsidRPr="00412681">
              <w:t>1.8</w:t>
            </w:r>
          </w:p>
        </w:tc>
        <w:tc>
          <w:tcPr>
            <w:tcW w:w="1289" w:type="dxa"/>
            <w:shd w:val="clear" w:color="auto" w:fill="auto"/>
            <w:vAlign w:val="center"/>
          </w:tcPr>
          <w:p w14:paraId="577D32A1" w14:textId="2158CFB0" w:rsidR="00FC29D1" w:rsidRPr="00412681" w:rsidRDefault="005736E9" w:rsidP="001824D3">
            <w:pPr>
              <w:pStyle w:val="DHHStabletext"/>
            </w:pPr>
            <w:r w:rsidRPr="00412681">
              <w:t>1.7</w:t>
            </w:r>
          </w:p>
        </w:tc>
        <w:tc>
          <w:tcPr>
            <w:tcW w:w="1289" w:type="dxa"/>
            <w:shd w:val="clear" w:color="auto" w:fill="auto"/>
            <w:vAlign w:val="center"/>
          </w:tcPr>
          <w:p w14:paraId="790C2F7D" w14:textId="0ABDCB44" w:rsidR="00FC29D1" w:rsidRPr="00412681" w:rsidRDefault="005736E9" w:rsidP="001824D3">
            <w:pPr>
              <w:pStyle w:val="DHHStabletext"/>
            </w:pPr>
            <w:r w:rsidRPr="00412681">
              <w:t>1.6</w:t>
            </w:r>
          </w:p>
        </w:tc>
        <w:tc>
          <w:tcPr>
            <w:tcW w:w="1289" w:type="dxa"/>
            <w:shd w:val="clear" w:color="auto" w:fill="auto"/>
            <w:vAlign w:val="center"/>
          </w:tcPr>
          <w:p w14:paraId="6386C8EB" w14:textId="2E2BAAF9" w:rsidR="00FC29D1" w:rsidRPr="00412681" w:rsidRDefault="00821C1D" w:rsidP="001824D3">
            <w:pPr>
              <w:pStyle w:val="DHHStabletext"/>
            </w:pPr>
            <w:r w:rsidRPr="00412681">
              <w:t>1.5</w:t>
            </w:r>
          </w:p>
        </w:tc>
      </w:tr>
      <w:tr w:rsidR="005736E9" w:rsidRPr="00412681" w14:paraId="1E1A04FD" w14:textId="77777777" w:rsidTr="001824D3">
        <w:trPr>
          <w:trHeight w:val="417"/>
          <w:jc w:val="center"/>
        </w:trPr>
        <w:tc>
          <w:tcPr>
            <w:tcW w:w="2709" w:type="dxa"/>
            <w:shd w:val="clear" w:color="auto" w:fill="auto"/>
            <w:vAlign w:val="center"/>
          </w:tcPr>
          <w:p w14:paraId="0F041122" w14:textId="2C03A256" w:rsidR="005736E9" w:rsidRPr="00412681" w:rsidRDefault="005736E9" w:rsidP="001824D3">
            <w:pPr>
              <w:pStyle w:val="DHHStabletext"/>
            </w:pPr>
            <w:r w:rsidRPr="00412681">
              <w:t>(95% CI)</w:t>
            </w:r>
          </w:p>
        </w:tc>
        <w:tc>
          <w:tcPr>
            <w:tcW w:w="1392" w:type="dxa"/>
            <w:shd w:val="clear" w:color="auto" w:fill="auto"/>
            <w:vAlign w:val="center"/>
          </w:tcPr>
          <w:p w14:paraId="2A121022" w14:textId="621F4AB9" w:rsidR="005736E9" w:rsidRPr="00412681" w:rsidRDefault="005736E9" w:rsidP="001824D3">
            <w:pPr>
              <w:pStyle w:val="DHHStabletext"/>
            </w:pPr>
            <w:r w:rsidRPr="00412681">
              <w:t>(1.61</w:t>
            </w:r>
            <w:r w:rsidR="00CA2AD7" w:rsidRPr="00412681">
              <w:t>–</w:t>
            </w:r>
            <w:r w:rsidRPr="00412681">
              <w:t>1.65)</w:t>
            </w:r>
          </w:p>
        </w:tc>
        <w:tc>
          <w:tcPr>
            <w:tcW w:w="1380" w:type="dxa"/>
            <w:shd w:val="clear" w:color="auto" w:fill="auto"/>
            <w:vAlign w:val="center"/>
          </w:tcPr>
          <w:p w14:paraId="1201A678" w14:textId="228BDADE" w:rsidR="005736E9" w:rsidRPr="00412681" w:rsidRDefault="005736E9" w:rsidP="001824D3">
            <w:pPr>
              <w:pStyle w:val="DHHStabletext"/>
            </w:pPr>
            <w:r w:rsidRPr="00412681">
              <w:t>(1.27</w:t>
            </w:r>
            <w:r w:rsidR="00CA2AD7" w:rsidRPr="00412681">
              <w:t>–</w:t>
            </w:r>
            <w:r w:rsidRPr="00412681">
              <w:t>1.33)</w:t>
            </w:r>
          </w:p>
        </w:tc>
        <w:tc>
          <w:tcPr>
            <w:tcW w:w="1380" w:type="dxa"/>
            <w:shd w:val="clear" w:color="auto" w:fill="auto"/>
            <w:vAlign w:val="center"/>
          </w:tcPr>
          <w:p w14:paraId="645C1352" w14:textId="65828321" w:rsidR="005736E9" w:rsidRPr="00412681" w:rsidRDefault="005736E9" w:rsidP="001824D3">
            <w:pPr>
              <w:pStyle w:val="DHHStabletext"/>
            </w:pPr>
            <w:r w:rsidRPr="00412681">
              <w:t>(1.68</w:t>
            </w:r>
            <w:r w:rsidR="00CA2AD7" w:rsidRPr="00412681">
              <w:t>–</w:t>
            </w:r>
            <w:r w:rsidRPr="00412681">
              <w:t>1.82)</w:t>
            </w:r>
          </w:p>
        </w:tc>
        <w:tc>
          <w:tcPr>
            <w:tcW w:w="1289" w:type="dxa"/>
            <w:shd w:val="clear" w:color="auto" w:fill="auto"/>
            <w:vAlign w:val="center"/>
          </w:tcPr>
          <w:p w14:paraId="3B5E26CD" w14:textId="5AED86B7" w:rsidR="005736E9" w:rsidRPr="00412681" w:rsidRDefault="005736E9" w:rsidP="001824D3">
            <w:pPr>
              <w:pStyle w:val="DHHStabletext"/>
            </w:pPr>
            <w:r w:rsidRPr="00412681">
              <w:t>(1.66</w:t>
            </w:r>
            <w:r w:rsidR="00CA2AD7" w:rsidRPr="00412681">
              <w:t>–</w:t>
            </w:r>
            <w:r w:rsidRPr="00412681">
              <w:t>1.71)</w:t>
            </w:r>
          </w:p>
        </w:tc>
        <w:tc>
          <w:tcPr>
            <w:tcW w:w="1289" w:type="dxa"/>
            <w:shd w:val="clear" w:color="auto" w:fill="auto"/>
            <w:vAlign w:val="center"/>
          </w:tcPr>
          <w:p w14:paraId="26036389" w14:textId="655612BD" w:rsidR="005736E9" w:rsidRPr="00412681" w:rsidRDefault="005736E9" w:rsidP="001824D3">
            <w:pPr>
              <w:pStyle w:val="DHHStabletext"/>
            </w:pPr>
            <w:r w:rsidRPr="00412681">
              <w:t>(1.55</w:t>
            </w:r>
            <w:r w:rsidR="00CA2AD7" w:rsidRPr="00412681">
              <w:t>–</w:t>
            </w:r>
            <w:r w:rsidRPr="00412681">
              <w:t>1.62)</w:t>
            </w:r>
          </w:p>
        </w:tc>
        <w:tc>
          <w:tcPr>
            <w:tcW w:w="1289" w:type="dxa"/>
            <w:shd w:val="clear" w:color="auto" w:fill="auto"/>
            <w:vAlign w:val="center"/>
          </w:tcPr>
          <w:p w14:paraId="6B0E492C" w14:textId="3219CAF5" w:rsidR="005736E9" w:rsidRPr="00412681" w:rsidRDefault="005736E9" w:rsidP="001824D3">
            <w:pPr>
              <w:pStyle w:val="DHHStabletext"/>
            </w:pPr>
            <w:r w:rsidRPr="00412681">
              <w:t>(1.48</w:t>
            </w:r>
            <w:r w:rsidR="00CA2AD7" w:rsidRPr="00412681">
              <w:t>–</w:t>
            </w:r>
            <w:r w:rsidRPr="00412681">
              <w:t>1.55)</w:t>
            </w:r>
          </w:p>
        </w:tc>
      </w:tr>
    </w:tbl>
    <w:bookmarkEnd w:id="400"/>
    <w:p w14:paraId="747D28EF" w14:textId="586B3855" w:rsidR="007718EF" w:rsidRPr="00412681" w:rsidRDefault="007718EF" w:rsidP="00FA1AAC">
      <w:pPr>
        <w:pStyle w:val="DHHStablefigurenote"/>
        <w:rPr>
          <w:noProof/>
        </w:rPr>
      </w:pPr>
      <w:r w:rsidRPr="00412681">
        <w:rPr>
          <w:noProof/>
        </w:rPr>
        <w:t>Source: Victorian Population He</w:t>
      </w:r>
      <w:r w:rsidR="00303884" w:rsidRPr="00412681">
        <w:rPr>
          <w:noProof/>
        </w:rPr>
        <w:t>alt</w:t>
      </w:r>
      <w:r w:rsidR="00D82CAF" w:rsidRPr="00412681">
        <w:rPr>
          <w:noProof/>
        </w:rPr>
        <w:t xml:space="preserve">h </w:t>
      </w:r>
      <w:r w:rsidRPr="00412681">
        <w:rPr>
          <w:noProof/>
        </w:rPr>
        <w:t>Survey</w:t>
      </w:r>
      <w:r w:rsidR="00303884" w:rsidRPr="00412681">
        <w:rPr>
          <w:noProof/>
        </w:rPr>
        <w:t>s</w:t>
      </w:r>
      <w:r w:rsidRPr="00412681">
        <w:rPr>
          <w:noProof/>
        </w:rPr>
        <w:t xml:space="preserve"> 2011</w:t>
      </w:r>
      <w:r w:rsidR="001B50BF" w:rsidRPr="00412681">
        <w:rPr>
          <w:noProof/>
        </w:rPr>
        <w:t>–</w:t>
      </w:r>
      <w:r w:rsidRPr="00412681">
        <w:rPr>
          <w:noProof/>
        </w:rPr>
        <w:t>2016</w:t>
      </w:r>
    </w:p>
    <w:p w14:paraId="7C751F52" w14:textId="165275C8" w:rsidR="00745C68" w:rsidRPr="00987007" w:rsidRDefault="00745C68" w:rsidP="00745C68">
      <w:pPr>
        <w:pStyle w:val="Heading4"/>
        <w:rPr>
          <w:lang w:eastAsia="en-AU"/>
        </w:rPr>
      </w:pPr>
      <w:r w:rsidRPr="00987007">
        <w:rPr>
          <w:lang w:eastAsia="en-AU"/>
        </w:rPr>
        <w:t>Measure assessment</w:t>
      </w:r>
    </w:p>
    <w:p w14:paraId="0462544A" w14:textId="79B45838" w:rsidR="00EA3932" w:rsidRPr="000F33B5" w:rsidRDefault="00745C68" w:rsidP="00E060C8">
      <w:pPr>
        <w:autoSpaceDE w:val="0"/>
        <w:autoSpaceDN w:val="0"/>
        <w:adjustRightInd w:val="0"/>
        <w:spacing w:after="120" w:line="270" w:lineRule="atLeast"/>
        <w:rPr>
          <w:rFonts w:ascii="Arial" w:hAnsi="Arial" w:cs="Arial"/>
          <w:color w:val="C5511A"/>
        </w:rPr>
      </w:pPr>
      <w:r w:rsidRPr="000F33B5">
        <w:rPr>
          <w:rFonts w:ascii="Arial" w:hAnsi="Arial" w:cs="Arial"/>
        </w:rPr>
        <w:t xml:space="preserve">Traffic light rating: </w:t>
      </w:r>
      <w:r w:rsidR="00873F14" w:rsidRPr="000F33B5">
        <w:rPr>
          <w:rFonts w:ascii="Arial" w:hAnsi="Arial" w:cs="Arial"/>
          <w:color w:val="C5511A"/>
        </w:rPr>
        <w:t>Amber</w:t>
      </w:r>
      <w:r w:rsidR="00EA3932" w:rsidRPr="000F33B5">
        <w:rPr>
          <w:rFonts w:ascii="Arial" w:hAnsi="Arial" w:cs="Arial"/>
          <w:color w:val="C5511A"/>
        </w:rPr>
        <w:t xml:space="preserve"> (desired result not yet evident)</w:t>
      </w:r>
    </w:p>
    <w:p w14:paraId="0BF166A4" w14:textId="7A9B4054" w:rsidR="00745C68" w:rsidRDefault="00745C68" w:rsidP="00E060C8">
      <w:pPr>
        <w:autoSpaceDE w:val="0"/>
        <w:autoSpaceDN w:val="0"/>
        <w:adjustRightInd w:val="0"/>
        <w:spacing w:after="120" w:line="270" w:lineRule="atLeast"/>
        <w:rPr>
          <w:rFonts w:ascii="Arial" w:hAnsi="Arial" w:cs="Arial"/>
        </w:rPr>
      </w:pPr>
      <w:r w:rsidRPr="000F33B5">
        <w:rPr>
          <w:rFonts w:ascii="Arial" w:hAnsi="Arial" w:cs="Arial"/>
        </w:rPr>
        <w:t xml:space="preserve">Overall trend: </w:t>
      </w:r>
      <w:r w:rsidR="001B2EA2" w:rsidRPr="000F33B5">
        <w:rPr>
          <w:rFonts w:ascii="Arial" w:hAnsi="Arial" w:cs="Arial"/>
        </w:rPr>
        <w:t>Change in methodology (</w:t>
      </w:r>
      <w:r w:rsidR="000F33B5" w:rsidRPr="000F33B5">
        <w:rPr>
          <w:rFonts w:ascii="Arial" w:hAnsi="Arial" w:cs="Arial"/>
        </w:rPr>
        <w:t>guideline</w:t>
      </w:r>
      <w:r w:rsidR="001B2EA2" w:rsidRPr="000F33B5">
        <w:rPr>
          <w:rFonts w:ascii="Arial" w:hAnsi="Arial" w:cs="Arial"/>
        </w:rPr>
        <w:t>) in</w:t>
      </w:r>
      <w:r w:rsidR="000F33B5" w:rsidRPr="000F33B5">
        <w:rPr>
          <w:rFonts w:ascii="Arial" w:hAnsi="Arial" w:cs="Arial"/>
        </w:rPr>
        <w:t>troduced in</w:t>
      </w:r>
      <w:r w:rsidR="001B2EA2" w:rsidRPr="000F33B5">
        <w:rPr>
          <w:rFonts w:ascii="Arial" w:hAnsi="Arial" w:cs="Arial"/>
        </w:rPr>
        <w:t xml:space="preserve"> 201</w:t>
      </w:r>
      <w:r w:rsidR="000F33B5" w:rsidRPr="000F33B5">
        <w:rPr>
          <w:rFonts w:ascii="Arial" w:hAnsi="Arial" w:cs="Arial"/>
        </w:rPr>
        <w:t>3</w:t>
      </w:r>
      <w:r w:rsidR="001B2EA2" w:rsidRPr="000F33B5">
        <w:rPr>
          <w:rFonts w:ascii="Arial" w:hAnsi="Arial" w:cs="Arial"/>
        </w:rPr>
        <w:t xml:space="preserve"> making it difficult to rate</w:t>
      </w:r>
    </w:p>
    <w:p w14:paraId="5C5E8948" w14:textId="56FAD524" w:rsidR="00E44E92" w:rsidRPr="006078FE" w:rsidRDefault="00745C68" w:rsidP="00E060C8">
      <w:pPr>
        <w:pStyle w:val="DHHSbody"/>
      </w:pPr>
      <w:r w:rsidRPr="00D82CAF">
        <w:rPr>
          <w:rFonts w:cs="Arial"/>
        </w:rPr>
        <w:t>Commentary:</w:t>
      </w:r>
      <w:r w:rsidR="00143762" w:rsidRPr="00D82CAF">
        <w:rPr>
          <w:rFonts w:cs="Arial"/>
        </w:rPr>
        <w:t xml:space="preserve"> </w:t>
      </w:r>
      <w:r w:rsidR="00E44E92">
        <w:rPr>
          <w:rFonts w:cs="Arial"/>
        </w:rPr>
        <w:t>Fruit is high in nutrients that are potentially protective against chronic disease such as cancer.</w:t>
      </w:r>
      <w:r w:rsidR="00793D18">
        <w:rPr>
          <w:rFonts w:cs="Arial"/>
        </w:rPr>
        <w:t xml:space="preserve"> </w:t>
      </w:r>
      <w:r w:rsidR="00331DB8">
        <w:rPr>
          <w:rFonts w:cs="Arial"/>
        </w:rPr>
        <w:t xml:space="preserve">The consumption of fruit </w:t>
      </w:r>
      <w:r w:rsidR="00793D18">
        <w:rPr>
          <w:rFonts w:cs="Arial"/>
        </w:rPr>
        <w:t>play</w:t>
      </w:r>
      <w:r w:rsidR="00331DB8">
        <w:rPr>
          <w:rFonts w:cs="Arial"/>
        </w:rPr>
        <w:t>s</w:t>
      </w:r>
      <w:r w:rsidR="00793D18">
        <w:rPr>
          <w:rFonts w:cs="Arial"/>
        </w:rPr>
        <w:t xml:space="preserve"> a key role in helping to maintain a healthy bodyweight. Unhealthy bodyweight (obesity) has been identified as a risk factor for cancer of the bowel, kidney, pancreas,</w:t>
      </w:r>
      <w:r w:rsidR="00793D18" w:rsidRPr="00793D18">
        <w:rPr>
          <w:color w:val="000000"/>
        </w:rPr>
        <w:t xml:space="preserve"> </w:t>
      </w:r>
      <w:r w:rsidR="00793D18">
        <w:rPr>
          <w:color w:val="000000"/>
        </w:rPr>
        <w:t>oesophagus, endometrium and breast (in post-menopausal women)</w:t>
      </w:r>
      <w:r w:rsidR="00331DB8">
        <w:rPr>
          <w:color w:val="000000"/>
        </w:rPr>
        <w:t>.</w:t>
      </w:r>
      <w:r w:rsidR="00331DB8">
        <w:rPr>
          <w:rStyle w:val="FootnoteReference"/>
          <w:color w:val="000000"/>
        </w:rPr>
        <w:footnoteReference w:id="65"/>
      </w:r>
      <w:r w:rsidR="00041A04">
        <w:rPr>
          <w:color w:val="000000"/>
        </w:rPr>
        <w:t xml:space="preserve"> </w:t>
      </w:r>
      <w:r w:rsidR="000765DF">
        <w:rPr>
          <w:color w:val="000000"/>
        </w:rPr>
        <w:t xml:space="preserve">An Australian study suggests that </w:t>
      </w:r>
      <w:r w:rsidR="00826CF1">
        <w:rPr>
          <w:color w:val="000000"/>
        </w:rPr>
        <w:t>two</w:t>
      </w:r>
      <w:r w:rsidR="000765DF">
        <w:rPr>
          <w:color w:val="000000"/>
        </w:rPr>
        <w:t xml:space="preserve"> per cent of cancers </w:t>
      </w:r>
      <w:r w:rsidR="00826CF1">
        <w:rPr>
          <w:color w:val="000000"/>
        </w:rPr>
        <w:t xml:space="preserve">are </w:t>
      </w:r>
      <w:r w:rsidR="000765DF">
        <w:rPr>
          <w:color w:val="000000"/>
        </w:rPr>
        <w:t xml:space="preserve">attributable to low </w:t>
      </w:r>
      <w:r w:rsidR="000765DF" w:rsidRPr="006078FE">
        <w:t>consumption of fruit and vegetables.</w:t>
      </w:r>
      <w:r w:rsidR="00CB765F" w:rsidRPr="006078FE">
        <w:rPr>
          <w:rStyle w:val="FootnoteReference"/>
        </w:rPr>
        <w:footnoteReference w:id="66"/>
      </w:r>
    </w:p>
    <w:p w14:paraId="2BF02111" w14:textId="68FD31EB" w:rsidR="00B17619" w:rsidRPr="006078FE" w:rsidRDefault="00B17619" w:rsidP="00D17116">
      <w:pPr>
        <w:pStyle w:val="DHHSbody"/>
        <w:rPr>
          <w:rFonts w:cs="Arial"/>
          <w:lang w:val="en"/>
        </w:rPr>
      </w:pPr>
      <w:r w:rsidRPr="006078FE">
        <w:rPr>
          <w:rFonts w:cs="Arial"/>
          <w:lang w:val="en"/>
        </w:rPr>
        <w:t xml:space="preserve">Comparable international data </w:t>
      </w:r>
      <w:r w:rsidR="00826CF1">
        <w:rPr>
          <w:rFonts w:cs="Arial"/>
          <w:lang w:val="en"/>
        </w:rPr>
        <w:t>is</w:t>
      </w:r>
      <w:r w:rsidR="00826CF1" w:rsidRPr="006078FE">
        <w:rPr>
          <w:rFonts w:cs="Arial"/>
          <w:lang w:val="en"/>
        </w:rPr>
        <w:t xml:space="preserve"> </w:t>
      </w:r>
      <w:r w:rsidR="00C2125A" w:rsidRPr="006078FE">
        <w:rPr>
          <w:rFonts w:cs="Arial"/>
          <w:lang w:val="en"/>
        </w:rPr>
        <w:t>un</w:t>
      </w:r>
      <w:r w:rsidRPr="006078FE">
        <w:rPr>
          <w:rFonts w:cs="Arial"/>
          <w:lang w:val="en"/>
        </w:rPr>
        <w:t>available on</w:t>
      </w:r>
      <w:r w:rsidR="00B027FC" w:rsidRPr="006078FE">
        <w:rPr>
          <w:rFonts w:cs="Arial"/>
          <w:lang w:val="en"/>
        </w:rPr>
        <w:t xml:space="preserve"> the</w:t>
      </w:r>
      <w:r w:rsidRPr="006078FE">
        <w:rPr>
          <w:rFonts w:cs="Arial"/>
          <w:lang w:val="en"/>
        </w:rPr>
        <w:t xml:space="preserve"> level of daily fruit intake. However, </w:t>
      </w:r>
      <w:r w:rsidR="00826CF1">
        <w:rPr>
          <w:rFonts w:cs="Arial"/>
          <w:lang w:val="en"/>
        </w:rPr>
        <w:t>a 2015</w:t>
      </w:r>
      <w:r w:rsidR="00826CF1" w:rsidRPr="006078FE">
        <w:rPr>
          <w:rFonts w:cs="Arial"/>
          <w:lang w:val="en"/>
        </w:rPr>
        <w:t xml:space="preserve"> </w:t>
      </w:r>
      <w:r w:rsidRPr="006078FE">
        <w:rPr>
          <w:rFonts w:cs="Arial"/>
          <w:lang w:val="en"/>
        </w:rPr>
        <w:t>OECD report (</w:t>
      </w:r>
      <w:r w:rsidRPr="00CA2AD7">
        <w:rPr>
          <w:rFonts w:cs="Arial"/>
        </w:rPr>
        <w:t xml:space="preserve">Figure 7.1) shows that </w:t>
      </w:r>
      <w:r w:rsidRPr="006078FE">
        <w:rPr>
          <w:rFonts w:cs="Arial"/>
          <w:lang w:val="en"/>
        </w:rPr>
        <w:t>Australian males and females aged 15 years had the highest proportions reporting daily fruit consumption among the 29 countries of the OECD</w:t>
      </w:r>
      <w:r w:rsidR="00CA2AD7">
        <w:rPr>
          <w:rFonts w:cs="Arial"/>
          <w:lang w:val="en"/>
        </w:rPr>
        <w:t>.</w:t>
      </w:r>
      <w:r w:rsidRPr="006078FE">
        <w:rPr>
          <w:rStyle w:val="FootnoteReference"/>
          <w:rFonts w:cs="Arial"/>
          <w:lang w:val="en"/>
        </w:rPr>
        <w:footnoteReference w:id="67"/>
      </w:r>
      <w:r w:rsidRPr="006078FE">
        <w:rPr>
          <w:rFonts w:cs="Arial"/>
          <w:lang w:val="en"/>
        </w:rPr>
        <w:t xml:space="preserve"> </w:t>
      </w:r>
      <w:r w:rsidR="00EF47D4" w:rsidRPr="006078FE">
        <w:rPr>
          <w:rFonts w:cs="Arial"/>
          <w:lang w:val="en"/>
        </w:rPr>
        <w:t>C</w:t>
      </w:r>
      <w:r w:rsidRPr="006078FE">
        <w:rPr>
          <w:rFonts w:cs="Arial"/>
          <w:lang w:val="en"/>
        </w:rPr>
        <w:t>aution is advised when interpreting these findings due to differences in survey methodologies and variation in population ages reported.</w:t>
      </w:r>
      <w:r w:rsidR="00952FC7" w:rsidRPr="006078FE">
        <w:rPr>
          <w:rFonts w:cs="Arial"/>
          <w:lang w:val="en"/>
        </w:rPr>
        <w:t xml:space="preserve"> </w:t>
      </w:r>
    </w:p>
    <w:p w14:paraId="0AA39556" w14:textId="7771ECA9" w:rsidR="001F3DBA" w:rsidRPr="004038FB" w:rsidRDefault="00315CF6" w:rsidP="00D17116">
      <w:pPr>
        <w:pStyle w:val="DHHSbody"/>
        <w:rPr>
          <w:rFonts w:cs="Arial"/>
          <w:lang w:val="en"/>
        </w:rPr>
      </w:pPr>
      <w:r w:rsidRPr="004038FB">
        <w:rPr>
          <w:rFonts w:cs="Arial"/>
        </w:rPr>
        <w:t xml:space="preserve">Consuming at least </w:t>
      </w:r>
      <w:r w:rsidR="00F05352" w:rsidRPr="004038FB">
        <w:rPr>
          <w:rFonts w:cs="Arial"/>
        </w:rPr>
        <w:t>two</w:t>
      </w:r>
      <w:r w:rsidRPr="004038FB">
        <w:rPr>
          <w:rFonts w:cs="Arial"/>
        </w:rPr>
        <w:t xml:space="preserve"> serves of </w:t>
      </w:r>
      <w:r w:rsidRPr="006078FE">
        <w:rPr>
          <w:rFonts w:cs="Arial"/>
        </w:rPr>
        <w:t>fruit</w:t>
      </w:r>
      <w:r w:rsidRPr="004038FB">
        <w:rPr>
          <w:rFonts w:cs="Arial"/>
        </w:rPr>
        <w:t xml:space="preserve"> per day is recommended for all </w:t>
      </w:r>
      <w:r w:rsidR="000765DF" w:rsidRPr="004038FB">
        <w:rPr>
          <w:rFonts w:cs="Arial"/>
        </w:rPr>
        <w:t xml:space="preserve">Australian </w:t>
      </w:r>
      <w:r w:rsidRPr="004038FB">
        <w:rPr>
          <w:rFonts w:cs="Arial"/>
        </w:rPr>
        <w:t>adults</w:t>
      </w:r>
      <w:r w:rsidR="00B0545A" w:rsidRPr="004038FB">
        <w:rPr>
          <w:rStyle w:val="FootnoteReference"/>
          <w:rFonts w:cs="Arial"/>
        </w:rPr>
        <w:footnoteReference w:id="68"/>
      </w:r>
      <w:r w:rsidR="00570C07" w:rsidRPr="004038FB">
        <w:rPr>
          <w:rFonts w:cs="Arial"/>
        </w:rPr>
        <w:t xml:space="preserve"> </w:t>
      </w:r>
      <w:r w:rsidR="00796CF2" w:rsidRPr="004038FB">
        <w:rPr>
          <w:rFonts w:cs="Arial"/>
        </w:rPr>
        <w:t>and form</w:t>
      </w:r>
      <w:r w:rsidR="00826CF1">
        <w:rPr>
          <w:rFonts w:cs="Arial"/>
        </w:rPr>
        <w:t>s</w:t>
      </w:r>
      <w:r w:rsidR="00796CF2" w:rsidRPr="004038FB">
        <w:rPr>
          <w:rFonts w:cs="Arial"/>
        </w:rPr>
        <w:t xml:space="preserve"> the basis for this measure. </w:t>
      </w:r>
      <w:r w:rsidR="00570C07" w:rsidRPr="004038FB">
        <w:rPr>
          <w:rFonts w:cs="Arial"/>
          <w:lang w:val="en"/>
        </w:rPr>
        <w:t>In 2014</w:t>
      </w:r>
      <w:r w:rsidR="00CA2AD7">
        <w:rPr>
          <w:rFonts w:cs="Arial"/>
          <w:lang w:val="en"/>
        </w:rPr>
        <w:t>–</w:t>
      </w:r>
      <w:r w:rsidR="00570C07" w:rsidRPr="004038FB">
        <w:rPr>
          <w:rFonts w:cs="Arial"/>
          <w:lang w:val="en"/>
        </w:rPr>
        <w:t>15, almost half (49.8</w:t>
      </w:r>
      <w:r w:rsidR="00D82CAF" w:rsidRPr="004038FB">
        <w:rPr>
          <w:rFonts w:cs="Arial"/>
          <w:lang w:val="en"/>
        </w:rPr>
        <w:t xml:space="preserve"> per cent</w:t>
      </w:r>
      <w:r w:rsidR="00570C07" w:rsidRPr="004038FB">
        <w:rPr>
          <w:rFonts w:cs="Arial"/>
          <w:lang w:val="en"/>
        </w:rPr>
        <w:t xml:space="preserve">) or 8.8 million Australians aged 18 years </w:t>
      </w:r>
      <w:r w:rsidR="001B50BF">
        <w:rPr>
          <w:rFonts w:cs="Arial"/>
          <w:lang w:val="en"/>
        </w:rPr>
        <w:t>or older</w:t>
      </w:r>
      <w:r w:rsidR="00570C07" w:rsidRPr="004038FB">
        <w:rPr>
          <w:rFonts w:cs="Arial"/>
          <w:lang w:val="en"/>
        </w:rPr>
        <w:t xml:space="preserve"> reported that they consumed two or more serves of fruit per day (the recommended daily intake)</w:t>
      </w:r>
      <w:r w:rsidR="00D82CAF" w:rsidRPr="004038FB">
        <w:rPr>
          <w:rFonts w:cs="Arial"/>
          <w:lang w:val="en"/>
        </w:rPr>
        <w:t>.</w:t>
      </w:r>
      <w:r w:rsidR="00952FC7">
        <w:rPr>
          <w:rFonts w:cs="Arial"/>
          <w:lang w:val="en"/>
        </w:rPr>
        <w:t xml:space="preserve"> </w:t>
      </w:r>
      <w:r w:rsidR="001F3DBA" w:rsidRPr="004038FB">
        <w:rPr>
          <w:rFonts w:cs="Arial"/>
          <w:lang w:val="en" w:eastAsia="en-AU"/>
        </w:rPr>
        <w:t xml:space="preserve">The proportion of females meeting the </w:t>
      </w:r>
      <w:r w:rsidR="001F3DBA" w:rsidRPr="004038FB">
        <w:rPr>
          <w:rFonts w:cs="Arial"/>
          <w:lang w:val="en" w:eastAsia="en-AU"/>
        </w:rPr>
        <w:lastRenderedPageBreak/>
        <w:t>national guideline (55.4 per cent) was higher than the proportion for males (44 per cent).</w:t>
      </w:r>
      <w:r w:rsidR="001F3DBA" w:rsidRPr="004038FB">
        <w:rPr>
          <w:rStyle w:val="FootnoteReference"/>
          <w:rFonts w:cs="Arial"/>
        </w:rPr>
        <w:footnoteReference w:id="69"/>
      </w:r>
      <w:r w:rsidR="001F3DBA" w:rsidRPr="004038FB">
        <w:rPr>
          <w:rFonts w:cs="Arial"/>
          <w:lang w:val="en" w:eastAsia="en-AU"/>
        </w:rPr>
        <w:t xml:space="preserve"> Overall the average daily fruit intake </w:t>
      </w:r>
      <w:r w:rsidR="00435354" w:rsidRPr="004038FB">
        <w:rPr>
          <w:rFonts w:cs="Arial"/>
          <w:lang w:val="en" w:eastAsia="en-AU"/>
        </w:rPr>
        <w:t>among adult Australian</w:t>
      </w:r>
      <w:r w:rsidR="001D6235">
        <w:rPr>
          <w:rFonts w:cs="Arial"/>
          <w:lang w:val="en" w:eastAsia="en-AU"/>
        </w:rPr>
        <w:t>s</w:t>
      </w:r>
      <w:r w:rsidR="00435354" w:rsidRPr="004038FB">
        <w:rPr>
          <w:rFonts w:cs="Arial"/>
          <w:lang w:val="en" w:eastAsia="en-AU"/>
        </w:rPr>
        <w:t xml:space="preserve"> aged 18 years </w:t>
      </w:r>
      <w:r w:rsidR="001B50BF">
        <w:rPr>
          <w:rFonts w:cs="Arial"/>
          <w:lang w:val="en" w:eastAsia="en-AU"/>
        </w:rPr>
        <w:t>or older</w:t>
      </w:r>
      <w:r w:rsidR="00435354" w:rsidRPr="004038FB">
        <w:rPr>
          <w:rFonts w:cs="Arial"/>
          <w:lang w:val="en" w:eastAsia="en-AU"/>
        </w:rPr>
        <w:t xml:space="preserve"> was 1.7 serves</w:t>
      </w:r>
      <w:r w:rsidR="00826CF1">
        <w:rPr>
          <w:rFonts w:cs="Arial"/>
          <w:lang w:val="en" w:eastAsia="en-AU"/>
        </w:rPr>
        <w:t>, which is</w:t>
      </w:r>
      <w:r w:rsidR="00435354" w:rsidRPr="004038FB">
        <w:rPr>
          <w:rFonts w:cs="Arial"/>
          <w:lang w:val="en" w:eastAsia="en-AU"/>
        </w:rPr>
        <w:t xml:space="preserve"> slightly higher among females (1.8 serves of fruit) compared </w:t>
      </w:r>
      <w:r w:rsidR="001B50BF">
        <w:rPr>
          <w:rFonts w:cs="Arial"/>
          <w:lang w:val="en" w:eastAsia="en-AU"/>
        </w:rPr>
        <w:t>with</w:t>
      </w:r>
      <w:r w:rsidR="001B50BF" w:rsidRPr="004038FB">
        <w:rPr>
          <w:rFonts w:cs="Arial"/>
          <w:lang w:val="en" w:eastAsia="en-AU"/>
        </w:rPr>
        <w:t xml:space="preserve"> </w:t>
      </w:r>
      <w:r w:rsidR="00435354" w:rsidRPr="004038FB">
        <w:rPr>
          <w:rFonts w:cs="Arial"/>
          <w:lang w:val="en" w:eastAsia="en-AU"/>
        </w:rPr>
        <w:t>males (1.6 serves of fruit).</w:t>
      </w:r>
      <w:r w:rsidR="00952FC7">
        <w:rPr>
          <w:rFonts w:cs="Arial"/>
          <w:lang w:val="en" w:eastAsia="en-AU"/>
        </w:rPr>
        <w:t xml:space="preserve"> </w:t>
      </w:r>
      <w:r w:rsidR="00435354" w:rsidRPr="004038FB">
        <w:rPr>
          <w:rFonts w:cs="Arial"/>
          <w:lang w:val="en" w:eastAsia="en-AU"/>
        </w:rPr>
        <w:t>Figure 7.1.1 show</w:t>
      </w:r>
      <w:r w:rsidR="00826CF1">
        <w:rPr>
          <w:rFonts w:cs="Arial"/>
          <w:lang w:val="en" w:eastAsia="en-AU"/>
        </w:rPr>
        <w:t>s</w:t>
      </w:r>
      <w:r w:rsidR="00435354" w:rsidRPr="004038FB">
        <w:rPr>
          <w:rFonts w:cs="Arial"/>
          <w:lang w:val="en" w:eastAsia="en-AU"/>
        </w:rPr>
        <w:t xml:space="preserve"> that the average daily fruit intake was similar for the age groups 18</w:t>
      </w:r>
      <w:r w:rsidR="00CA2AD7">
        <w:rPr>
          <w:rFonts w:cs="Arial"/>
          <w:lang w:val="en" w:eastAsia="en-AU"/>
        </w:rPr>
        <w:t>–</w:t>
      </w:r>
      <w:r w:rsidR="00435354" w:rsidRPr="004038FB">
        <w:rPr>
          <w:rFonts w:cs="Arial"/>
          <w:lang w:val="en" w:eastAsia="en-AU"/>
        </w:rPr>
        <w:t>24, 25</w:t>
      </w:r>
      <w:r w:rsidR="00CA2AD7">
        <w:rPr>
          <w:rFonts w:cs="Arial"/>
          <w:lang w:val="en" w:eastAsia="en-AU"/>
        </w:rPr>
        <w:t>–</w:t>
      </w:r>
      <w:r w:rsidR="00435354" w:rsidRPr="004038FB">
        <w:rPr>
          <w:rFonts w:cs="Arial"/>
          <w:lang w:val="en" w:eastAsia="en-AU"/>
        </w:rPr>
        <w:t>34, 35</w:t>
      </w:r>
      <w:r w:rsidR="00CA2AD7">
        <w:rPr>
          <w:rFonts w:cs="Arial"/>
          <w:lang w:val="en" w:eastAsia="en-AU"/>
        </w:rPr>
        <w:t>–</w:t>
      </w:r>
      <w:r w:rsidR="00435354" w:rsidRPr="004038FB">
        <w:rPr>
          <w:rFonts w:cs="Arial"/>
          <w:lang w:val="en" w:eastAsia="en-AU"/>
        </w:rPr>
        <w:t>44 and 45</w:t>
      </w:r>
      <w:r w:rsidR="00CA2AD7">
        <w:rPr>
          <w:rFonts w:cs="Arial"/>
          <w:lang w:val="en" w:eastAsia="en-AU"/>
        </w:rPr>
        <w:t>–</w:t>
      </w:r>
      <w:r w:rsidR="00435354" w:rsidRPr="004038FB">
        <w:rPr>
          <w:rFonts w:cs="Arial"/>
          <w:lang w:val="en" w:eastAsia="en-AU"/>
        </w:rPr>
        <w:t>54 years but increased for the age group</w:t>
      </w:r>
      <w:r w:rsidR="00826CF1">
        <w:rPr>
          <w:rFonts w:cs="Arial"/>
          <w:lang w:val="en" w:eastAsia="en-AU"/>
        </w:rPr>
        <w:t>s</w:t>
      </w:r>
      <w:r w:rsidR="00435354" w:rsidRPr="004038FB">
        <w:rPr>
          <w:rFonts w:cs="Arial"/>
          <w:lang w:val="en" w:eastAsia="en-AU"/>
        </w:rPr>
        <w:t xml:space="preserve"> 55</w:t>
      </w:r>
      <w:r w:rsidR="00CA2AD7">
        <w:rPr>
          <w:rFonts w:cs="Arial"/>
          <w:lang w:val="en" w:eastAsia="en-AU"/>
        </w:rPr>
        <w:t>–</w:t>
      </w:r>
      <w:r w:rsidR="00435354" w:rsidRPr="004038FB">
        <w:rPr>
          <w:rFonts w:cs="Arial"/>
          <w:lang w:val="en" w:eastAsia="en-AU"/>
        </w:rPr>
        <w:t>64 and 65</w:t>
      </w:r>
      <w:r w:rsidR="00CA2AD7">
        <w:rPr>
          <w:rFonts w:cs="Arial"/>
          <w:lang w:val="en" w:eastAsia="en-AU"/>
        </w:rPr>
        <w:t>–</w:t>
      </w:r>
      <w:r w:rsidR="00435354" w:rsidRPr="004038FB">
        <w:rPr>
          <w:rFonts w:cs="Arial"/>
          <w:lang w:val="en" w:eastAsia="en-AU"/>
        </w:rPr>
        <w:t>74 years</w:t>
      </w:r>
      <w:r w:rsidR="00826CF1">
        <w:rPr>
          <w:rFonts w:cs="Arial"/>
          <w:lang w:val="en" w:eastAsia="en-AU"/>
        </w:rPr>
        <w:t>,</w:t>
      </w:r>
      <w:r w:rsidR="008A15B3" w:rsidRPr="004038FB">
        <w:rPr>
          <w:rFonts w:cs="Arial"/>
          <w:lang w:val="en" w:eastAsia="en-AU"/>
        </w:rPr>
        <w:t xml:space="preserve"> especially in females.</w:t>
      </w:r>
    </w:p>
    <w:p w14:paraId="6D1EAD7E" w14:textId="4CF2AF5D" w:rsidR="005346D6" w:rsidRDefault="007E6187" w:rsidP="00061C75">
      <w:pPr>
        <w:pStyle w:val="DHHSbody"/>
        <w:rPr>
          <w:lang w:eastAsia="en-AU"/>
        </w:rPr>
      </w:pPr>
      <w:r w:rsidRPr="004038FB">
        <w:rPr>
          <w:rFonts w:cs="Arial"/>
          <w:lang w:val="en"/>
        </w:rPr>
        <w:t>In Victoria</w:t>
      </w:r>
      <w:r w:rsidR="00536873" w:rsidRPr="004038FB">
        <w:rPr>
          <w:rFonts w:cs="Arial"/>
          <w:lang w:val="en"/>
        </w:rPr>
        <w:t>,</w:t>
      </w:r>
      <w:r w:rsidRPr="004038FB">
        <w:rPr>
          <w:rFonts w:cs="Arial"/>
          <w:lang w:val="en"/>
        </w:rPr>
        <w:t xml:space="preserve"> t</w:t>
      </w:r>
      <w:r w:rsidR="00D82CAF" w:rsidRPr="004038FB">
        <w:rPr>
          <w:rFonts w:cs="Arial"/>
          <w:lang w:val="en"/>
        </w:rPr>
        <w:t xml:space="preserve">he significant increase between 2012 and 2013 </w:t>
      </w:r>
      <w:r w:rsidR="00075064" w:rsidRPr="004038FB">
        <w:rPr>
          <w:rFonts w:cs="Arial"/>
          <w:lang w:val="en"/>
        </w:rPr>
        <w:t>is most likely in response to new Australian dietary guidelines introduced in 2013 that altered some of the serving sizes and recommendations for fruit consumption based on age and sex</w:t>
      </w:r>
      <w:r w:rsidR="00963F8E" w:rsidRPr="004038FB">
        <w:rPr>
          <w:rFonts w:cs="Arial"/>
          <w:lang w:val="en"/>
        </w:rPr>
        <w:t xml:space="preserve"> (Figure 7.</w:t>
      </w:r>
      <w:r w:rsidR="00CE03E4" w:rsidRPr="004038FB">
        <w:rPr>
          <w:rFonts w:cs="Arial"/>
          <w:lang w:val="en"/>
        </w:rPr>
        <w:t>1.1</w:t>
      </w:r>
      <w:r w:rsidR="00963F8E" w:rsidRPr="004038FB">
        <w:rPr>
          <w:rFonts w:cs="Arial"/>
          <w:lang w:val="en"/>
        </w:rPr>
        <w:t>)</w:t>
      </w:r>
      <w:r w:rsidR="00075064" w:rsidRPr="004038FB">
        <w:rPr>
          <w:rFonts w:cs="Arial"/>
          <w:lang w:val="en"/>
        </w:rPr>
        <w:t>.</w:t>
      </w:r>
      <w:r w:rsidR="00952FC7">
        <w:rPr>
          <w:rFonts w:cs="Arial"/>
          <w:lang w:val="en"/>
        </w:rPr>
        <w:t xml:space="preserve"> </w:t>
      </w:r>
      <w:r w:rsidR="00473022" w:rsidRPr="004038FB">
        <w:rPr>
          <w:rFonts w:cs="Arial"/>
          <w:lang w:val="en"/>
        </w:rPr>
        <w:t>While no target has been set for this measure</w:t>
      </w:r>
      <w:r w:rsidR="00536873" w:rsidRPr="004038FB">
        <w:rPr>
          <w:rFonts w:cs="Arial"/>
          <w:lang w:val="en"/>
        </w:rPr>
        <w:t>,</w:t>
      </w:r>
      <w:r w:rsidR="00473022" w:rsidRPr="004038FB">
        <w:rPr>
          <w:rFonts w:cs="Arial"/>
          <w:lang w:val="en"/>
        </w:rPr>
        <w:t xml:space="preserve"> Figure 7.</w:t>
      </w:r>
      <w:r w:rsidR="00CE03E4" w:rsidRPr="004038FB">
        <w:rPr>
          <w:rFonts w:cs="Arial"/>
          <w:lang w:val="en"/>
        </w:rPr>
        <w:t>1.</w:t>
      </w:r>
      <w:r w:rsidR="008A15B3" w:rsidRPr="004038FB">
        <w:rPr>
          <w:rFonts w:cs="Arial"/>
          <w:lang w:val="en"/>
        </w:rPr>
        <w:t>2</w:t>
      </w:r>
      <w:r w:rsidR="00EA38E3" w:rsidRPr="004038FB">
        <w:rPr>
          <w:rFonts w:cs="Arial"/>
          <w:lang w:val="en"/>
        </w:rPr>
        <w:t xml:space="preserve"> and Table 7.1 </w:t>
      </w:r>
      <w:r w:rsidR="00E57F0C" w:rsidRPr="004038FB">
        <w:rPr>
          <w:rFonts w:cs="Arial"/>
          <w:lang w:val="en"/>
        </w:rPr>
        <w:t>show</w:t>
      </w:r>
      <w:r w:rsidR="00473022" w:rsidRPr="004038FB">
        <w:rPr>
          <w:rFonts w:cs="Arial"/>
          <w:lang w:val="en"/>
        </w:rPr>
        <w:t xml:space="preserve"> that </w:t>
      </w:r>
      <w:r w:rsidR="00E57F0C" w:rsidRPr="004038FB">
        <w:rPr>
          <w:rFonts w:cs="Arial"/>
          <w:lang w:val="en"/>
        </w:rPr>
        <w:t xml:space="preserve">the </w:t>
      </w:r>
      <w:r w:rsidR="00473022" w:rsidRPr="004038FB">
        <w:rPr>
          <w:rFonts w:cs="Arial"/>
          <w:lang w:val="en"/>
        </w:rPr>
        <w:t>daily fruit consumption for all Victorian adults is not meeting the recommended national guideline.</w:t>
      </w:r>
    </w:p>
    <w:p w14:paraId="1257D01D" w14:textId="77777777" w:rsidR="005346D6" w:rsidRDefault="005346D6">
      <w:pPr>
        <w:rPr>
          <w:rStyle w:val="Heading3Char"/>
          <w:lang w:eastAsia="en-US"/>
        </w:rPr>
      </w:pPr>
      <w:r>
        <w:rPr>
          <w:rStyle w:val="Heading3Char"/>
        </w:rPr>
        <w:br w:type="page"/>
      </w:r>
    </w:p>
    <w:p w14:paraId="589FE3E8" w14:textId="153E4E8A" w:rsidR="00784A70" w:rsidRPr="005346D6" w:rsidRDefault="00784A70" w:rsidP="005346D6">
      <w:pPr>
        <w:pStyle w:val="Heading3"/>
        <w:rPr>
          <w:rStyle w:val="Heading3Char"/>
          <w:b/>
          <w:bCs/>
        </w:rPr>
      </w:pPr>
      <w:bookmarkStart w:id="401" w:name="_Measure_7.2_–"/>
      <w:bookmarkEnd w:id="401"/>
      <w:r w:rsidRPr="005346D6">
        <w:rPr>
          <w:rStyle w:val="Heading3Char"/>
          <w:b/>
          <w:bCs/>
        </w:rPr>
        <w:lastRenderedPageBreak/>
        <w:t xml:space="preserve">Measure 7.2 – </w:t>
      </w:r>
      <w:r w:rsidR="00BE61B2" w:rsidRPr="005346D6">
        <w:rPr>
          <w:rStyle w:val="Heading3Char"/>
          <w:b/>
          <w:bCs/>
        </w:rPr>
        <w:t xml:space="preserve">Proportion of </w:t>
      </w:r>
      <w:r w:rsidRPr="005346D6">
        <w:rPr>
          <w:rStyle w:val="Heading3Char"/>
          <w:b/>
          <w:bCs/>
        </w:rPr>
        <w:t>adolescents 10</w:t>
      </w:r>
      <w:r w:rsidR="00690CD3" w:rsidRPr="005346D6">
        <w:rPr>
          <w:rStyle w:val="Heading3Char"/>
          <w:b/>
          <w:bCs/>
        </w:rPr>
        <w:t>–1</w:t>
      </w:r>
      <w:r w:rsidRPr="005346D6">
        <w:rPr>
          <w:rStyle w:val="Heading3Char"/>
          <w:b/>
          <w:bCs/>
        </w:rPr>
        <w:t>7 years</w:t>
      </w:r>
      <w:r w:rsidR="00BE61B2" w:rsidRPr="005346D6">
        <w:rPr>
          <w:rStyle w:val="Heading3Char"/>
          <w:b/>
          <w:bCs/>
        </w:rPr>
        <w:t xml:space="preserve"> who eat the daily recommended serves of fruit</w:t>
      </w:r>
    </w:p>
    <w:p w14:paraId="56585533" w14:textId="3ED23DCE" w:rsidR="0065118F" w:rsidRDefault="004D3A85" w:rsidP="0091523F">
      <w:pPr>
        <w:pStyle w:val="DHHSfigurecaption"/>
        <w:rPr>
          <w:noProof/>
        </w:rPr>
      </w:pPr>
      <w:bookmarkStart w:id="402" w:name="_Toc19008066"/>
      <w:bookmarkStart w:id="403" w:name="_Toc19008303"/>
      <w:bookmarkStart w:id="404" w:name="_Toc19008450"/>
      <w:bookmarkStart w:id="405" w:name="_Toc19008597"/>
      <w:bookmarkStart w:id="406" w:name="_Toc27414305"/>
      <w:r>
        <w:t>Figure 7.2</w:t>
      </w:r>
      <w:r w:rsidR="00CA2AD7">
        <w:t>:</w:t>
      </w:r>
      <w:r>
        <w:t xml:space="preserve"> Proportion of </w:t>
      </w:r>
      <w:r w:rsidRPr="004D3A85">
        <w:rPr>
          <w:noProof/>
        </w:rPr>
        <w:t xml:space="preserve">Victorian adolescents </w:t>
      </w:r>
      <w:r w:rsidR="00826CF1">
        <w:rPr>
          <w:noProof/>
        </w:rPr>
        <w:t xml:space="preserve">aged </w:t>
      </w:r>
      <w:r w:rsidRPr="004D3A85">
        <w:rPr>
          <w:noProof/>
        </w:rPr>
        <w:t>10</w:t>
      </w:r>
      <w:r w:rsidR="00CA2AD7">
        <w:rPr>
          <w:noProof/>
        </w:rPr>
        <w:t>–</w:t>
      </w:r>
      <w:r w:rsidRPr="004D3A85">
        <w:rPr>
          <w:noProof/>
        </w:rPr>
        <w:t>17 years (boys and girls) who eat the daily recommended serves of fruit</w:t>
      </w:r>
      <w:r w:rsidR="00826CF1">
        <w:rPr>
          <w:noProof/>
        </w:rPr>
        <w:t>,</w:t>
      </w:r>
      <w:r w:rsidRPr="004D3A85">
        <w:rPr>
          <w:noProof/>
        </w:rPr>
        <w:t xml:space="preserve"> by year, 2014 and 2016</w:t>
      </w:r>
      <w:bookmarkEnd w:id="402"/>
      <w:bookmarkEnd w:id="403"/>
      <w:bookmarkEnd w:id="404"/>
      <w:bookmarkEnd w:id="405"/>
      <w:bookmarkEnd w:id="406"/>
    </w:p>
    <w:p w14:paraId="2299EAF8" w14:textId="7A265C91" w:rsidR="00AF1578" w:rsidRPr="00AF1578" w:rsidRDefault="009F6F50" w:rsidP="00AF1578">
      <w:pPr>
        <w:pStyle w:val="DHHSbody"/>
      </w:pPr>
      <w:r>
        <w:rPr>
          <w:noProof/>
        </w:rPr>
        <w:drawing>
          <wp:inline distT="0" distB="0" distL="0" distR="0" wp14:anchorId="632FCD5E" wp14:editId="67640D7F">
            <wp:extent cx="6730365" cy="4182110"/>
            <wp:effectExtent l="0" t="0" r="0" b="8890"/>
            <wp:docPr id="329" name="Picture 329" descr="This figure presents data under the Measure 7.2 - Proportion of adolescents 10-17 years who eat the daily recommended serves of fruit'. The data for this figure is available in this section - refer to Table 7.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730365" cy="4182110"/>
                    </a:xfrm>
                    <a:prstGeom prst="rect">
                      <a:avLst/>
                    </a:prstGeom>
                    <a:noFill/>
                  </pic:spPr>
                </pic:pic>
              </a:graphicData>
            </a:graphic>
          </wp:inline>
        </w:drawing>
      </w:r>
    </w:p>
    <w:p w14:paraId="7BE06CE2" w14:textId="5259D518" w:rsidR="009C0AFB" w:rsidRDefault="009C0AFB" w:rsidP="005C595C">
      <w:pPr>
        <w:pStyle w:val="DHHStablecaption"/>
        <w:rPr>
          <w:lang w:eastAsia="en-AU"/>
        </w:rPr>
      </w:pPr>
      <w:bookmarkStart w:id="407" w:name="_Toc18908731"/>
      <w:bookmarkStart w:id="408" w:name="_Toc27414410"/>
      <w:r>
        <w:rPr>
          <w:lang w:eastAsia="en-AU"/>
        </w:rPr>
        <w:t xml:space="preserve">Table 7.2: </w:t>
      </w:r>
      <w:r>
        <w:t xml:space="preserve">Proportion of </w:t>
      </w:r>
      <w:r w:rsidRPr="004D3A85">
        <w:rPr>
          <w:noProof/>
        </w:rPr>
        <w:t xml:space="preserve">Victorian adolescents </w:t>
      </w:r>
      <w:r>
        <w:rPr>
          <w:noProof/>
        </w:rPr>
        <w:t xml:space="preserve">aged </w:t>
      </w:r>
      <w:r w:rsidRPr="004D3A85">
        <w:rPr>
          <w:noProof/>
        </w:rPr>
        <w:t>10</w:t>
      </w:r>
      <w:r>
        <w:rPr>
          <w:noProof/>
        </w:rPr>
        <w:t>–</w:t>
      </w:r>
      <w:r w:rsidRPr="004D3A85">
        <w:rPr>
          <w:noProof/>
        </w:rPr>
        <w:t>17 years (boys and girls) who eat the daily recommended serves of fruit</w:t>
      </w:r>
      <w:r>
        <w:rPr>
          <w:noProof/>
        </w:rPr>
        <w:t>,</w:t>
      </w:r>
      <w:r w:rsidRPr="004D3A85">
        <w:rPr>
          <w:noProof/>
        </w:rPr>
        <w:t xml:space="preserve"> by year, 2014 and 2016</w:t>
      </w:r>
      <w:bookmarkEnd w:id="407"/>
      <w:bookmarkEnd w:id="408"/>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634"/>
        <w:gridCol w:w="2449"/>
        <w:gridCol w:w="2704"/>
        <w:gridCol w:w="2835"/>
      </w:tblGrid>
      <w:tr w:rsidR="00F1788A" w:rsidRPr="00DB4F90" w14:paraId="4B2DDF36" w14:textId="77777777" w:rsidTr="00F1788A">
        <w:trPr>
          <w:trHeight w:val="297"/>
        </w:trPr>
        <w:tc>
          <w:tcPr>
            <w:tcW w:w="2634" w:type="dxa"/>
            <w:shd w:val="clear" w:color="auto" w:fill="EDCDCF"/>
            <w:vAlign w:val="center"/>
          </w:tcPr>
          <w:p w14:paraId="632B4474" w14:textId="77777777" w:rsidR="00F1788A" w:rsidRPr="00DB4F90" w:rsidRDefault="00F1788A" w:rsidP="00F1788A">
            <w:pPr>
              <w:pStyle w:val="DHHStablecolhead"/>
            </w:pPr>
            <w:r w:rsidRPr="00DB4F90">
              <w:t>Year</w:t>
            </w:r>
          </w:p>
        </w:tc>
        <w:tc>
          <w:tcPr>
            <w:tcW w:w="2449" w:type="dxa"/>
            <w:shd w:val="clear" w:color="auto" w:fill="EDCDCF"/>
            <w:vAlign w:val="center"/>
          </w:tcPr>
          <w:p w14:paraId="0DEDF441" w14:textId="77777777" w:rsidR="00F1788A" w:rsidRPr="00DB4F90" w:rsidRDefault="00F1788A" w:rsidP="00F1788A">
            <w:pPr>
              <w:pStyle w:val="DHHStablecolhead"/>
            </w:pPr>
            <w:r w:rsidRPr="00DB4F90">
              <w:t>2014</w:t>
            </w:r>
          </w:p>
        </w:tc>
        <w:tc>
          <w:tcPr>
            <w:tcW w:w="2704" w:type="dxa"/>
            <w:shd w:val="clear" w:color="auto" w:fill="EDCDCF"/>
            <w:vAlign w:val="center"/>
          </w:tcPr>
          <w:p w14:paraId="7CC01A7B" w14:textId="77777777" w:rsidR="00F1788A" w:rsidRPr="00DB4F90" w:rsidRDefault="00F1788A" w:rsidP="00F1788A">
            <w:pPr>
              <w:pStyle w:val="DHHStablecolhead"/>
            </w:pPr>
          </w:p>
        </w:tc>
        <w:tc>
          <w:tcPr>
            <w:tcW w:w="2835" w:type="dxa"/>
            <w:shd w:val="clear" w:color="auto" w:fill="EDCDCF"/>
            <w:vAlign w:val="center"/>
          </w:tcPr>
          <w:p w14:paraId="70C4DBB7" w14:textId="77777777" w:rsidR="00F1788A" w:rsidRPr="00DB4F90" w:rsidRDefault="00F1788A" w:rsidP="00F1788A">
            <w:pPr>
              <w:pStyle w:val="DHHStablecolhead"/>
            </w:pPr>
            <w:r w:rsidRPr="00DB4F90">
              <w:t>2016</w:t>
            </w:r>
          </w:p>
        </w:tc>
      </w:tr>
      <w:tr w:rsidR="00F1788A" w:rsidRPr="0069114D" w14:paraId="4A8A00F0" w14:textId="77777777" w:rsidTr="00F1788A">
        <w:trPr>
          <w:trHeight w:val="297"/>
        </w:trPr>
        <w:tc>
          <w:tcPr>
            <w:tcW w:w="2634" w:type="dxa"/>
            <w:shd w:val="clear" w:color="auto" w:fill="auto"/>
            <w:vAlign w:val="center"/>
          </w:tcPr>
          <w:p w14:paraId="39D8EB77" w14:textId="77777777" w:rsidR="00F1788A" w:rsidRPr="005E739D" w:rsidRDefault="00F1788A" w:rsidP="00F1788A">
            <w:pPr>
              <w:pStyle w:val="DHHStabletext"/>
            </w:pPr>
            <w:r>
              <w:t>Per cent (%)</w:t>
            </w:r>
          </w:p>
        </w:tc>
        <w:tc>
          <w:tcPr>
            <w:tcW w:w="2449" w:type="dxa"/>
            <w:shd w:val="clear" w:color="auto" w:fill="auto"/>
            <w:vAlign w:val="center"/>
          </w:tcPr>
          <w:p w14:paraId="51CE0DB2" w14:textId="1905458B" w:rsidR="00F1788A" w:rsidRPr="0069114D" w:rsidRDefault="003B27B4" w:rsidP="00F1788A">
            <w:pPr>
              <w:pStyle w:val="DHHStabletext"/>
            </w:pPr>
            <w:r>
              <w:t>69.5</w:t>
            </w:r>
          </w:p>
        </w:tc>
        <w:tc>
          <w:tcPr>
            <w:tcW w:w="2704" w:type="dxa"/>
            <w:shd w:val="clear" w:color="auto" w:fill="auto"/>
            <w:vAlign w:val="center"/>
          </w:tcPr>
          <w:p w14:paraId="68F03ADB" w14:textId="77777777" w:rsidR="00F1788A" w:rsidRPr="0069114D" w:rsidRDefault="00F1788A" w:rsidP="00F1788A">
            <w:pPr>
              <w:pStyle w:val="DHHStabletext"/>
            </w:pPr>
          </w:p>
        </w:tc>
        <w:tc>
          <w:tcPr>
            <w:tcW w:w="2835" w:type="dxa"/>
            <w:shd w:val="clear" w:color="auto" w:fill="auto"/>
            <w:vAlign w:val="center"/>
          </w:tcPr>
          <w:p w14:paraId="630ED18D" w14:textId="558A4FA5" w:rsidR="00F1788A" w:rsidRPr="0069114D" w:rsidRDefault="003B27B4" w:rsidP="00F1788A">
            <w:pPr>
              <w:pStyle w:val="DHHStabletext"/>
            </w:pPr>
            <w:r>
              <w:t>67.1</w:t>
            </w:r>
          </w:p>
        </w:tc>
      </w:tr>
      <w:tr w:rsidR="00F1788A" w:rsidRPr="0069114D" w14:paraId="54F250C1" w14:textId="77777777" w:rsidTr="00F1788A">
        <w:trPr>
          <w:trHeight w:val="297"/>
        </w:trPr>
        <w:tc>
          <w:tcPr>
            <w:tcW w:w="2634" w:type="dxa"/>
            <w:shd w:val="clear" w:color="auto" w:fill="auto"/>
            <w:vAlign w:val="center"/>
          </w:tcPr>
          <w:p w14:paraId="2B52D48D" w14:textId="77777777" w:rsidR="00F1788A" w:rsidRDefault="00F1788A" w:rsidP="00F1788A">
            <w:pPr>
              <w:pStyle w:val="DHHStabletext"/>
            </w:pPr>
            <w:r>
              <w:t>95% CI</w:t>
            </w:r>
          </w:p>
        </w:tc>
        <w:tc>
          <w:tcPr>
            <w:tcW w:w="2449" w:type="dxa"/>
            <w:shd w:val="clear" w:color="auto" w:fill="auto"/>
            <w:vAlign w:val="center"/>
          </w:tcPr>
          <w:p w14:paraId="23B0E523" w14:textId="6142AC54" w:rsidR="00F1788A" w:rsidRPr="0069114D" w:rsidRDefault="00F1788A" w:rsidP="00F1788A">
            <w:pPr>
              <w:pStyle w:val="DHHStabletext"/>
            </w:pPr>
            <w:r w:rsidRPr="0069114D">
              <w:t>(</w:t>
            </w:r>
            <w:r w:rsidR="003B27B4">
              <w:t>68.1</w:t>
            </w:r>
            <w:r>
              <w:t>–</w:t>
            </w:r>
            <w:r w:rsidR="003B27B4">
              <w:t>70.8</w:t>
            </w:r>
            <w:r w:rsidRPr="0069114D">
              <w:t>)</w:t>
            </w:r>
          </w:p>
        </w:tc>
        <w:tc>
          <w:tcPr>
            <w:tcW w:w="2704" w:type="dxa"/>
            <w:shd w:val="clear" w:color="auto" w:fill="auto"/>
            <w:vAlign w:val="center"/>
          </w:tcPr>
          <w:p w14:paraId="5453473B" w14:textId="77777777" w:rsidR="00F1788A" w:rsidRPr="0069114D" w:rsidRDefault="00F1788A" w:rsidP="00F1788A">
            <w:pPr>
              <w:pStyle w:val="DHHStabletext"/>
            </w:pPr>
          </w:p>
        </w:tc>
        <w:tc>
          <w:tcPr>
            <w:tcW w:w="2835" w:type="dxa"/>
            <w:shd w:val="clear" w:color="auto" w:fill="auto"/>
            <w:vAlign w:val="center"/>
          </w:tcPr>
          <w:p w14:paraId="19E08245" w14:textId="66B08C9A" w:rsidR="00F1788A" w:rsidRPr="0069114D" w:rsidRDefault="00F1788A" w:rsidP="00F1788A">
            <w:pPr>
              <w:pStyle w:val="DHHStabletext"/>
            </w:pPr>
            <w:r w:rsidRPr="0069114D">
              <w:t>(</w:t>
            </w:r>
            <w:r w:rsidR="003B27B4">
              <w:t>66.3</w:t>
            </w:r>
            <w:r>
              <w:t>–</w:t>
            </w:r>
            <w:r w:rsidR="003B27B4">
              <w:t>68</w:t>
            </w:r>
            <w:r w:rsidRPr="0069114D">
              <w:t>.</w:t>
            </w:r>
            <w:r w:rsidR="003B27B4">
              <w:t>0</w:t>
            </w:r>
            <w:r w:rsidRPr="0069114D">
              <w:t>)</w:t>
            </w:r>
          </w:p>
        </w:tc>
      </w:tr>
    </w:tbl>
    <w:p w14:paraId="0ACA34D2" w14:textId="6DF37177" w:rsidR="00E975C3" w:rsidRPr="0091523F" w:rsidRDefault="00345EFA" w:rsidP="00D34E07">
      <w:pPr>
        <w:pStyle w:val="DHHStablefigurenote"/>
      </w:pPr>
      <w:r w:rsidRPr="00FE5B83">
        <w:t xml:space="preserve">Source: Victorian </w:t>
      </w:r>
      <w:r w:rsidR="00D57AF9">
        <w:t xml:space="preserve">Student Health and Wellbeing Survey </w:t>
      </w:r>
      <w:r w:rsidR="00314A5E">
        <w:t>2016</w:t>
      </w:r>
    </w:p>
    <w:p w14:paraId="18B016E3" w14:textId="156A6F45" w:rsidR="00E975C3" w:rsidRDefault="00E975C3" w:rsidP="0091523F">
      <w:pPr>
        <w:pStyle w:val="DHHSfigurecaption"/>
      </w:pPr>
      <w:bookmarkStart w:id="409" w:name="_Toc19008067"/>
      <w:bookmarkStart w:id="410" w:name="_Toc19008304"/>
      <w:bookmarkStart w:id="411" w:name="_Toc19008451"/>
      <w:bookmarkStart w:id="412" w:name="_Toc19008598"/>
      <w:bookmarkStart w:id="413" w:name="_Toc27414306"/>
      <w:r>
        <w:lastRenderedPageBreak/>
        <w:t>Figure 7.2.1</w:t>
      </w:r>
      <w:r w:rsidR="00CA2AD7">
        <w:t>:</w:t>
      </w:r>
      <w:r>
        <w:t xml:space="preserve"> Proportion of Victorian adolescents </w:t>
      </w:r>
      <w:r w:rsidR="00826CF1">
        <w:t xml:space="preserve">aged </w:t>
      </w:r>
      <w:r>
        <w:t>10</w:t>
      </w:r>
      <w:r w:rsidR="00CA2AD7">
        <w:t>–</w:t>
      </w:r>
      <w:r>
        <w:t>17 years (boys and girls) who eat the daily recommended serves of fruit</w:t>
      </w:r>
      <w:r w:rsidR="00826CF1">
        <w:t>,</w:t>
      </w:r>
      <w:r>
        <w:t xml:space="preserve"> by remoteness area and gender, 2014 and 2016</w:t>
      </w:r>
      <w:bookmarkEnd w:id="409"/>
      <w:bookmarkEnd w:id="410"/>
      <w:bookmarkEnd w:id="411"/>
      <w:bookmarkEnd w:id="412"/>
      <w:bookmarkEnd w:id="413"/>
    </w:p>
    <w:p w14:paraId="2D62C590" w14:textId="77777777" w:rsidR="005346D6" w:rsidRDefault="009F6F50" w:rsidP="005346D6">
      <w:pPr>
        <w:pStyle w:val="DHHSbody"/>
        <w:rPr>
          <w:rStyle w:val="DHHSbodyChar"/>
        </w:rPr>
      </w:pPr>
      <w:r>
        <w:rPr>
          <w:noProof/>
        </w:rPr>
        <w:drawing>
          <wp:inline distT="0" distB="0" distL="0" distR="0" wp14:anchorId="07068F4F" wp14:editId="641ED026">
            <wp:extent cx="6748780" cy="3511550"/>
            <wp:effectExtent l="0" t="0" r="0" b="0"/>
            <wp:docPr id="330" name="Picture 330" descr="This figure presents data by remoteness and gender under the Measure 7.2 - Proportion of adolescents 10-17 years who eat the daily recommended serves of fruit' for 2014 and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748780" cy="3511550"/>
                    </a:xfrm>
                    <a:prstGeom prst="rect">
                      <a:avLst/>
                    </a:prstGeom>
                    <a:noFill/>
                  </pic:spPr>
                </pic:pic>
              </a:graphicData>
            </a:graphic>
          </wp:inline>
        </w:drawing>
      </w:r>
    </w:p>
    <w:p w14:paraId="0E860163" w14:textId="5A2DE2CD" w:rsidR="00676597" w:rsidRPr="005346D6" w:rsidRDefault="000763F2" w:rsidP="005346D6">
      <w:pPr>
        <w:pStyle w:val="DHHStablefigurenote"/>
      </w:pPr>
      <w:r w:rsidRPr="005346D6">
        <w:rPr>
          <w:rStyle w:val="DHHSbodyChar"/>
        </w:rPr>
        <w:t xml:space="preserve">Source: Victorian </w:t>
      </w:r>
      <w:r w:rsidR="00314A5E" w:rsidRPr="005346D6">
        <w:rPr>
          <w:rStyle w:val="DHHSbodyChar"/>
        </w:rPr>
        <w:t>Student</w:t>
      </w:r>
      <w:r w:rsidRPr="005346D6">
        <w:rPr>
          <w:rStyle w:val="DHHSbodyChar"/>
        </w:rPr>
        <w:t xml:space="preserve"> Health and Wellbeing Survey</w:t>
      </w:r>
      <w:r w:rsidR="00E776C9" w:rsidRPr="005346D6">
        <w:rPr>
          <w:rStyle w:val="DHHSbodyChar"/>
        </w:rPr>
        <w:t xml:space="preserve">s 2014 and </w:t>
      </w:r>
      <w:r w:rsidR="00314A5E" w:rsidRPr="005346D6">
        <w:rPr>
          <w:rStyle w:val="DHHSbodyChar"/>
        </w:rPr>
        <w:t>2016</w:t>
      </w:r>
    </w:p>
    <w:p w14:paraId="08F73066" w14:textId="17D2D6C5" w:rsidR="000E2681" w:rsidRDefault="004D3A85" w:rsidP="000E2681">
      <w:pPr>
        <w:pStyle w:val="Heading4"/>
        <w:rPr>
          <w:lang w:eastAsia="en-AU"/>
        </w:rPr>
      </w:pPr>
      <w:r>
        <w:rPr>
          <w:lang w:eastAsia="en-AU"/>
        </w:rPr>
        <w:t>M</w:t>
      </w:r>
      <w:r w:rsidR="000E2681">
        <w:rPr>
          <w:lang w:eastAsia="en-AU"/>
        </w:rPr>
        <w:t>easure assessment</w:t>
      </w:r>
    </w:p>
    <w:p w14:paraId="696BAA56" w14:textId="3804DFA3" w:rsidR="00E23039" w:rsidRPr="00E23039" w:rsidRDefault="000E2681" w:rsidP="00E060C8">
      <w:pPr>
        <w:autoSpaceDE w:val="0"/>
        <w:autoSpaceDN w:val="0"/>
        <w:adjustRightInd w:val="0"/>
        <w:spacing w:after="120" w:line="270" w:lineRule="atLeast"/>
        <w:rPr>
          <w:rFonts w:ascii="Arial" w:hAnsi="Arial" w:cs="Arial"/>
        </w:rPr>
      </w:pPr>
      <w:r w:rsidRPr="009F01B1">
        <w:rPr>
          <w:rFonts w:ascii="Arial" w:hAnsi="Arial" w:cs="Arial"/>
        </w:rPr>
        <w:t xml:space="preserve">Traffic light rating: </w:t>
      </w:r>
      <w:r w:rsidR="009E55C1" w:rsidRPr="00320DEB">
        <w:rPr>
          <w:rFonts w:ascii="Arial" w:hAnsi="Arial" w:cs="Arial"/>
          <w:b/>
          <w:color w:val="C00000"/>
        </w:rPr>
        <w:t>Red</w:t>
      </w:r>
      <w:r w:rsidR="009E55C1">
        <w:rPr>
          <w:rFonts w:ascii="Arial" w:hAnsi="Arial" w:cs="Arial"/>
          <w:b/>
          <w:color w:val="C00000"/>
        </w:rPr>
        <w:t xml:space="preserve"> </w:t>
      </w:r>
      <w:r w:rsidR="009E55C1">
        <w:rPr>
          <w:rFonts w:ascii="Arial" w:hAnsi="Arial" w:cs="Arial"/>
          <w:color w:val="C00000"/>
        </w:rPr>
        <w:t>(result is of concern)</w:t>
      </w:r>
    </w:p>
    <w:p w14:paraId="639E4052" w14:textId="47467985" w:rsidR="000E2681" w:rsidRDefault="000E2681" w:rsidP="00E060C8">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9E55C1">
        <w:rPr>
          <w:rFonts w:ascii="Arial" w:hAnsi="Arial" w:cs="Arial"/>
        </w:rPr>
        <w:t>Not m</w:t>
      </w:r>
      <w:r w:rsidR="004D3A85">
        <w:rPr>
          <w:rFonts w:ascii="Arial" w:hAnsi="Arial" w:cs="Arial"/>
        </w:rPr>
        <w:t>oving in the right direction</w:t>
      </w:r>
    </w:p>
    <w:p w14:paraId="2F7E5ADE" w14:textId="1D70D150" w:rsidR="00A57F34" w:rsidRDefault="000E2681" w:rsidP="00A57F34">
      <w:pPr>
        <w:pStyle w:val="DHHSbody"/>
        <w:rPr>
          <w:rStyle w:val="Heading3Char"/>
        </w:rPr>
      </w:pPr>
      <w:r w:rsidRPr="008B7095">
        <w:rPr>
          <w:rFonts w:cs="Arial"/>
        </w:rPr>
        <w:t>Commentary</w:t>
      </w:r>
      <w:r w:rsidR="004D3A85" w:rsidRPr="008B7095">
        <w:rPr>
          <w:rFonts w:cs="Arial"/>
        </w:rPr>
        <w:t>:</w:t>
      </w:r>
      <w:r w:rsidR="008C14DD" w:rsidRPr="008B7095">
        <w:rPr>
          <w:rFonts w:cs="Arial"/>
        </w:rPr>
        <w:t xml:space="preserve"> </w:t>
      </w:r>
      <w:r w:rsidR="008C14DD" w:rsidRPr="008B7095">
        <w:rPr>
          <w:lang w:val="en"/>
        </w:rPr>
        <w:t>High consumption of fruit has been associated with reduced risk of chronic diseases such as cancer.</w:t>
      </w:r>
      <w:r w:rsidR="008C14DD" w:rsidRPr="008B7095">
        <w:rPr>
          <w:rStyle w:val="FootnoteReference"/>
          <w:lang w:val="en"/>
        </w:rPr>
        <w:footnoteReference w:id="70"/>
      </w:r>
      <w:r w:rsidR="00303308" w:rsidRPr="008B7095">
        <w:rPr>
          <w:lang w:val="en"/>
        </w:rPr>
        <w:t xml:space="preserve"> A </w:t>
      </w:r>
      <w:r w:rsidR="008C14DD" w:rsidRPr="008B7095">
        <w:rPr>
          <w:lang w:val="en"/>
        </w:rPr>
        <w:t xml:space="preserve">longitudinal study </w:t>
      </w:r>
      <w:r w:rsidR="00303308" w:rsidRPr="008B7095">
        <w:rPr>
          <w:lang w:val="en"/>
        </w:rPr>
        <w:t xml:space="preserve">has </w:t>
      </w:r>
      <w:r w:rsidR="008C14DD" w:rsidRPr="008B7095">
        <w:rPr>
          <w:lang w:val="en"/>
        </w:rPr>
        <w:t>suggest</w:t>
      </w:r>
      <w:r w:rsidR="00303308" w:rsidRPr="008B7095">
        <w:rPr>
          <w:lang w:val="en"/>
        </w:rPr>
        <w:t>ed</w:t>
      </w:r>
      <w:r w:rsidR="008C14DD" w:rsidRPr="008B7095">
        <w:rPr>
          <w:lang w:val="en"/>
        </w:rPr>
        <w:t xml:space="preserve"> that high fruit consumption in adolescence has a beneficial influence on self-rated </w:t>
      </w:r>
      <w:r w:rsidR="0053711F" w:rsidRPr="008B7095">
        <w:rPr>
          <w:lang w:val="en"/>
        </w:rPr>
        <w:t>h</w:t>
      </w:r>
      <w:r w:rsidR="008C14DD" w:rsidRPr="008B7095">
        <w:rPr>
          <w:lang w:val="en"/>
        </w:rPr>
        <w:t>ealth in early adulthood</w:t>
      </w:r>
      <w:r w:rsidR="00303308" w:rsidRPr="008B7095">
        <w:rPr>
          <w:lang w:val="en"/>
        </w:rPr>
        <w:t>.</w:t>
      </w:r>
      <w:r w:rsidR="00303308" w:rsidRPr="008B7095">
        <w:rPr>
          <w:rStyle w:val="FootnoteReference"/>
          <w:lang w:val="en"/>
        </w:rPr>
        <w:footnoteReference w:id="71"/>
      </w:r>
      <w:r w:rsidR="0053711F" w:rsidRPr="008B7095">
        <w:rPr>
          <w:lang w:val="en"/>
        </w:rPr>
        <w:t xml:space="preserve"> </w:t>
      </w:r>
      <w:r w:rsidR="00884956" w:rsidRPr="008B7095">
        <w:rPr>
          <w:lang w:val="en"/>
        </w:rPr>
        <w:t xml:space="preserve">Consuming a minimum of two serves of </w:t>
      </w:r>
      <w:r w:rsidR="00884956" w:rsidRPr="002B0CEB">
        <w:rPr>
          <w:lang w:val="en"/>
        </w:rPr>
        <w:t>fruit</w:t>
      </w:r>
      <w:r w:rsidR="0053711F" w:rsidRPr="008B7095">
        <w:rPr>
          <w:lang w:val="en"/>
        </w:rPr>
        <w:t xml:space="preserve"> </w:t>
      </w:r>
      <w:r w:rsidR="00342486" w:rsidRPr="008B7095">
        <w:rPr>
          <w:lang w:val="en"/>
        </w:rPr>
        <w:t>per day is recommended for all adolescents.</w:t>
      </w:r>
      <w:r w:rsidR="00342486" w:rsidRPr="008B7095">
        <w:rPr>
          <w:rStyle w:val="FootnoteReference"/>
          <w:rFonts w:cs="Arial"/>
        </w:rPr>
        <w:footnoteReference w:id="72"/>
      </w:r>
      <w:r w:rsidR="00342486" w:rsidRPr="008B7095">
        <w:rPr>
          <w:lang w:val="en"/>
        </w:rPr>
        <w:t xml:space="preserve"> </w:t>
      </w:r>
      <w:r w:rsidR="00A86AEB" w:rsidRPr="008B7095">
        <w:t>While no target has been set</w:t>
      </w:r>
      <w:r w:rsidR="00A86AEB">
        <w:t>,</w:t>
      </w:r>
      <w:r w:rsidR="00A86AEB" w:rsidRPr="008B7095">
        <w:rPr>
          <w:lang w:val="en"/>
        </w:rPr>
        <w:t xml:space="preserve"> </w:t>
      </w:r>
      <w:r w:rsidR="0053711F" w:rsidRPr="008B7095">
        <w:rPr>
          <w:lang w:val="en"/>
        </w:rPr>
        <w:t>Figure 7.2</w:t>
      </w:r>
      <w:r w:rsidR="00B775BD">
        <w:rPr>
          <w:lang w:val="en"/>
        </w:rPr>
        <w:t xml:space="preserve"> and Table 7.2</w:t>
      </w:r>
      <w:r w:rsidR="0053711F" w:rsidRPr="008B7095">
        <w:rPr>
          <w:lang w:val="en"/>
        </w:rPr>
        <w:t xml:space="preserve"> show that</w:t>
      </w:r>
      <w:r w:rsidR="00A86AEB">
        <w:rPr>
          <w:lang w:val="en"/>
        </w:rPr>
        <w:t xml:space="preserve"> overall</w:t>
      </w:r>
      <w:r w:rsidR="0053711F" w:rsidRPr="008B7095">
        <w:rPr>
          <w:lang w:val="en"/>
        </w:rPr>
        <w:t xml:space="preserve"> the proportion of adolescents aged 10</w:t>
      </w:r>
      <w:r w:rsidR="00CA2AD7">
        <w:rPr>
          <w:lang w:val="en"/>
        </w:rPr>
        <w:t>–</w:t>
      </w:r>
      <w:r w:rsidR="0053711F" w:rsidRPr="008B7095">
        <w:rPr>
          <w:lang w:val="en"/>
        </w:rPr>
        <w:t>17 years in Victoria consuming fruit (excluding fruit juice) decreased between 2014 and 2016 among all children and for boys and girls.</w:t>
      </w:r>
      <w:r w:rsidR="00655AF8" w:rsidRPr="008B7095">
        <w:rPr>
          <w:lang w:val="en"/>
        </w:rPr>
        <w:t xml:space="preserve"> </w:t>
      </w:r>
      <w:r w:rsidR="00A86AEB">
        <w:rPr>
          <w:lang w:val="en"/>
        </w:rPr>
        <w:t>B</w:t>
      </w:r>
      <w:r w:rsidR="00655AF8" w:rsidRPr="008B7095">
        <w:t xml:space="preserve">oth boys and girls reported </w:t>
      </w:r>
      <w:r w:rsidR="00A86AEB">
        <w:t>de</w:t>
      </w:r>
      <w:r w:rsidR="00884956" w:rsidRPr="008B7095">
        <w:t>creased</w:t>
      </w:r>
      <w:r w:rsidR="00655AF8" w:rsidRPr="008B7095">
        <w:t xml:space="preserve"> amounts of fruit consumed </w:t>
      </w:r>
      <w:r w:rsidR="001D6235">
        <w:t>(</w:t>
      </w:r>
      <w:r w:rsidR="00884956" w:rsidRPr="008B7095">
        <w:t>across the two surveys</w:t>
      </w:r>
      <w:r w:rsidR="001D6235">
        <w:t>)</w:t>
      </w:r>
      <w:r w:rsidR="00231A1F" w:rsidRPr="008B7095">
        <w:t xml:space="preserve"> as recommended in the 2013 </w:t>
      </w:r>
      <w:r w:rsidR="002E6B06" w:rsidRPr="008B7095">
        <w:t xml:space="preserve">Australian </w:t>
      </w:r>
      <w:r w:rsidR="0090744C">
        <w:t>d</w:t>
      </w:r>
      <w:r w:rsidR="002E6B06" w:rsidRPr="008B7095">
        <w:t xml:space="preserve">ietary </w:t>
      </w:r>
      <w:r w:rsidR="0090744C">
        <w:t>g</w:t>
      </w:r>
      <w:r w:rsidR="002E6B06" w:rsidRPr="008B7095">
        <w:t>uidelines</w:t>
      </w:r>
      <w:r w:rsidR="00231A1F" w:rsidRPr="008B7095">
        <w:t>.</w:t>
      </w:r>
      <w:r w:rsidR="002E6B06" w:rsidRPr="008B7095">
        <w:t xml:space="preserve"> The proportion of all adolescents living in metropolitan areas consuming fruit also </w:t>
      </w:r>
      <w:r w:rsidR="00A86AEB">
        <w:t>de</w:t>
      </w:r>
      <w:r w:rsidR="002E6B06" w:rsidRPr="008B7095">
        <w:t>creased between 2014</w:t>
      </w:r>
      <w:r w:rsidR="0080509C">
        <w:t xml:space="preserve"> and</w:t>
      </w:r>
      <w:r w:rsidR="002E6B06" w:rsidRPr="008B7095">
        <w:t xml:space="preserve"> 2016</w:t>
      </w:r>
      <w:r w:rsidR="00E1096A">
        <w:t>,</w:t>
      </w:r>
      <w:r w:rsidR="002E6B06" w:rsidRPr="008B7095">
        <w:t xml:space="preserve"> wh</w:t>
      </w:r>
      <w:r w:rsidR="0080509C">
        <w:t>ile</w:t>
      </w:r>
      <w:r w:rsidR="002E6B06" w:rsidRPr="008B7095">
        <w:t xml:space="preserve"> the proportion </w:t>
      </w:r>
      <w:r w:rsidR="001D6235">
        <w:t>for</w:t>
      </w:r>
      <w:r w:rsidR="002E6B06" w:rsidRPr="008B7095">
        <w:t xml:space="preserve"> all adolescents living in Victorian regional areas remained largely unchanged</w:t>
      </w:r>
      <w:r w:rsidR="009D594D">
        <w:t xml:space="preserve"> (Figure 7.2.1)</w:t>
      </w:r>
      <w:r w:rsidR="002E6B06" w:rsidRPr="008B7095">
        <w:t>.</w:t>
      </w:r>
      <w:bookmarkStart w:id="414" w:name="_Measure_7.3_–"/>
      <w:bookmarkStart w:id="415" w:name="_Toc19008068"/>
      <w:bookmarkEnd w:id="414"/>
      <w:r w:rsidR="00A57F34">
        <w:rPr>
          <w:rStyle w:val="Heading3Char"/>
        </w:rPr>
        <w:br w:type="page"/>
      </w:r>
    </w:p>
    <w:p w14:paraId="168359F6" w14:textId="34D376B9" w:rsidR="00784A70" w:rsidRPr="00A57F34" w:rsidRDefault="00784A70" w:rsidP="00A57F34">
      <w:pPr>
        <w:pStyle w:val="Heading3"/>
      </w:pPr>
      <w:r w:rsidRPr="00A57F34">
        <w:lastRenderedPageBreak/>
        <w:t xml:space="preserve">Measure 7.3 – </w:t>
      </w:r>
      <w:r w:rsidR="00BE61B2" w:rsidRPr="00A57F34">
        <w:t xml:space="preserve">Proportion of </w:t>
      </w:r>
      <w:r w:rsidR="00782252" w:rsidRPr="00A57F34">
        <w:t>children 4</w:t>
      </w:r>
      <w:r w:rsidR="00690CD3" w:rsidRPr="00A57F34">
        <w:t>–1</w:t>
      </w:r>
      <w:r w:rsidR="00782252" w:rsidRPr="00A57F34">
        <w:t>2 years</w:t>
      </w:r>
      <w:r w:rsidR="00BE61B2" w:rsidRPr="00A57F34">
        <w:t xml:space="preserve"> who eat the daily recommended serves of fruit</w:t>
      </w:r>
      <w:bookmarkEnd w:id="415"/>
    </w:p>
    <w:p w14:paraId="53D8847C" w14:textId="5A80C024" w:rsidR="006631C9" w:rsidRDefault="00B77CF7" w:rsidP="0091523F">
      <w:pPr>
        <w:pStyle w:val="DHHSfigurecaption"/>
      </w:pPr>
      <w:bookmarkStart w:id="416" w:name="_Toc19008069"/>
      <w:bookmarkStart w:id="417" w:name="_Toc19008305"/>
      <w:bookmarkStart w:id="418" w:name="_Toc19008452"/>
      <w:bookmarkStart w:id="419" w:name="_Toc19008599"/>
      <w:bookmarkStart w:id="420" w:name="_Toc27414307"/>
      <w:r w:rsidRPr="0091523F">
        <w:t>Figure 7.3</w:t>
      </w:r>
      <w:r w:rsidR="00CA2AD7" w:rsidRPr="0091523F">
        <w:t>:</w:t>
      </w:r>
      <w:r w:rsidRPr="0091523F">
        <w:t xml:space="preserve"> Proportion of children </w:t>
      </w:r>
      <w:r w:rsidR="00E1096A" w:rsidRPr="0091523F">
        <w:t xml:space="preserve">aged </w:t>
      </w:r>
      <w:r w:rsidRPr="0091523F">
        <w:t>4</w:t>
      </w:r>
      <w:r w:rsidR="00CA2AD7" w:rsidRPr="0091523F">
        <w:t>–</w:t>
      </w:r>
      <w:r w:rsidRPr="0091523F">
        <w:t>12 years who eat the daily recommended serves of fruit</w:t>
      </w:r>
      <w:r w:rsidR="00E1096A" w:rsidRPr="0091523F">
        <w:t>,</w:t>
      </w:r>
      <w:r w:rsidR="00F702AC" w:rsidRPr="0091523F">
        <w:t xml:space="preserve"> by year, 2013</w:t>
      </w:r>
      <w:r w:rsidR="002E75FE">
        <w:t xml:space="preserve"> and 2017</w:t>
      </w:r>
      <w:bookmarkEnd w:id="416"/>
      <w:bookmarkEnd w:id="417"/>
      <w:bookmarkEnd w:id="418"/>
      <w:bookmarkEnd w:id="419"/>
      <w:bookmarkEnd w:id="420"/>
      <w:r w:rsidR="00E16056" w:rsidRPr="0091523F">
        <w:t xml:space="preserve"> </w:t>
      </w:r>
    </w:p>
    <w:p w14:paraId="591D6E0B" w14:textId="5CB8F5AA" w:rsidR="00545F73" w:rsidRDefault="009F6F50" w:rsidP="00545F73">
      <w:pPr>
        <w:pStyle w:val="DHHSbody"/>
      </w:pPr>
      <w:r>
        <w:rPr>
          <w:noProof/>
        </w:rPr>
        <w:drawing>
          <wp:inline distT="0" distB="0" distL="0" distR="0" wp14:anchorId="2A1E1E61" wp14:editId="0C32AECB">
            <wp:extent cx="6748780" cy="3359150"/>
            <wp:effectExtent l="0" t="0" r="0" b="0"/>
            <wp:docPr id="334" name="Picture 334" descr="This figure presents data under the Measure 7.3 - Proportion of children 4-12 years who eat the daily recommended serves of fruit'. The data (2013 and 2017 only) for this figure is available in this section - refer to Table 7.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748780" cy="3359150"/>
                    </a:xfrm>
                    <a:prstGeom prst="rect">
                      <a:avLst/>
                    </a:prstGeom>
                    <a:noFill/>
                  </pic:spPr>
                </pic:pic>
              </a:graphicData>
            </a:graphic>
          </wp:inline>
        </w:drawing>
      </w:r>
    </w:p>
    <w:p w14:paraId="114C86CE" w14:textId="77C19927" w:rsidR="002E75FE" w:rsidRDefault="002E75FE" w:rsidP="00545F73">
      <w:pPr>
        <w:pStyle w:val="DHHStablecaption"/>
      </w:pPr>
      <w:bookmarkStart w:id="421" w:name="_Toc18908732"/>
      <w:bookmarkStart w:id="422" w:name="_Toc27414411"/>
      <w:r>
        <w:t>Table</w:t>
      </w:r>
      <w:r w:rsidRPr="0091523F">
        <w:t xml:space="preserve"> 7.3: Proportion of children aged 4–12 years who eat the daily recommended serves of fruit, by year, 2013 </w:t>
      </w:r>
      <w:r>
        <w:t>and 2017</w:t>
      </w:r>
      <w:bookmarkEnd w:id="421"/>
      <w:bookmarkEnd w:id="422"/>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634"/>
        <w:gridCol w:w="2449"/>
        <w:gridCol w:w="2704"/>
        <w:gridCol w:w="2835"/>
      </w:tblGrid>
      <w:tr w:rsidR="002E75FE" w:rsidRPr="00DB4F90" w14:paraId="44E52680" w14:textId="77777777" w:rsidTr="00397050">
        <w:trPr>
          <w:trHeight w:val="297"/>
        </w:trPr>
        <w:tc>
          <w:tcPr>
            <w:tcW w:w="2634" w:type="dxa"/>
            <w:shd w:val="clear" w:color="auto" w:fill="EDCDCF"/>
            <w:vAlign w:val="center"/>
          </w:tcPr>
          <w:p w14:paraId="2D0E4B41" w14:textId="77777777" w:rsidR="002E75FE" w:rsidRPr="00DB4F90" w:rsidRDefault="002E75FE" w:rsidP="00397050">
            <w:pPr>
              <w:pStyle w:val="DHHStablecolhead"/>
            </w:pPr>
            <w:r w:rsidRPr="00DB4F90">
              <w:t>Year</w:t>
            </w:r>
          </w:p>
        </w:tc>
        <w:tc>
          <w:tcPr>
            <w:tcW w:w="2449" w:type="dxa"/>
            <w:shd w:val="clear" w:color="auto" w:fill="EDCDCF"/>
            <w:vAlign w:val="center"/>
          </w:tcPr>
          <w:p w14:paraId="1869B6E9" w14:textId="34756A1A" w:rsidR="002E75FE" w:rsidRPr="00DB4F90" w:rsidRDefault="002E75FE" w:rsidP="00397050">
            <w:pPr>
              <w:pStyle w:val="DHHStablecolhead"/>
            </w:pPr>
            <w:r w:rsidRPr="00DB4F90">
              <w:t>201</w:t>
            </w:r>
            <w:r>
              <w:t>3</w:t>
            </w:r>
          </w:p>
        </w:tc>
        <w:tc>
          <w:tcPr>
            <w:tcW w:w="2704" w:type="dxa"/>
            <w:shd w:val="clear" w:color="auto" w:fill="EDCDCF"/>
            <w:vAlign w:val="center"/>
          </w:tcPr>
          <w:p w14:paraId="2A9AC843" w14:textId="77777777" w:rsidR="002E75FE" w:rsidRPr="00DB4F90" w:rsidRDefault="002E75FE" w:rsidP="00397050">
            <w:pPr>
              <w:pStyle w:val="DHHStablecolhead"/>
            </w:pPr>
          </w:p>
        </w:tc>
        <w:tc>
          <w:tcPr>
            <w:tcW w:w="2835" w:type="dxa"/>
            <w:shd w:val="clear" w:color="auto" w:fill="EDCDCF"/>
            <w:vAlign w:val="center"/>
          </w:tcPr>
          <w:p w14:paraId="0F016DFC" w14:textId="7984CB5B" w:rsidR="002E75FE" w:rsidRPr="00DB4F90" w:rsidRDefault="002E75FE" w:rsidP="00397050">
            <w:pPr>
              <w:pStyle w:val="DHHStablecolhead"/>
            </w:pPr>
            <w:r w:rsidRPr="00DB4F90">
              <w:t>201</w:t>
            </w:r>
            <w:r>
              <w:t>7</w:t>
            </w:r>
          </w:p>
        </w:tc>
      </w:tr>
      <w:tr w:rsidR="002E75FE" w:rsidRPr="0069114D" w14:paraId="1F1A9A92" w14:textId="77777777" w:rsidTr="00397050">
        <w:trPr>
          <w:trHeight w:val="297"/>
        </w:trPr>
        <w:tc>
          <w:tcPr>
            <w:tcW w:w="2634" w:type="dxa"/>
            <w:shd w:val="clear" w:color="auto" w:fill="auto"/>
            <w:vAlign w:val="center"/>
          </w:tcPr>
          <w:p w14:paraId="2602E10E" w14:textId="77777777" w:rsidR="002E75FE" w:rsidRPr="005E739D" w:rsidRDefault="002E75FE" w:rsidP="00397050">
            <w:pPr>
              <w:pStyle w:val="DHHStabletext"/>
            </w:pPr>
            <w:r>
              <w:t>Per cent (%)</w:t>
            </w:r>
          </w:p>
        </w:tc>
        <w:tc>
          <w:tcPr>
            <w:tcW w:w="2449" w:type="dxa"/>
            <w:shd w:val="clear" w:color="auto" w:fill="auto"/>
            <w:vAlign w:val="center"/>
          </w:tcPr>
          <w:p w14:paraId="5780A6C8" w14:textId="27348A55" w:rsidR="002E75FE" w:rsidRPr="0069114D" w:rsidRDefault="00DB6AD7" w:rsidP="00397050">
            <w:pPr>
              <w:pStyle w:val="DHHStabletext"/>
            </w:pPr>
            <w:r>
              <w:t>73</w:t>
            </w:r>
            <w:r w:rsidR="002E75FE" w:rsidRPr="0069114D">
              <w:t>.</w:t>
            </w:r>
            <w:r>
              <w:t>2</w:t>
            </w:r>
          </w:p>
        </w:tc>
        <w:tc>
          <w:tcPr>
            <w:tcW w:w="2704" w:type="dxa"/>
            <w:shd w:val="clear" w:color="auto" w:fill="auto"/>
            <w:vAlign w:val="center"/>
          </w:tcPr>
          <w:p w14:paraId="7D8B388B" w14:textId="77777777" w:rsidR="002E75FE" w:rsidRPr="0069114D" w:rsidRDefault="002E75FE" w:rsidP="00397050">
            <w:pPr>
              <w:pStyle w:val="DHHStabletext"/>
            </w:pPr>
          </w:p>
        </w:tc>
        <w:tc>
          <w:tcPr>
            <w:tcW w:w="2835" w:type="dxa"/>
            <w:shd w:val="clear" w:color="auto" w:fill="auto"/>
            <w:vAlign w:val="center"/>
          </w:tcPr>
          <w:p w14:paraId="6105304B" w14:textId="30F1E089" w:rsidR="002E75FE" w:rsidRPr="0069114D" w:rsidRDefault="00DB6AD7" w:rsidP="00397050">
            <w:pPr>
              <w:pStyle w:val="DHHStabletext"/>
            </w:pPr>
            <w:r>
              <w:t>76.7</w:t>
            </w:r>
          </w:p>
        </w:tc>
      </w:tr>
      <w:tr w:rsidR="002E75FE" w:rsidRPr="0069114D" w14:paraId="12EF200D" w14:textId="77777777" w:rsidTr="00397050">
        <w:trPr>
          <w:trHeight w:val="297"/>
        </w:trPr>
        <w:tc>
          <w:tcPr>
            <w:tcW w:w="2634" w:type="dxa"/>
            <w:shd w:val="clear" w:color="auto" w:fill="auto"/>
            <w:vAlign w:val="center"/>
          </w:tcPr>
          <w:p w14:paraId="5AA8870A" w14:textId="77777777" w:rsidR="002E75FE" w:rsidRDefault="002E75FE" w:rsidP="00397050">
            <w:pPr>
              <w:pStyle w:val="DHHStabletext"/>
            </w:pPr>
            <w:r>
              <w:t>95% CI</w:t>
            </w:r>
          </w:p>
        </w:tc>
        <w:tc>
          <w:tcPr>
            <w:tcW w:w="2449" w:type="dxa"/>
            <w:shd w:val="clear" w:color="auto" w:fill="auto"/>
            <w:vAlign w:val="center"/>
          </w:tcPr>
          <w:p w14:paraId="0E5166B9" w14:textId="54D8AFCE" w:rsidR="002E75FE" w:rsidRPr="0069114D" w:rsidRDefault="002E75FE" w:rsidP="00397050">
            <w:pPr>
              <w:pStyle w:val="DHHStabletext"/>
            </w:pPr>
            <w:r w:rsidRPr="0069114D">
              <w:t>(</w:t>
            </w:r>
            <w:r w:rsidR="00DB6AD7">
              <w:t>71</w:t>
            </w:r>
            <w:r w:rsidRPr="0069114D">
              <w:t>.</w:t>
            </w:r>
            <w:r w:rsidR="00DB6AD7">
              <w:t>7</w:t>
            </w:r>
            <w:r>
              <w:t>–</w:t>
            </w:r>
            <w:r w:rsidR="00DB6AD7">
              <w:t>74</w:t>
            </w:r>
            <w:r w:rsidRPr="0069114D">
              <w:t>.</w:t>
            </w:r>
            <w:r w:rsidR="00DB6AD7">
              <w:t>5</w:t>
            </w:r>
            <w:r w:rsidRPr="0069114D">
              <w:t>)</w:t>
            </w:r>
          </w:p>
        </w:tc>
        <w:tc>
          <w:tcPr>
            <w:tcW w:w="2704" w:type="dxa"/>
            <w:shd w:val="clear" w:color="auto" w:fill="auto"/>
            <w:vAlign w:val="center"/>
          </w:tcPr>
          <w:p w14:paraId="63DE83BF" w14:textId="77777777" w:rsidR="002E75FE" w:rsidRPr="0069114D" w:rsidRDefault="002E75FE" w:rsidP="00397050">
            <w:pPr>
              <w:pStyle w:val="DHHStabletext"/>
            </w:pPr>
          </w:p>
        </w:tc>
        <w:tc>
          <w:tcPr>
            <w:tcW w:w="2835" w:type="dxa"/>
            <w:shd w:val="clear" w:color="auto" w:fill="auto"/>
            <w:vAlign w:val="center"/>
          </w:tcPr>
          <w:p w14:paraId="6A712D98" w14:textId="2B7BEF82" w:rsidR="002E75FE" w:rsidRPr="0069114D" w:rsidRDefault="002E75FE" w:rsidP="00397050">
            <w:pPr>
              <w:pStyle w:val="DHHStabletext"/>
            </w:pPr>
            <w:r w:rsidRPr="0069114D">
              <w:t>(</w:t>
            </w:r>
            <w:r w:rsidR="00DB6AD7">
              <w:t>74</w:t>
            </w:r>
            <w:r>
              <w:t>.</w:t>
            </w:r>
            <w:r w:rsidR="00DB6AD7">
              <w:t>2</w:t>
            </w:r>
            <w:r>
              <w:t>–</w:t>
            </w:r>
            <w:r w:rsidR="00DB6AD7">
              <w:t>79</w:t>
            </w:r>
            <w:r w:rsidRPr="0069114D">
              <w:t>.</w:t>
            </w:r>
            <w:r w:rsidR="00DB6AD7">
              <w:t>0</w:t>
            </w:r>
            <w:r w:rsidRPr="0069114D">
              <w:t>)</w:t>
            </w:r>
          </w:p>
        </w:tc>
      </w:tr>
    </w:tbl>
    <w:p w14:paraId="71B829AA" w14:textId="77777777" w:rsidR="002E75FE" w:rsidRPr="002E75FE" w:rsidRDefault="002E75FE" w:rsidP="00AA147F">
      <w:pPr>
        <w:rPr>
          <w:rFonts w:ascii="Arial" w:hAnsi="Arial" w:cs="Arial"/>
        </w:rPr>
      </w:pPr>
    </w:p>
    <w:p w14:paraId="4DDF0D73" w14:textId="21AF324C" w:rsidR="001725EE" w:rsidRDefault="00FE5B83" w:rsidP="00FA1AAC">
      <w:pPr>
        <w:pStyle w:val="DHHStablefigurenote"/>
      </w:pPr>
      <w:r w:rsidRPr="00FE5B83">
        <w:t>Source: Victorian Child Heal</w:t>
      </w:r>
      <w:r w:rsidR="00AA147F">
        <w:t>th and Wellbeing Survey</w:t>
      </w:r>
      <w:r w:rsidR="00DB71B1">
        <w:t>s</w:t>
      </w:r>
      <w:r w:rsidR="006E23D9">
        <w:t>, 2013</w:t>
      </w:r>
      <w:r w:rsidR="00DB71B1">
        <w:t xml:space="preserve"> and 2017</w:t>
      </w:r>
    </w:p>
    <w:p w14:paraId="42E7498E" w14:textId="61F2AF78" w:rsidR="00B26527" w:rsidRPr="0091523F" w:rsidRDefault="001725EE" w:rsidP="00FA1AAC">
      <w:pPr>
        <w:pStyle w:val="DHHStablefigurenote"/>
      </w:pPr>
      <w:r w:rsidRPr="00D2344A">
        <w:t xml:space="preserve">Note: </w:t>
      </w:r>
      <w:r w:rsidR="00676EB9">
        <w:t>T</w:t>
      </w:r>
      <w:r w:rsidRPr="00D2344A">
        <w:t>he minimum recommended serves of fruit daily is</w:t>
      </w:r>
      <w:r w:rsidR="00755729">
        <w:t>:</w:t>
      </w:r>
      <w:r w:rsidRPr="00D2344A">
        <w:t xml:space="preserve"> </w:t>
      </w:r>
      <w:r w:rsidR="00D2344A" w:rsidRPr="00D2344A">
        <w:t>2</w:t>
      </w:r>
      <w:r w:rsidR="00CA2AD7">
        <w:t>–</w:t>
      </w:r>
      <w:r w:rsidR="00D2344A" w:rsidRPr="00D2344A">
        <w:t>3 years: 1 serve; 4</w:t>
      </w:r>
      <w:r w:rsidR="00CA2AD7">
        <w:t>–</w:t>
      </w:r>
      <w:r w:rsidR="00D2344A" w:rsidRPr="00D2344A">
        <w:t>8 years: 1</w:t>
      </w:r>
      <w:r w:rsidR="00D2344A" w:rsidRPr="00D2344A">
        <w:rPr>
          <w:color w:val="333333"/>
        </w:rPr>
        <w:t>½ serves; 9</w:t>
      </w:r>
      <w:r w:rsidR="00CA2AD7">
        <w:rPr>
          <w:color w:val="333333"/>
        </w:rPr>
        <w:t>–</w:t>
      </w:r>
      <w:r w:rsidR="00D2344A" w:rsidRPr="00D2344A">
        <w:rPr>
          <w:color w:val="333333"/>
        </w:rPr>
        <w:t>11 years 2 serves; 12</w:t>
      </w:r>
      <w:r w:rsidR="00CA2AD7">
        <w:rPr>
          <w:color w:val="333333"/>
        </w:rPr>
        <w:t>–</w:t>
      </w:r>
      <w:r w:rsidR="00D2344A" w:rsidRPr="00D2344A">
        <w:rPr>
          <w:color w:val="333333"/>
        </w:rPr>
        <w:t>13 years: 2 serves</w:t>
      </w:r>
      <w:r w:rsidR="006E23D9">
        <w:rPr>
          <w:color w:val="333333"/>
        </w:rPr>
        <w:t>.</w:t>
      </w:r>
    </w:p>
    <w:p w14:paraId="45512781" w14:textId="7F2BE634" w:rsidR="00B26527" w:rsidRDefault="00B26527" w:rsidP="0091523F">
      <w:pPr>
        <w:pStyle w:val="DHHSfigurecaption"/>
      </w:pPr>
      <w:bookmarkStart w:id="423" w:name="_Toc19008070"/>
      <w:bookmarkStart w:id="424" w:name="_Toc19008306"/>
      <w:bookmarkStart w:id="425" w:name="_Toc19008453"/>
      <w:bookmarkStart w:id="426" w:name="_Toc19008600"/>
      <w:bookmarkStart w:id="427" w:name="_Toc27414308"/>
      <w:r w:rsidRPr="00CE03E4">
        <w:lastRenderedPageBreak/>
        <w:t>Figure 7.</w:t>
      </w:r>
      <w:r w:rsidR="00CE03E4" w:rsidRPr="00CE03E4">
        <w:t>3.1</w:t>
      </w:r>
      <w:r w:rsidR="00CA2AD7">
        <w:t>:</w:t>
      </w:r>
      <w:r w:rsidR="00CE03E4" w:rsidRPr="00CE03E4">
        <w:t xml:space="preserve"> </w:t>
      </w:r>
      <w:r w:rsidRPr="00CE03E4">
        <w:t>Proportion of children</w:t>
      </w:r>
      <w:r w:rsidR="00507613">
        <w:t xml:space="preserve"> aged</w:t>
      </w:r>
      <w:r w:rsidRPr="00CE03E4">
        <w:t xml:space="preserve"> 4</w:t>
      </w:r>
      <w:r w:rsidR="00CA2AD7">
        <w:t>–</w:t>
      </w:r>
      <w:r w:rsidRPr="00CE03E4">
        <w:t>12 years who eat the daily recommended serves of fruit</w:t>
      </w:r>
      <w:r w:rsidR="00507613">
        <w:t>,</w:t>
      </w:r>
      <w:r w:rsidRPr="00CE03E4">
        <w:t xml:space="preserve"> by </w:t>
      </w:r>
      <w:r w:rsidR="0018518E">
        <w:t xml:space="preserve">gender, age, remoteness areas and </w:t>
      </w:r>
      <w:r w:rsidR="00DE7FFE" w:rsidRPr="00314A5E">
        <w:t>SES</w:t>
      </w:r>
      <w:r w:rsidR="00CC7253" w:rsidRPr="00CE03E4">
        <w:t>, 2013</w:t>
      </w:r>
      <w:r w:rsidR="00D20AEE">
        <w:t xml:space="preserve"> and 2017</w:t>
      </w:r>
      <w:bookmarkEnd w:id="423"/>
      <w:bookmarkEnd w:id="424"/>
      <w:bookmarkEnd w:id="425"/>
      <w:bookmarkEnd w:id="426"/>
      <w:bookmarkEnd w:id="427"/>
    </w:p>
    <w:p w14:paraId="0D270480" w14:textId="2A07606D" w:rsidR="00B26527" w:rsidRPr="00C53BE6" w:rsidRDefault="009F6F50" w:rsidP="00A3288A">
      <w:pPr>
        <w:pStyle w:val="DHHSbody"/>
      </w:pPr>
      <w:r>
        <w:rPr>
          <w:noProof/>
        </w:rPr>
        <w:drawing>
          <wp:inline distT="0" distB="0" distL="0" distR="0" wp14:anchorId="5CD62F6C" wp14:editId="56B1F4A9">
            <wp:extent cx="6748780" cy="4182110"/>
            <wp:effectExtent l="0" t="0" r="0" b="8890"/>
            <wp:docPr id="336" name="Picture 336" descr="This figure presents data by gender, age, remoteness and socioeconomic status under the Measure 7.3 - Proportion of children aged 4-12years who eat the daily recommended serves of fruit' for 2013 and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748780" cy="4182110"/>
                    </a:xfrm>
                    <a:prstGeom prst="rect">
                      <a:avLst/>
                    </a:prstGeom>
                    <a:noFill/>
                  </pic:spPr>
                </pic:pic>
              </a:graphicData>
            </a:graphic>
          </wp:inline>
        </w:drawing>
      </w:r>
    </w:p>
    <w:p w14:paraId="4276C3CA" w14:textId="1109D36D" w:rsidR="00CE03E4" w:rsidRDefault="00CC7253" w:rsidP="00FA1AAC">
      <w:pPr>
        <w:pStyle w:val="DHHStablefigurenote"/>
      </w:pPr>
      <w:r w:rsidRPr="00FE5B83">
        <w:t>Source: Victorian Child Heal</w:t>
      </w:r>
      <w:r>
        <w:t>th and Wellbeing Survey</w:t>
      </w:r>
      <w:r w:rsidR="00057AC2">
        <w:t>s</w:t>
      </w:r>
      <w:r w:rsidR="006E23D9">
        <w:t>, 2013</w:t>
      </w:r>
      <w:r w:rsidR="00057AC2">
        <w:t xml:space="preserve"> and 2017</w:t>
      </w:r>
    </w:p>
    <w:p w14:paraId="001F4A77" w14:textId="630E9BAA" w:rsidR="00950E44" w:rsidRDefault="00950E44" w:rsidP="00E060C8">
      <w:pPr>
        <w:pStyle w:val="Heading4"/>
        <w:spacing w:before="0" w:line="270" w:lineRule="atLeast"/>
        <w:rPr>
          <w:lang w:eastAsia="en-AU"/>
        </w:rPr>
      </w:pPr>
      <w:r>
        <w:rPr>
          <w:lang w:eastAsia="en-AU"/>
        </w:rPr>
        <w:t>Measure assessment</w:t>
      </w:r>
    </w:p>
    <w:p w14:paraId="1669F945" w14:textId="0DC61A1D" w:rsidR="00320DEB" w:rsidRPr="009E55C1" w:rsidRDefault="00950E44" w:rsidP="00E060C8">
      <w:pPr>
        <w:autoSpaceDE w:val="0"/>
        <w:autoSpaceDN w:val="0"/>
        <w:adjustRightInd w:val="0"/>
        <w:spacing w:after="120" w:line="270" w:lineRule="atLeast"/>
        <w:rPr>
          <w:rFonts w:ascii="Arial" w:hAnsi="Arial" w:cs="Arial"/>
        </w:rPr>
      </w:pPr>
      <w:r w:rsidRPr="009F01B1">
        <w:rPr>
          <w:rFonts w:ascii="Arial" w:hAnsi="Arial" w:cs="Arial"/>
        </w:rPr>
        <w:t>Traffic light rating:</w:t>
      </w:r>
      <w:r w:rsidR="00E14901">
        <w:rPr>
          <w:rFonts w:ascii="Arial" w:hAnsi="Arial" w:cs="Arial"/>
        </w:rPr>
        <w:t xml:space="preserve"> </w:t>
      </w:r>
      <w:r w:rsidR="009E55C1" w:rsidRPr="00061321">
        <w:rPr>
          <w:rFonts w:ascii="Arial" w:hAnsi="Arial" w:cs="Arial"/>
          <w:b/>
          <w:color w:val="007B4B"/>
        </w:rPr>
        <w:t>Green</w:t>
      </w:r>
      <w:r w:rsidR="009E55C1">
        <w:rPr>
          <w:rFonts w:ascii="Arial" w:hAnsi="Arial" w:cs="Arial"/>
          <w:color w:val="007B4B"/>
        </w:rPr>
        <w:t xml:space="preserve"> (satisfactory result)</w:t>
      </w:r>
    </w:p>
    <w:p w14:paraId="0EF90C0D" w14:textId="51BABAD3" w:rsidR="00950E44" w:rsidRDefault="00950E44" w:rsidP="00E060C8">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9E55C1">
        <w:rPr>
          <w:rFonts w:ascii="Arial" w:hAnsi="Arial" w:cs="Arial"/>
        </w:rPr>
        <w:t xml:space="preserve">Moving in the right </w:t>
      </w:r>
      <w:r w:rsidR="002139F1">
        <w:rPr>
          <w:rFonts w:ascii="Arial" w:hAnsi="Arial" w:cs="Arial"/>
        </w:rPr>
        <w:t>direction</w:t>
      </w:r>
    </w:p>
    <w:p w14:paraId="197C2C04" w14:textId="0E1CAD76" w:rsidR="00B10D50" w:rsidRDefault="00950E44" w:rsidP="00E060C8">
      <w:pPr>
        <w:pStyle w:val="DHHSbody"/>
      </w:pPr>
      <w:r w:rsidRPr="00F829F0">
        <w:rPr>
          <w:rFonts w:cs="Arial"/>
        </w:rPr>
        <w:t>Commentary</w:t>
      </w:r>
      <w:r w:rsidR="00B77CF7">
        <w:rPr>
          <w:rFonts w:cs="Arial"/>
        </w:rPr>
        <w:t>:</w:t>
      </w:r>
      <w:r w:rsidR="00944AD7">
        <w:rPr>
          <w:rFonts w:cs="Arial"/>
        </w:rPr>
        <w:t xml:space="preserve"> </w:t>
      </w:r>
      <w:r w:rsidR="002900A0">
        <w:rPr>
          <w:rFonts w:cs="Arial"/>
        </w:rPr>
        <w:t>Data from t</w:t>
      </w:r>
      <w:r w:rsidR="00944AD7">
        <w:rPr>
          <w:rFonts w:cs="Arial"/>
        </w:rPr>
        <w:t>he 2013</w:t>
      </w:r>
      <w:r w:rsidR="00AB051D">
        <w:rPr>
          <w:rFonts w:cs="Arial"/>
        </w:rPr>
        <w:t xml:space="preserve"> and</w:t>
      </w:r>
      <w:r w:rsidR="00944AD7">
        <w:rPr>
          <w:rFonts w:cs="Arial"/>
        </w:rPr>
        <w:t xml:space="preserve"> </w:t>
      </w:r>
      <w:r w:rsidR="00545F73">
        <w:rPr>
          <w:rFonts w:cs="Arial"/>
        </w:rPr>
        <w:t xml:space="preserve">2017 </w:t>
      </w:r>
      <w:r w:rsidR="00944AD7">
        <w:rPr>
          <w:rFonts w:cs="Arial"/>
        </w:rPr>
        <w:t>Victorian Child Health and Wellbeing Survey</w:t>
      </w:r>
      <w:r w:rsidR="00AB051D">
        <w:rPr>
          <w:rFonts w:cs="Arial"/>
        </w:rPr>
        <w:t>s</w:t>
      </w:r>
      <w:r w:rsidR="00944AD7">
        <w:rPr>
          <w:rFonts w:cs="Arial"/>
        </w:rPr>
        <w:t xml:space="preserve"> show that</w:t>
      </w:r>
      <w:r w:rsidR="006E23D9">
        <w:rPr>
          <w:rFonts w:cs="Arial"/>
        </w:rPr>
        <w:t>,</w:t>
      </w:r>
      <w:r w:rsidR="00944AD7">
        <w:rPr>
          <w:rFonts w:cs="Arial"/>
        </w:rPr>
        <w:t xml:space="preserve"> among Victorian children aged between </w:t>
      </w:r>
      <w:r w:rsidR="00CA2AD7">
        <w:rPr>
          <w:rFonts w:cs="Arial"/>
        </w:rPr>
        <w:t>four</w:t>
      </w:r>
      <w:r w:rsidR="00944AD7">
        <w:rPr>
          <w:rFonts w:cs="Arial"/>
        </w:rPr>
        <w:t xml:space="preserve"> and 12 years, </w:t>
      </w:r>
      <w:r w:rsidR="00545F73">
        <w:rPr>
          <w:rFonts w:cs="Arial"/>
        </w:rPr>
        <w:t xml:space="preserve">over 70 per cent </w:t>
      </w:r>
      <w:r w:rsidR="00B71A96">
        <w:rPr>
          <w:rFonts w:cs="Arial"/>
        </w:rPr>
        <w:t>(Figure 7.3</w:t>
      </w:r>
      <w:r w:rsidR="00545F73">
        <w:rPr>
          <w:rFonts w:cs="Arial"/>
        </w:rPr>
        <w:t xml:space="preserve"> and Table 7.3</w:t>
      </w:r>
      <w:r w:rsidR="00B71A96">
        <w:rPr>
          <w:rFonts w:cs="Arial"/>
        </w:rPr>
        <w:t xml:space="preserve">) </w:t>
      </w:r>
      <w:r w:rsidR="00944AD7">
        <w:rPr>
          <w:rFonts w:cs="Arial"/>
        </w:rPr>
        <w:t xml:space="preserve">met the </w:t>
      </w:r>
      <w:r w:rsidR="009F6D45">
        <w:rPr>
          <w:rFonts w:cs="Arial"/>
        </w:rPr>
        <w:t>recommended daily intake</w:t>
      </w:r>
      <w:r w:rsidR="00A77FBA">
        <w:rPr>
          <w:rFonts w:cs="Arial"/>
        </w:rPr>
        <w:t xml:space="preserve"> for servings of fruit in accordance with the </w:t>
      </w:r>
      <w:r w:rsidR="00944AD7" w:rsidRPr="008B7095">
        <w:t xml:space="preserve">2013 Australian </w:t>
      </w:r>
      <w:r w:rsidR="0022026C">
        <w:t>d</w:t>
      </w:r>
      <w:r w:rsidR="00944AD7" w:rsidRPr="008B7095">
        <w:t xml:space="preserve">ietary </w:t>
      </w:r>
      <w:r w:rsidR="0022026C">
        <w:t>g</w:t>
      </w:r>
      <w:r w:rsidR="00944AD7" w:rsidRPr="008B7095">
        <w:t>uidelines</w:t>
      </w:r>
      <w:r w:rsidR="00A77FBA">
        <w:t>.</w:t>
      </w:r>
      <w:r w:rsidR="00952FC7">
        <w:t xml:space="preserve"> </w:t>
      </w:r>
      <w:r w:rsidR="0091516B">
        <w:t xml:space="preserve">Both surveys showed </w:t>
      </w:r>
      <w:r w:rsidR="00A77FBA">
        <w:t>a marked difference in consumption by age</w:t>
      </w:r>
      <w:r w:rsidR="006E23D9">
        <w:t>,</w:t>
      </w:r>
      <w:r w:rsidR="00A77FBA">
        <w:t xml:space="preserve"> with </w:t>
      </w:r>
      <w:r w:rsidR="0091516B">
        <w:t xml:space="preserve">more recently in 2017 </w:t>
      </w:r>
      <w:r w:rsidR="00A77FBA">
        <w:t xml:space="preserve">only </w:t>
      </w:r>
      <w:r w:rsidR="0091516B">
        <w:t>70</w:t>
      </w:r>
      <w:r w:rsidR="00A77FBA">
        <w:t>.</w:t>
      </w:r>
      <w:r w:rsidR="0091516B">
        <w:t>7</w:t>
      </w:r>
      <w:r w:rsidR="00A77FBA">
        <w:t xml:space="preserve"> per cent of </w:t>
      </w:r>
      <w:r w:rsidR="00003F72">
        <w:t>9</w:t>
      </w:r>
      <w:r w:rsidR="00CA2AD7">
        <w:t>–</w:t>
      </w:r>
      <w:r w:rsidR="00003F72">
        <w:t>12</w:t>
      </w:r>
      <w:r w:rsidR="00D24CD5">
        <w:t>-year-olds</w:t>
      </w:r>
      <w:r w:rsidR="00A77FBA">
        <w:t xml:space="preserve"> meeting this target compared with </w:t>
      </w:r>
      <w:r w:rsidR="0091516B">
        <w:t>81</w:t>
      </w:r>
      <w:r w:rsidR="00A77FBA">
        <w:t>.</w:t>
      </w:r>
      <w:r w:rsidR="0091516B">
        <w:t>3</w:t>
      </w:r>
      <w:r w:rsidR="00A77FBA">
        <w:t xml:space="preserve"> per cent in the youn</w:t>
      </w:r>
      <w:r w:rsidR="00B71A96">
        <w:t>ger age cohort (aged 4</w:t>
      </w:r>
      <w:r w:rsidR="00CA2AD7">
        <w:t>–</w:t>
      </w:r>
      <w:r w:rsidR="00B71A96">
        <w:t xml:space="preserve">8 years) (Figure 7.3.1). </w:t>
      </w:r>
      <w:r w:rsidR="0091516B">
        <w:t>Figure 7.3.1 also shows that t</w:t>
      </w:r>
      <w:r w:rsidR="00B71A96">
        <w:t xml:space="preserve">here was </w:t>
      </w:r>
      <w:r w:rsidR="0091516B">
        <w:t xml:space="preserve">little variation between the </w:t>
      </w:r>
      <w:r w:rsidR="00B71A96">
        <w:t xml:space="preserve">proportion of children </w:t>
      </w:r>
      <w:r w:rsidR="006E23D9">
        <w:t xml:space="preserve">aged four to </w:t>
      </w:r>
      <w:r w:rsidR="00B71A96">
        <w:t xml:space="preserve">12 years living in regional areas compared </w:t>
      </w:r>
      <w:r w:rsidR="001B50BF">
        <w:t xml:space="preserve">with </w:t>
      </w:r>
      <w:r w:rsidR="00B71A96">
        <w:t>metropolitan areas who were consuming the daily recommended serves of fruit. However</w:t>
      </w:r>
      <w:r w:rsidR="0052153B">
        <w:t>,</w:t>
      </w:r>
      <w:r w:rsidR="00B71A96">
        <w:t xml:space="preserve"> there was an increasing gradient </w:t>
      </w:r>
      <w:r w:rsidR="0091516B">
        <w:t xml:space="preserve">between </w:t>
      </w:r>
      <w:r w:rsidR="00CA2AD7">
        <w:t>SES</w:t>
      </w:r>
      <w:r w:rsidR="00B71A96">
        <w:t xml:space="preserve"> and daily recommended serves of fruit</w:t>
      </w:r>
      <w:r w:rsidR="0091516B">
        <w:t xml:space="preserve"> between 2013 and 2017</w:t>
      </w:r>
      <w:r w:rsidR="006E23D9">
        <w:t>,</w:t>
      </w:r>
      <w:r w:rsidR="00B71A96">
        <w:t xml:space="preserve"> with children </w:t>
      </w:r>
      <w:r w:rsidR="006E23D9">
        <w:t xml:space="preserve">aged four to </w:t>
      </w:r>
      <w:r w:rsidR="00B71A96">
        <w:t xml:space="preserve">12 years living in least disadvantaged quintiles (Q5) </w:t>
      </w:r>
      <w:r w:rsidR="0091516B">
        <w:t xml:space="preserve">more recently </w:t>
      </w:r>
      <w:r w:rsidR="00A113D1">
        <w:t>consuming</w:t>
      </w:r>
      <w:r w:rsidR="00B71A96">
        <w:t xml:space="preserve"> a higher proportion</w:t>
      </w:r>
      <w:r w:rsidR="004D1E9D">
        <w:t xml:space="preserve"> of fruit</w:t>
      </w:r>
      <w:r w:rsidR="00B71A96">
        <w:t xml:space="preserve"> (7</w:t>
      </w:r>
      <w:r w:rsidR="004D1E9D">
        <w:t>8</w:t>
      </w:r>
      <w:r w:rsidR="00B71A96">
        <w:t xml:space="preserve"> per cent compared </w:t>
      </w:r>
      <w:r w:rsidR="001B50BF">
        <w:t xml:space="preserve">with </w:t>
      </w:r>
      <w:r w:rsidR="00B71A96">
        <w:t>7</w:t>
      </w:r>
      <w:r w:rsidR="004D1E9D">
        <w:t>2</w:t>
      </w:r>
      <w:r w:rsidR="00B71A96">
        <w:t>.</w:t>
      </w:r>
      <w:r w:rsidR="004D1E9D">
        <w:t>6</w:t>
      </w:r>
      <w:r w:rsidR="00B71A96">
        <w:t xml:space="preserve"> per cent (Q1)</w:t>
      </w:r>
      <w:r w:rsidR="006E23D9">
        <w:t>)</w:t>
      </w:r>
      <w:r w:rsidR="00B71A96">
        <w:t>.</w:t>
      </w:r>
    </w:p>
    <w:p w14:paraId="643E3678" w14:textId="77777777" w:rsidR="009B17F6" w:rsidRDefault="00E14901" w:rsidP="001A2A05">
      <w:pPr>
        <w:pStyle w:val="DHHSbody"/>
        <w:rPr>
          <w:rFonts w:cs="Arial"/>
          <w:lang w:eastAsia="en-AU"/>
        </w:rPr>
      </w:pPr>
      <w:r>
        <w:rPr>
          <w:rFonts w:cs="Arial"/>
          <w:lang w:eastAsia="en-AU"/>
        </w:rPr>
        <w:t xml:space="preserve">Although no trend is available for this age group, that </w:t>
      </w:r>
      <w:r w:rsidR="009E55C1">
        <w:rPr>
          <w:rFonts w:cs="Arial"/>
          <w:lang w:eastAsia="en-AU"/>
        </w:rPr>
        <w:t xml:space="preserve">in 2017 </w:t>
      </w:r>
      <w:r>
        <w:rPr>
          <w:rFonts w:cs="Arial"/>
          <w:lang w:eastAsia="en-AU"/>
        </w:rPr>
        <w:t>over 7</w:t>
      </w:r>
      <w:r w:rsidR="009E55C1">
        <w:rPr>
          <w:rFonts w:cs="Arial"/>
          <w:lang w:eastAsia="en-AU"/>
        </w:rPr>
        <w:t>6</w:t>
      </w:r>
      <w:r>
        <w:rPr>
          <w:rFonts w:cs="Arial"/>
          <w:lang w:eastAsia="en-AU"/>
        </w:rPr>
        <w:t xml:space="preserve"> per cent of children </w:t>
      </w:r>
      <w:r w:rsidR="006E23D9">
        <w:rPr>
          <w:rFonts w:cs="Arial"/>
          <w:lang w:eastAsia="en-AU"/>
        </w:rPr>
        <w:t xml:space="preserve">aged between </w:t>
      </w:r>
      <w:r w:rsidR="00D742D0">
        <w:rPr>
          <w:rFonts w:cs="Arial"/>
          <w:lang w:eastAsia="en-AU"/>
        </w:rPr>
        <w:t>four- and 12-years</w:t>
      </w:r>
      <w:r>
        <w:rPr>
          <w:rFonts w:cs="Arial"/>
          <w:lang w:eastAsia="en-AU"/>
        </w:rPr>
        <w:t xml:space="preserve"> </w:t>
      </w:r>
      <w:r w:rsidRPr="008B7095">
        <w:rPr>
          <w:rFonts w:cs="Arial"/>
          <w:lang w:val="en"/>
        </w:rPr>
        <w:t xml:space="preserve">met the </w:t>
      </w:r>
      <w:r>
        <w:rPr>
          <w:rFonts w:cs="Arial"/>
          <w:lang w:val="en"/>
        </w:rPr>
        <w:t xml:space="preserve">national </w:t>
      </w:r>
      <w:r w:rsidRPr="008B7095">
        <w:rPr>
          <w:rFonts w:cs="Arial"/>
          <w:lang w:val="en"/>
        </w:rPr>
        <w:t>dietary guideline for daily fruit intake</w:t>
      </w:r>
      <w:r w:rsidR="00B71A96">
        <w:rPr>
          <w:rFonts w:cs="Arial"/>
          <w:lang w:eastAsia="en-AU"/>
        </w:rPr>
        <w:t xml:space="preserve"> </w:t>
      </w:r>
      <w:r>
        <w:rPr>
          <w:rFonts w:cs="Arial"/>
          <w:lang w:eastAsia="en-AU"/>
        </w:rPr>
        <w:t xml:space="preserve">is </w:t>
      </w:r>
      <w:r w:rsidR="00A77FBA">
        <w:rPr>
          <w:rFonts w:cs="Arial"/>
          <w:lang w:eastAsia="en-AU"/>
        </w:rPr>
        <w:t>encouraging</w:t>
      </w:r>
      <w:r w:rsidR="002B0CEB">
        <w:rPr>
          <w:rFonts w:cs="Arial"/>
          <w:lang w:eastAsia="en-AU"/>
        </w:rPr>
        <w:t>.</w:t>
      </w:r>
    </w:p>
    <w:p w14:paraId="789EF8B9" w14:textId="77777777" w:rsidR="009B17F6" w:rsidRDefault="009B17F6">
      <w:pPr>
        <w:rPr>
          <w:rFonts w:ascii="Arial" w:eastAsia="Times" w:hAnsi="Arial" w:cs="Arial"/>
        </w:rPr>
      </w:pPr>
      <w:r>
        <w:rPr>
          <w:rFonts w:cs="Arial"/>
        </w:rPr>
        <w:br w:type="page"/>
      </w:r>
    </w:p>
    <w:p w14:paraId="2F125478" w14:textId="41BC874A" w:rsidR="00784A70" w:rsidRPr="009B17F6" w:rsidRDefault="00784A70" w:rsidP="009B17F6">
      <w:pPr>
        <w:pStyle w:val="Heading3"/>
        <w:rPr>
          <w:rStyle w:val="Heading3Char"/>
          <w:b/>
          <w:bCs/>
        </w:rPr>
      </w:pPr>
      <w:bookmarkStart w:id="428" w:name="_Measure_7.4_–"/>
      <w:bookmarkEnd w:id="428"/>
      <w:r w:rsidRPr="009B17F6">
        <w:rPr>
          <w:rStyle w:val="Heading3Char"/>
          <w:b/>
          <w:bCs/>
        </w:rPr>
        <w:lastRenderedPageBreak/>
        <w:t>Measure 7.4 –</w:t>
      </w:r>
      <w:r w:rsidR="00782252" w:rsidRPr="009B17F6">
        <w:rPr>
          <w:rStyle w:val="Heading3Char"/>
          <w:b/>
          <w:bCs/>
        </w:rPr>
        <w:t xml:space="preserve"> Mean daily serves of vegetables in adults</w:t>
      </w:r>
    </w:p>
    <w:p w14:paraId="6D3F4786" w14:textId="0FD91F65" w:rsidR="00275DB3" w:rsidRDefault="00275DB3" w:rsidP="0091523F">
      <w:pPr>
        <w:pStyle w:val="DHHSfigurecaption"/>
        <w:rPr>
          <w:noProof/>
        </w:rPr>
      </w:pPr>
      <w:bookmarkStart w:id="429" w:name="_Toc19008071"/>
      <w:bookmarkStart w:id="430" w:name="_Toc19008307"/>
      <w:bookmarkStart w:id="431" w:name="_Toc19008454"/>
      <w:bookmarkStart w:id="432" w:name="_Toc19008601"/>
      <w:bookmarkStart w:id="433" w:name="_Toc27414309"/>
      <w:r w:rsidRPr="0079105B">
        <w:t>Figure 7.4</w:t>
      </w:r>
      <w:r w:rsidR="00CA2AD7">
        <w:t>:</w:t>
      </w:r>
      <w:r w:rsidR="0079105B">
        <w:t xml:space="preserve"> Daily vegetable consumption among OECD adults, 2015 (or nearest year)</w:t>
      </w:r>
      <w:r w:rsidR="0079105B">
        <w:rPr>
          <w:rStyle w:val="FootnoteReference"/>
          <w:lang w:eastAsia="en-AU"/>
        </w:rPr>
        <w:footnoteReference w:id="73"/>
      </w:r>
      <w:bookmarkEnd w:id="429"/>
      <w:bookmarkEnd w:id="430"/>
      <w:bookmarkEnd w:id="431"/>
      <w:bookmarkEnd w:id="432"/>
      <w:bookmarkEnd w:id="433"/>
    </w:p>
    <w:p w14:paraId="30A49867" w14:textId="527D55C4" w:rsidR="00C6049D" w:rsidRPr="00C6049D" w:rsidRDefault="009F6F50" w:rsidP="00673658">
      <w:pPr>
        <w:pStyle w:val="DHHSbody"/>
      </w:pPr>
      <w:r>
        <w:rPr>
          <w:noProof/>
        </w:rPr>
        <w:drawing>
          <wp:inline distT="0" distB="0" distL="0" distR="0" wp14:anchorId="0CA18819" wp14:editId="36C5D0D5">
            <wp:extent cx="6760845" cy="2731135"/>
            <wp:effectExtent l="0" t="0" r="1905" b="0"/>
            <wp:docPr id="337" name="Picture 337" descr="This figure sits under the section 'Measure 7.4 - Mean daily serves of vegetables in adults' and shows the proportion of adult population (15 years and over) of OECD countries who consume at least one vegetable per day by gender for 2015.  The data is available from the OECD website: https://doi.org/10.1787/health_glance-2017-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60845" cy="2731135"/>
                    </a:xfrm>
                    <a:prstGeom prst="rect">
                      <a:avLst/>
                    </a:prstGeom>
                    <a:noFill/>
                  </pic:spPr>
                </pic:pic>
              </a:graphicData>
            </a:graphic>
          </wp:inline>
        </w:drawing>
      </w:r>
    </w:p>
    <w:p w14:paraId="561F549A" w14:textId="2BF83B2C" w:rsidR="0022084E" w:rsidRDefault="0022084E" w:rsidP="00FA1AAC">
      <w:pPr>
        <w:pStyle w:val="DHHStablefigurenote"/>
      </w:pPr>
      <w:r w:rsidRPr="00916EB0">
        <w:t>Source: OECD Health Statistics</w:t>
      </w:r>
      <w:r w:rsidR="006E23D9">
        <w:t>,</w:t>
      </w:r>
      <w:r>
        <w:t xml:space="preserve"> 2017</w:t>
      </w:r>
    </w:p>
    <w:p w14:paraId="6D02E039" w14:textId="59C2EADF" w:rsidR="00BB646C" w:rsidRPr="00BB646C" w:rsidRDefault="00BB646C" w:rsidP="00FA1AAC">
      <w:pPr>
        <w:pStyle w:val="DHHStablefigurenote"/>
      </w:pPr>
      <w:r w:rsidRPr="00BB646C">
        <w:t>Note: Data for Australia, Korea and New Zealand are derived from quantity-type questions. Data for the United States include juice made from concentrate</w:t>
      </w:r>
      <w:r>
        <w:t xml:space="preserve">: OCED 34 = the average of 34 OECD countries; Australia is highlighted in </w:t>
      </w:r>
      <w:r w:rsidRPr="00C27FA7">
        <w:rPr>
          <w:color w:val="AF272F" w:themeColor="accent1"/>
        </w:rPr>
        <w:t>red</w:t>
      </w:r>
    </w:p>
    <w:p w14:paraId="016B84EB" w14:textId="0C0DFE20" w:rsidR="00F0519E" w:rsidRDefault="00F0519E" w:rsidP="0091523F">
      <w:pPr>
        <w:pStyle w:val="DHHSfigurecaption"/>
      </w:pPr>
      <w:bookmarkStart w:id="434" w:name="_Toc19008072"/>
      <w:bookmarkStart w:id="435" w:name="_Toc19008308"/>
      <w:bookmarkStart w:id="436" w:name="_Toc19008455"/>
      <w:bookmarkStart w:id="437" w:name="_Toc19008602"/>
      <w:bookmarkStart w:id="438" w:name="_Toc27414310"/>
      <w:r>
        <w:t>Figure 7.4.1</w:t>
      </w:r>
      <w:r w:rsidR="00CA2AD7">
        <w:t>:</w:t>
      </w:r>
      <w:r>
        <w:t xml:space="preserve"> Average daily vegetable intake for adults aged 18 years </w:t>
      </w:r>
      <w:r w:rsidR="00CA2AD7">
        <w:t>or older</w:t>
      </w:r>
      <w:r>
        <w:t>, 2014</w:t>
      </w:r>
      <w:r w:rsidR="00CA2AD7">
        <w:t>–</w:t>
      </w:r>
      <w:r>
        <w:t>15</w:t>
      </w:r>
      <w:bookmarkEnd w:id="434"/>
      <w:bookmarkEnd w:id="435"/>
      <w:bookmarkEnd w:id="436"/>
      <w:bookmarkEnd w:id="437"/>
      <w:bookmarkEnd w:id="438"/>
    </w:p>
    <w:p w14:paraId="0FDACFE5" w14:textId="198C6349" w:rsidR="00C656A9" w:rsidRPr="00C656A9" w:rsidRDefault="00C656A9" w:rsidP="00C656A9">
      <w:pPr>
        <w:pStyle w:val="DHHSbody"/>
      </w:pPr>
      <w:r>
        <w:rPr>
          <w:noProof/>
        </w:rPr>
        <w:drawing>
          <wp:inline distT="0" distB="0" distL="0" distR="0" wp14:anchorId="39C9A051" wp14:editId="4358EFC6">
            <wp:extent cx="6389783" cy="3720080"/>
            <wp:effectExtent l="0" t="0" r="0" b="0"/>
            <wp:docPr id="196" name="Picture 196" descr="This figure shows that Australian daily average vegetable intake for adults aged 18 years or older by sex for 2014 t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408328" cy="3730877"/>
                    </a:xfrm>
                    <a:prstGeom prst="rect">
                      <a:avLst/>
                    </a:prstGeom>
                  </pic:spPr>
                </pic:pic>
              </a:graphicData>
            </a:graphic>
          </wp:inline>
        </w:drawing>
      </w:r>
    </w:p>
    <w:p w14:paraId="24EC5937" w14:textId="72D54669" w:rsidR="008D37D4" w:rsidRPr="008D37D4" w:rsidRDefault="008D37D4" w:rsidP="00660649">
      <w:pPr>
        <w:pStyle w:val="DHHStablefigurenote"/>
        <w:rPr>
          <w:rFonts w:cs="Arial"/>
          <w:lang w:eastAsia="en-AU"/>
        </w:rPr>
      </w:pPr>
      <w:r w:rsidRPr="008D37D4">
        <w:rPr>
          <w:rFonts w:cs="Arial"/>
          <w:lang w:eastAsia="en-AU"/>
        </w:rPr>
        <w:t xml:space="preserve">Source: </w:t>
      </w:r>
      <w:r w:rsidR="00781191">
        <w:t>ABS</w:t>
      </w:r>
      <w:r w:rsidRPr="008D37D4">
        <w:t xml:space="preserve"> 2015. 4364.0.55.001 National Health Survey: First </w:t>
      </w:r>
      <w:r w:rsidR="0022026C">
        <w:t>r</w:t>
      </w:r>
      <w:r w:rsidRPr="008D37D4">
        <w:t>esults 2014</w:t>
      </w:r>
      <w:r w:rsidR="00690CD3">
        <w:t>–1</w:t>
      </w:r>
      <w:r w:rsidRPr="008D37D4">
        <w:t>5, Australia, Australian Government, Canberra</w:t>
      </w:r>
    </w:p>
    <w:p w14:paraId="0A43891D" w14:textId="4B2C01A0" w:rsidR="00BD19A0" w:rsidRDefault="008D37D4" w:rsidP="00660649">
      <w:pPr>
        <w:pStyle w:val="DHHStablefigurenote"/>
        <w:rPr>
          <w:rFonts w:cs="Arial"/>
          <w:lang w:eastAsia="en-AU"/>
        </w:rPr>
      </w:pPr>
      <w:r w:rsidRPr="008D37D4">
        <w:rPr>
          <w:rFonts w:cs="Arial"/>
          <w:lang w:eastAsia="en-AU"/>
        </w:rPr>
        <w:t>Note:</w:t>
      </w:r>
      <w:r w:rsidR="00952FC7">
        <w:rPr>
          <w:rFonts w:cs="Arial"/>
          <w:lang w:eastAsia="en-AU"/>
        </w:rPr>
        <w:t xml:space="preserve"> </w:t>
      </w:r>
      <w:r w:rsidRPr="008D37D4">
        <w:rPr>
          <w:rFonts w:cs="Arial"/>
          <w:lang w:eastAsia="en-AU"/>
        </w:rPr>
        <w:t xml:space="preserve">Data </w:t>
      </w:r>
      <w:r>
        <w:rPr>
          <w:rFonts w:cs="Arial"/>
          <w:lang w:eastAsia="en-AU"/>
        </w:rPr>
        <w:t>n</w:t>
      </w:r>
      <w:r w:rsidRPr="008D37D4">
        <w:rPr>
          <w:rFonts w:cs="Arial"/>
          <w:lang w:eastAsia="en-AU"/>
        </w:rPr>
        <w:t>ot age-standardised</w:t>
      </w:r>
      <w:r w:rsidR="00E04FE2">
        <w:rPr>
          <w:rFonts w:cs="Arial"/>
          <w:lang w:eastAsia="en-AU"/>
        </w:rPr>
        <w:t>.</w:t>
      </w:r>
      <w:r w:rsidR="00BD19A0">
        <w:rPr>
          <w:rFonts w:cs="Arial"/>
          <w:lang w:eastAsia="en-AU"/>
        </w:rPr>
        <w:br w:type="page"/>
      </w:r>
    </w:p>
    <w:p w14:paraId="6F01B4C7" w14:textId="0AC6F97F" w:rsidR="00C42E4E" w:rsidRPr="00562BDC" w:rsidRDefault="00C42E4E" w:rsidP="0091523F">
      <w:pPr>
        <w:pStyle w:val="DHHSfigurecaption"/>
      </w:pPr>
      <w:bookmarkStart w:id="439" w:name="_Toc19008073"/>
      <w:bookmarkStart w:id="440" w:name="_Toc19008309"/>
      <w:bookmarkStart w:id="441" w:name="_Toc19008456"/>
      <w:bookmarkStart w:id="442" w:name="_Toc19008603"/>
      <w:bookmarkStart w:id="443" w:name="_Toc27414311"/>
      <w:r w:rsidRPr="00562BDC">
        <w:lastRenderedPageBreak/>
        <w:t>Figure 7.4.</w:t>
      </w:r>
      <w:r w:rsidR="00F0519E">
        <w:t>2</w:t>
      </w:r>
      <w:r w:rsidR="00CA2AD7">
        <w:t>:</w:t>
      </w:r>
      <w:r w:rsidRPr="00562BDC">
        <w:t xml:space="preserve"> Mean daily </w:t>
      </w:r>
      <w:r w:rsidR="00070496" w:rsidRPr="00562BDC">
        <w:t>serves of vegetables in Victorian adults</w:t>
      </w:r>
      <w:r w:rsidR="00D24CD5">
        <w:t>,</w:t>
      </w:r>
      <w:r w:rsidR="00070496" w:rsidRPr="00562BDC">
        <w:t xml:space="preserve"> by year, 2011</w:t>
      </w:r>
      <w:r w:rsidR="00CA2AD7">
        <w:t>–</w:t>
      </w:r>
      <w:r w:rsidR="00070496" w:rsidRPr="00562BDC">
        <w:t>2016</w:t>
      </w:r>
      <w:bookmarkEnd w:id="439"/>
      <w:bookmarkEnd w:id="440"/>
      <w:bookmarkEnd w:id="441"/>
      <w:bookmarkEnd w:id="442"/>
      <w:bookmarkEnd w:id="443"/>
    </w:p>
    <w:p w14:paraId="0AFD8E7C" w14:textId="57F978D8" w:rsidR="0013151C" w:rsidRDefault="009F6F50" w:rsidP="00254188">
      <w:pPr>
        <w:pStyle w:val="DHHSbody"/>
        <w:rPr>
          <w:noProof/>
          <w:lang w:eastAsia="en-AU"/>
        </w:rPr>
      </w:pPr>
      <w:r>
        <w:rPr>
          <w:noProof/>
          <w:lang w:eastAsia="en-AU"/>
        </w:rPr>
        <w:drawing>
          <wp:inline distT="0" distB="0" distL="0" distR="0" wp14:anchorId="640BCCA0" wp14:editId="67B55628">
            <wp:extent cx="6743065" cy="2603500"/>
            <wp:effectExtent l="0" t="0" r="635" b="6350"/>
            <wp:docPr id="338" name="Picture 338" descr="This figure presents data under the 'Measure 7.4 - Mean daily serves of vegetables in adults'. It shows  the mean daily serves of vegetables in Victorian adults (aged 18 years or older) for the study period 2011 to 2016. The data for this figure is available in this section - refer to Table 7.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743065" cy="2603500"/>
                    </a:xfrm>
                    <a:prstGeom prst="rect">
                      <a:avLst/>
                    </a:prstGeom>
                    <a:noFill/>
                  </pic:spPr>
                </pic:pic>
              </a:graphicData>
            </a:graphic>
          </wp:inline>
        </w:drawing>
      </w:r>
    </w:p>
    <w:p w14:paraId="69EE0A1E" w14:textId="45F748FA" w:rsidR="00F40022" w:rsidRPr="00F40022" w:rsidRDefault="00F40022" w:rsidP="008C38C6">
      <w:pPr>
        <w:pStyle w:val="DHHStablecaption"/>
        <w:rPr>
          <w:noProof/>
        </w:rPr>
      </w:pPr>
      <w:bookmarkStart w:id="444" w:name="_Toc18908733"/>
      <w:bookmarkStart w:id="445" w:name="_Toc27414412"/>
      <w:r w:rsidRPr="00F40022">
        <w:rPr>
          <w:noProof/>
        </w:rPr>
        <w:t>Table 7.4</w:t>
      </w:r>
      <w:r w:rsidR="00CA2AD7">
        <w:rPr>
          <w:noProof/>
        </w:rPr>
        <w:t>:</w:t>
      </w:r>
      <w:r w:rsidRPr="00F40022">
        <w:rPr>
          <w:noProof/>
        </w:rPr>
        <w:t xml:space="preserve"> Mean daily serves of vegetables in Victorian adults</w:t>
      </w:r>
      <w:r w:rsidR="00D24CD5">
        <w:rPr>
          <w:noProof/>
        </w:rPr>
        <w:t>,</w:t>
      </w:r>
      <w:r w:rsidRPr="00F40022">
        <w:rPr>
          <w:noProof/>
        </w:rPr>
        <w:t xml:space="preserve"> by year, 2011</w:t>
      </w:r>
      <w:r w:rsidR="00CA2AD7">
        <w:rPr>
          <w:noProof/>
        </w:rPr>
        <w:t>–</w:t>
      </w:r>
      <w:r w:rsidRPr="00F40022">
        <w:rPr>
          <w:noProof/>
        </w:rPr>
        <w:t>2016</w:t>
      </w:r>
      <w:bookmarkEnd w:id="444"/>
      <w:bookmarkEnd w:id="445"/>
    </w:p>
    <w:tbl>
      <w:tblPr>
        <w:tblW w:w="10744" w:type="dxa"/>
        <w:jc w:val="center"/>
        <w:tblBorders>
          <w:bottom w:val="single" w:sz="4" w:space="0" w:color="C00000"/>
          <w:insideH w:val="single" w:sz="4" w:space="0" w:color="C00000"/>
        </w:tblBorders>
        <w:shd w:val="clear" w:color="auto" w:fill="EDCDCF"/>
        <w:tblLook w:val="04A0" w:firstRow="1" w:lastRow="0" w:firstColumn="1" w:lastColumn="0" w:noHBand="0" w:noVBand="1"/>
      </w:tblPr>
      <w:tblGrid>
        <w:gridCol w:w="2215"/>
        <w:gridCol w:w="1480"/>
        <w:gridCol w:w="1468"/>
        <w:gridCol w:w="1468"/>
        <w:gridCol w:w="1371"/>
        <w:gridCol w:w="1371"/>
        <w:gridCol w:w="1371"/>
      </w:tblGrid>
      <w:tr w:rsidR="0013151C" w14:paraId="7694224A" w14:textId="77777777" w:rsidTr="00E03C5F">
        <w:trPr>
          <w:trHeight w:val="370"/>
          <w:jc w:val="center"/>
        </w:trPr>
        <w:tc>
          <w:tcPr>
            <w:tcW w:w="2215" w:type="dxa"/>
            <w:shd w:val="clear" w:color="auto" w:fill="EDCDCF"/>
            <w:vAlign w:val="center"/>
          </w:tcPr>
          <w:p w14:paraId="3C4FEC29" w14:textId="77777777" w:rsidR="0013151C" w:rsidRPr="00DB4F90" w:rsidRDefault="0013151C" w:rsidP="008C58A6">
            <w:pPr>
              <w:pStyle w:val="DHHStablecolhead"/>
            </w:pPr>
            <w:r w:rsidRPr="00DB4F90">
              <w:t>Year</w:t>
            </w:r>
          </w:p>
        </w:tc>
        <w:tc>
          <w:tcPr>
            <w:tcW w:w="1480" w:type="dxa"/>
            <w:shd w:val="clear" w:color="auto" w:fill="EDCDCF"/>
            <w:vAlign w:val="center"/>
          </w:tcPr>
          <w:p w14:paraId="6123B4D0" w14:textId="34CC1057" w:rsidR="0013151C" w:rsidRPr="00DB4F90" w:rsidRDefault="0013151C" w:rsidP="008C58A6">
            <w:pPr>
              <w:pStyle w:val="DHHStablecolhead"/>
            </w:pPr>
            <w:r w:rsidRPr="00DB4F90">
              <w:t>2011</w:t>
            </w:r>
          </w:p>
        </w:tc>
        <w:tc>
          <w:tcPr>
            <w:tcW w:w="1468" w:type="dxa"/>
            <w:shd w:val="clear" w:color="auto" w:fill="EDCDCF"/>
            <w:vAlign w:val="center"/>
          </w:tcPr>
          <w:p w14:paraId="31DC7A30" w14:textId="77777777" w:rsidR="0013151C" w:rsidRPr="00DB4F90" w:rsidRDefault="0013151C" w:rsidP="008C58A6">
            <w:pPr>
              <w:pStyle w:val="DHHStablecolhead"/>
            </w:pPr>
            <w:r w:rsidRPr="00DB4F90">
              <w:t>2012</w:t>
            </w:r>
          </w:p>
        </w:tc>
        <w:tc>
          <w:tcPr>
            <w:tcW w:w="1468" w:type="dxa"/>
            <w:shd w:val="clear" w:color="auto" w:fill="EDCDCF"/>
            <w:vAlign w:val="center"/>
          </w:tcPr>
          <w:p w14:paraId="7248491E" w14:textId="77777777" w:rsidR="0013151C" w:rsidRPr="00DB4F90" w:rsidRDefault="0013151C" w:rsidP="008C58A6">
            <w:pPr>
              <w:pStyle w:val="DHHStablecolhead"/>
            </w:pPr>
            <w:r w:rsidRPr="00DB4F90">
              <w:t>2013</w:t>
            </w:r>
          </w:p>
        </w:tc>
        <w:tc>
          <w:tcPr>
            <w:tcW w:w="1371" w:type="dxa"/>
            <w:shd w:val="clear" w:color="auto" w:fill="EDCDCF"/>
            <w:vAlign w:val="center"/>
          </w:tcPr>
          <w:p w14:paraId="5A2A0141" w14:textId="2CF88D6B" w:rsidR="0013151C" w:rsidRPr="00DB4F90" w:rsidRDefault="0013151C" w:rsidP="008C58A6">
            <w:pPr>
              <w:pStyle w:val="DHHStablecolhead"/>
            </w:pPr>
            <w:r w:rsidRPr="00DB4F90">
              <w:t>2014</w:t>
            </w:r>
          </w:p>
        </w:tc>
        <w:tc>
          <w:tcPr>
            <w:tcW w:w="1371" w:type="dxa"/>
            <w:shd w:val="clear" w:color="auto" w:fill="EDCDCF"/>
            <w:vAlign w:val="center"/>
          </w:tcPr>
          <w:p w14:paraId="187EF01C" w14:textId="77777777" w:rsidR="0013151C" w:rsidRPr="00DB4F90" w:rsidRDefault="0013151C" w:rsidP="008C58A6">
            <w:pPr>
              <w:pStyle w:val="DHHStablecolhead"/>
            </w:pPr>
            <w:r w:rsidRPr="00DB4F90">
              <w:t>2015</w:t>
            </w:r>
          </w:p>
        </w:tc>
        <w:tc>
          <w:tcPr>
            <w:tcW w:w="1371" w:type="dxa"/>
            <w:shd w:val="clear" w:color="auto" w:fill="EDCDCF"/>
            <w:vAlign w:val="center"/>
          </w:tcPr>
          <w:p w14:paraId="58CE1F50" w14:textId="77777777" w:rsidR="0013151C" w:rsidRPr="00DB4F90" w:rsidRDefault="0013151C" w:rsidP="008C58A6">
            <w:pPr>
              <w:pStyle w:val="DHHStablecolhead"/>
            </w:pPr>
            <w:r w:rsidRPr="00DB4F90">
              <w:t>2016</w:t>
            </w:r>
          </w:p>
        </w:tc>
      </w:tr>
      <w:tr w:rsidR="0013151C" w:rsidRPr="000517B8" w14:paraId="13735093" w14:textId="77777777" w:rsidTr="00E03C5F">
        <w:trPr>
          <w:trHeight w:val="396"/>
          <w:jc w:val="center"/>
        </w:trPr>
        <w:tc>
          <w:tcPr>
            <w:tcW w:w="2215" w:type="dxa"/>
            <w:shd w:val="clear" w:color="auto" w:fill="auto"/>
            <w:vAlign w:val="center"/>
          </w:tcPr>
          <w:p w14:paraId="2BF4761B" w14:textId="77777777" w:rsidR="0013151C" w:rsidRPr="005E739D" w:rsidRDefault="0013151C" w:rsidP="008C58A6">
            <w:pPr>
              <w:pStyle w:val="DHHStabletext"/>
            </w:pPr>
            <w:r>
              <w:t>Mean</w:t>
            </w:r>
          </w:p>
        </w:tc>
        <w:tc>
          <w:tcPr>
            <w:tcW w:w="1480" w:type="dxa"/>
            <w:shd w:val="clear" w:color="auto" w:fill="auto"/>
            <w:vAlign w:val="center"/>
          </w:tcPr>
          <w:p w14:paraId="5C63C226" w14:textId="54E68E59" w:rsidR="0013151C" w:rsidRPr="0069114D" w:rsidRDefault="0013151C" w:rsidP="008C58A6">
            <w:pPr>
              <w:pStyle w:val="DHHStabletext"/>
            </w:pPr>
            <w:r w:rsidRPr="0069114D">
              <w:t>2.</w:t>
            </w:r>
            <w:r w:rsidR="00F734B9">
              <w:t>3</w:t>
            </w:r>
          </w:p>
        </w:tc>
        <w:tc>
          <w:tcPr>
            <w:tcW w:w="1468" w:type="dxa"/>
            <w:shd w:val="clear" w:color="auto" w:fill="auto"/>
            <w:vAlign w:val="center"/>
          </w:tcPr>
          <w:p w14:paraId="7A1C0B8F" w14:textId="42797E84" w:rsidR="0013151C" w:rsidRPr="0069114D" w:rsidRDefault="00F734B9" w:rsidP="008C58A6">
            <w:pPr>
              <w:pStyle w:val="DHHStabletext"/>
            </w:pPr>
            <w:r>
              <w:t>2.3</w:t>
            </w:r>
          </w:p>
        </w:tc>
        <w:tc>
          <w:tcPr>
            <w:tcW w:w="1468" w:type="dxa"/>
            <w:shd w:val="clear" w:color="auto" w:fill="auto"/>
            <w:vAlign w:val="center"/>
          </w:tcPr>
          <w:p w14:paraId="20F47266" w14:textId="29C81EAD" w:rsidR="0013151C" w:rsidRPr="0069114D" w:rsidRDefault="00F734B9" w:rsidP="008C58A6">
            <w:pPr>
              <w:pStyle w:val="DHHStabletext"/>
            </w:pPr>
            <w:r>
              <w:t>2.3</w:t>
            </w:r>
          </w:p>
        </w:tc>
        <w:tc>
          <w:tcPr>
            <w:tcW w:w="1371" w:type="dxa"/>
            <w:shd w:val="clear" w:color="auto" w:fill="auto"/>
            <w:vAlign w:val="center"/>
          </w:tcPr>
          <w:p w14:paraId="5CD579DC" w14:textId="13D35C5F" w:rsidR="0013151C" w:rsidRPr="0069114D" w:rsidRDefault="00F734B9" w:rsidP="008C58A6">
            <w:pPr>
              <w:pStyle w:val="DHHStabletext"/>
            </w:pPr>
            <w:r>
              <w:t>2.3</w:t>
            </w:r>
          </w:p>
        </w:tc>
        <w:tc>
          <w:tcPr>
            <w:tcW w:w="1371" w:type="dxa"/>
            <w:shd w:val="clear" w:color="auto" w:fill="auto"/>
            <w:vAlign w:val="center"/>
          </w:tcPr>
          <w:p w14:paraId="04B0DFB7" w14:textId="0FBC2CDE" w:rsidR="0013151C" w:rsidRPr="0069114D" w:rsidRDefault="00F734B9" w:rsidP="008C58A6">
            <w:pPr>
              <w:pStyle w:val="DHHStabletext"/>
            </w:pPr>
            <w:r>
              <w:t>2.2</w:t>
            </w:r>
          </w:p>
        </w:tc>
        <w:tc>
          <w:tcPr>
            <w:tcW w:w="1371" w:type="dxa"/>
            <w:shd w:val="clear" w:color="auto" w:fill="auto"/>
            <w:vAlign w:val="center"/>
          </w:tcPr>
          <w:p w14:paraId="10832D73" w14:textId="4824F563" w:rsidR="0013151C" w:rsidRPr="0069114D" w:rsidRDefault="0013151C" w:rsidP="008C58A6">
            <w:pPr>
              <w:pStyle w:val="DHHStabletext"/>
            </w:pPr>
            <w:r w:rsidRPr="0069114D">
              <w:t>2.1</w:t>
            </w:r>
          </w:p>
        </w:tc>
      </w:tr>
      <w:tr w:rsidR="00F734B9" w:rsidRPr="000517B8" w14:paraId="412A2399" w14:textId="77777777" w:rsidTr="00E03C5F">
        <w:trPr>
          <w:trHeight w:val="66"/>
          <w:jc w:val="center"/>
        </w:trPr>
        <w:tc>
          <w:tcPr>
            <w:tcW w:w="2215" w:type="dxa"/>
            <w:shd w:val="clear" w:color="auto" w:fill="auto"/>
            <w:vAlign w:val="center"/>
          </w:tcPr>
          <w:p w14:paraId="74D8CDA6" w14:textId="2C9CFA7D" w:rsidR="00F734B9" w:rsidRDefault="00F734B9" w:rsidP="008C58A6">
            <w:pPr>
              <w:pStyle w:val="DHHStabletext"/>
            </w:pPr>
            <w:r>
              <w:t>95 % CI</w:t>
            </w:r>
          </w:p>
        </w:tc>
        <w:tc>
          <w:tcPr>
            <w:tcW w:w="1480" w:type="dxa"/>
            <w:shd w:val="clear" w:color="auto" w:fill="auto"/>
            <w:vAlign w:val="center"/>
          </w:tcPr>
          <w:p w14:paraId="3C5656F6" w14:textId="24A5A0AE" w:rsidR="00F734B9" w:rsidRPr="0069114D" w:rsidRDefault="00F734B9" w:rsidP="008C58A6">
            <w:pPr>
              <w:pStyle w:val="DHHStabletext"/>
            </w:pPr>
            <w:r>
              <w:t>2.24</w:t>
            </w:r>
            <w:r w:rsidR="00CA2AD7">
              <w:t>–</w:t>
            </w:r>
            <w:r>
              <w:t>2.29</w:t>
            </w:r>
          </w:p>
        </w:tc>
        <w:tc>
          <w:tcPr>
            <w:tcW w:w="1468" w:type="dxa"/>
            <w:shd w:val="clear" w:color="auto" w:fill="auto"/>
            <w:vAlign w:val="center"/>
          </w:tcPr>
          <w:p w14:paraId="5752E65F" w14:textId="0157E981" w:rsidR="00F734B9" w:rsidRDefault="009D640A" w:rsidP="008C58A6">
            <w:pPr>
              <w:pStyle w:val="DHHStabletext"/>
            </w:pPr>
            <w:r>
              <w:t>2.24</w:t>
            </w:r>
            <w:r w:rsidR="00CA2AD7">
              <w:t>–</w:t>
            </w:r>
            <w:r>
              <w:t>2.35</w:t>
            </w:r>
          </w:p>
        </w:tc>
        <w:tc>
          <w:tcPr>
            <w:tcW w:w="1468" w:type="dxa"/>
            <w:shd w:val="clear" w:color="auto" w:fill="auto"/>
            <w:vAlign w:val="center"/>
          </w:tcPr>
          <w:p w14:paraId="225C9D89" w14:textId="030F69BB" w:rsidR="00F734B9" w:rsidRDefault="009D640A" w:rsidP="008C58A6">
            <w:pPr>
              <w:pStyle w:val="DHHStabletext"/>
            </w:pPr>
            <w:r>
              <w:t>2.19</w:t>
            </w:r>
            <w:r w:rsidR="00CA2AD7">
              <w:t>–</w:t>
            </w:r>
            <w:r>
              <w:t>2.36</w:t>
            </w:r>
          </w:p>
        </w:tc>
        <w:tc>
          <w:tcPr>
            <w:tcW w:w="1371" w:type="dxa"/>
            <w:shd w:val="clear" w:color="auto" w:fill="auto"/>
            <w:vAlign w:val="center"/>
          </w:tcPr>
          <w:p w14:paraId="56144E23" w14:textId="1D488B29" w:rsidR="00F734B9" w:rsidRDefault="009D640A" w:rsidP="008C58A6">
            <w:pPr>
              <w:pStyle w:val="DHHStabletext"/>
            </w:pPr>
            <w:r>
              <w:t>2.28</w:t>
            </w:r>
            <w:r w:rsidR="00CA2AD7">
              <w:t>–</w:t>
            </w:r>
            <w:r>
              <w:t>2.34</w:t>
            </w:r>
          </w:p>
        </w:tc>
        <w:tc>
          <w:tcPr>
            <w:tcW w:w="1371" w:type="dxa"/>
            <w:shd w:val="clear" w:color="auto" w:fill="auto"/>
            <w:vAlign w:val="center"/>
          </w:tcPr>
          <w:p w14:paraId="6406657C" w14:textId="6663C9FB" w:rsidR="00F734B9" w:rsidRDefault="009D640A" w:rsidP="008C58A6">
            <w:pPr>
              <w:pStyle w:val="DHHStabletext"/>
            </w:pPr>
            <w:r>
              <w:t>2.17</w:t>
            </w:r>
            <w:r w:rsidR="00CA2AD7">
              <w:t>–</w:t>
            </w:r>
            <w:r>
              <w:t>2.27</w:t>
            </w:r>
          </w:p>
        </w:tc>
        <w:tc>
          <w:tcPr>
            <w:tcW w:w="1371" w:type="dxa"/>
            <w:shd w:val="clear" w:color="auto" w:fill="auto"/>
            <w:vAlign w:val="center"/>
          </w:tcPr>
          <w:p w14:paraId="64703EE8" w14:textId="1B1A98C7" w:rsidR="00F734B9" w:rsidRPr="0069114D" w:rsidRDefault="009D640A" w:rsidP="008C58A6">
            <w:pPr>
              <w:pStyle w:val="DHHStabletext"/>
            </w:pPr>
            <w:r>
              <w:t>2.07</w:t>
            </w:r>
            <w:r w:rsidR="00CA2AD7">
              <w:t>–</w:t>
            </w:r>
            <w:r>
              <w:t>2.16</w:t>
            </w:r>
          </w:p>
        </w:tc>
      </w:tr>
    </w:tbl>
    <w:p w14:paraId="363CEAA7" w14:textId="3AB781BA" w:rsidR="00070496" w:rsidRPr="00070496" w:rsidRDefault="00DD599D" w:rsidP="00A57F34">
      <w:pPr>
        <w:pStyle w:val="DHHStablefigurenote"/>
      </w:pPr>
      <w:r w:rsidRPr="00070496">
        <w:t>Source:</w:t>
      </w:r>
      <w:r>
        <w:t xml:space="preserve"> Victorian Population Health Survey</w:t>
      </w:r>
      <w:r w:rsidR="006E23D9">
        <w:t>s</w:t>
      </w:r>
      <w:r>
        <w:t xml:space="preserve"> 2011</w:t>
      </w:r>
      <w:r w:rsidR="00690CD3">
        <w:t>–</w:t>
      </w:r>
      <w:r>
        <w:t>2016</w:t>
      </w:r>
    </w:p>
    <w:p w14:paraId="49E6C8EE" w14:textId="30BC1769" w:rsidR="00950E44" w:rsidRDefault="00950E44" w:rsidP="00950E44">
      <w:pPr>
        <w:pStyle w:val="Heading4"/>
        <w:rPr>
          <w:lang w:eastAsia="en-AU"/>
        </w:rPr>
      </w:pPr>
      <w:r>
        <w:rPr>
          <w:lang w:eastAsia="en-AU"/>
        </w:rPr>
        <w:t>Measure assessment</w:t>
      </w:r>
    </w:p>
    <w:p w14:paraId="4F8A3360" w14:textId="62C42CC0" w:rsidR="00950E44" w:rsidRPr="009901D9" w:rsidRDefault="00950E44" w:rsidP="009901D9">
      <w:pPr>
        <w:autoSpaceDE w:val="0"/>
        <w:autoSpaceDN w:val="0"/>
        <w:adjustRightInd w:val="0"/>
        <w:spacing w:after="120" w:line="270" w:lineRule="atLeast"/>
        <w:rPr>
          <w:rFonts w:ascii="Arial" w:hAnsi="Arial" w:cs="Arial"/>
          <w:color w:val="C00000"/>
        </w:rPr>
      </w:pPr>
      <w:r w:rsidRPr="009F01B1">
        <w:rPr>
          <w:rFonts w:ascii="Arial" w:hAnsi="Arial" w:cs="Arial"/>
        </w:rPr>
        <w:t>Traffic light rating:</w:t>
      </w:r>
      <w:r w:rsidR="002E5ABD">
        <w:rPr>
          <w:rFonts w:ascii="Arial" w:hAnsi="Arial" w:cs="Arial"/>
        </w:rPr>
        <w:t xml:space="preserve"> </w:t>
      </w:r>
      <w:r w:rsidR="002E5ABD" w:rsidRPr="00320DEB">
        <w:rPr>
          <w:rFonts w:ascii="Arial" w:hAnsi="Arial" w:cs="Arial"/>
          <w:b/>
          <w:color w:val="C00000"/>
        </w:rPr>
        <w:t>Red</w:t>
      </w:r>
      <w:r w:rsidR="00320DEB">
        <w:rPr>
          <w:rFonts w:ascii="Arial" w:hAnsi="Arial" w:cs="Arial"/>
          <w:b/>
          <w:color w:val="C00000"/>
        </w:rPr>
        <w:t xml:space="preserve"> </w:t>
      </w:r>
      <w:r w:rsidR="00320DEB">
        <w:rPr>
          <w:rFonts w:ascii="Arial" w:hAnsi="Arial" w:cs="Arial"/>
          <w:color w:val="C00000"/>
        </w:rPr>
        <w:t>(result is of concern)</w:t>
      </w:r>
    </w:p>
    <w:p w14:paraId="09AA97CD" w14:textId="37C02E7C" w:rsidR="00950E44" w:rsidRDefault="00950E44" w:rsidP="009901D9">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2E5ABD">
        <w:rPr>
          <w:rFonts w:ascii="Arial" w:hAnsi="Arial" w:cs="Arial"/>
        </w:rPr>
        <w:t>Not moving in the right direction</w:t>
      </w:r>
    </w:p>
    <w:p w14:paraId="03DEF6E3" w14:textId="796E8469" w:rsidR="001065ED" w:rsidRPr="00DC30A7" w:rsidRDefault="00950E44" w:rsidP="009901D9">
      <w:pPr>
        <w:pStyle w:val="DHHSbody"/>
        <w:rPr>
          <w:rFonts w:cs="Arial"/>
        </w:rPr>
      </w:pPr>
      <w:r w:rsidRPr="00DC30A7">
        <w:rPr>
          <w:rFonts w:cs="Arial"/>
        </w:rPr>
        <w:t>Commentary</w:t>
      </w:r>
      <w:r w:rsidR="00F642A5" w:rsidRPr="00DC30A7">
        <w:rPr>
          <w:rFonts w:cs="Arial"/>
        </w:rPr>
        <w:t>:</w:t>
      </w:r>
      <w:r w:rsidR="00433269" w:rsidRPr="00DC30A7">
        <w:rPr>
          <w:rFonts w:cs="Arial"/>
        </w:rPr>
        <w:t xml:space="preserve"> Fruit and vegetable consumption is internationally accepted as an indicator of a healthy die.</w:t>
      </w:r>
      <w:r w:rsidR="00952FC7">
        <w:rPr>
          <w:rFonts w:cs="Arial"/>
        </w:rPr>
        <w:t xml:space="preserve"> </w:t>
      </w:r>
      <w:r w:rsidR="00433269" w:rsidRPr="00DC30A7">
        <w:rPr>
          <w:rFonts w:cs="Arial"/>
        </w:rPr>
        <w:t xml:space="preserve">A healthy diet </w:t>
      </w:r>
      <w:r w:rsidR="004A40D6">
        <w:rPr>
          <w:rFonts w:cs="Arial"/>
        </w:rPr>
        <w:t>that includes</w:t>
      </w:r>
      <w:r w:rsidR="00DE0D86" w:rsidRPr="00DC30A7">
        <w:rPr>
          <w:rFonts w:cs="Arial"/>
        </w:rPr>
        <w:t xml:space="preserve"> vegetable (and fruit) </w:t>
      </w:r>
      <w:r w:rsidR="004A40D6">
        <w:rPr>
          <w:rFonts w:cs="Arial"/>
        </w:rPr>
        <w:t xml:space="preserve">consumption </w:t>
      </w:r>
      <w:r w:rsidR="00433269" w:rsidRPr="00DC30A7">
        <w:rPr>
          <w:rFonts w:cs="Arial"/>
        </w:rPr>
        <w:t>also helps prevent chronic diseases such as cancer as well as their associated risk factors including overweight and obesity</w:t>
      </w:r>
      <w:r w:rsidR="002C3E08" w:rsidRPr="00DC30A7">
        <w:rPr>
          <w:rFonts w:cs="Arial"/>
        </w:rPr>
        <w:t>.</w:t>
      </w:r>
      <w:r w:rsidR="002C3E08" w:rsidRPr="00DC30A7">
        <w:rPr>
          <w:rStyle w:val="FootnoteReference"/>
          <w:rFonts w:cs="Arial"/>
        </w:rPr>
        <w:footnoteReference w:id="74"/>
      </w:r>
      <w:r w:rsidR="00433269" w:rsidRPr="00DC30A7">
        <w:rPr>
          <w:rFonts w:cs="Arial"/>
        </w:rPr>
        <w:t xml:space="preserve"> </w:t>
      </w:r>
    </w:p>
    <w:p w14:paraId="33060775" w14:textId="2A04CF5F" w:rsidR="001065ED" w:rsidRPr="00DC30A7" w:rsidRDefault="00D81D86" w:rsidP="00950E44">
      <w:pPr>
        <w:pStyle w:val="DHHSbody"/>
        <w:rPr>
          <w:rFonts w:cs="Arial"/>
        </w:rPr>
      </w:pPr>
      <w:r w:rsidRPr="00DC30A7">
        <w:rPr>
          <w:rFonts w:cs="Arial"/>
          <w:lang w:val="en"/>
        </w:rPr>
        <w:t xml:space="preserve">Comparable international data </w:t>
      </w:r>
      <w:r w:rsidR="004A40D6">
        <w:rPr>
          <w:rFonts w:cs="Arial"/>
          <w:lang w:val="en"/>
        </w:rPr>
        <w:t>is</w:t>
      </w:r>
      <w:r w:rsidR="004A40D6" w:rsidRPr="00DC30A7">
        <w:rPr>
          <w:rFonts w:cs="Arial"/>
          <w:lang w:val="en"/>
        </w:rPr>
        <w:t xml:space="preserve"> </w:t>
      </w:r>
      <w:r w:rsidRPr="00DC30A7">
        <w:rPr>
          <w:rFonts w:cs="Arial"/>
          <w:lang w:val="en"/>
        </w:rPr>
        <w:t xml:space="preserve">not available on </w:t>
      </w:r>
      <w:r w:rsidR="00E404DF" w:rsidRPr="00DC30A7">
        <w:rPr>
          <w:rFonts w:cs="Arial"/>
          <w:lang w:val="en"/>
        </w:rPr>
        <w:t xml:space="preserve">the </w:t>
      </w:r>
      <w:r w:rsidRPr="00DC30A7">
        <w:rPr>
          <w:rFonts w:cs="Arial"/>
          <w:lang w:val="en"/>
        </w:rPr>
        <w:t xml:space="preserve">level of daily vegetable intake. However, although </w:t>
      </w:r>
      <w:r w:rsidR="00271D98" w:rsidRPr="00DC30A7">
        <w:rPr>
          <w:rFonts w:cs="Arial"/>
          <w:lang w:val="en"/>
        </w:rPr>
        <w:t>the OECD reported in 2015 (</w:t>
      </w:r>
      <w:r w:rsidR="001065ED" w:rsidRPr="00DC30A7">
        <w:rPr>
          <w:rFonts w:cs="Arial"/>
        </w:rPr>
        <w:t>Figure 7.4</w:t>
      </w:r>
      <w:r w:rsidR="00271D98" w:rsidRPr="00DC30A7">
        <w:rPr>
          <w:rFonts w:cs="Arial"/>
        </w:rPr>
        <w:t>)</w:t>
      </w:r>
      <w:r w:rsidR="001065ED" w:rsidRPr="00DC30A7">
        <w:rPr>
          <w:rFonts w:cs="Arial"/>
        </w:rPr>
        <w:t xml:space="preserve"> that </w:t>
      </w:r>
      <w:r w:rsidR="00271D98" w:rsidRPr="00DC30A7">
        <w:rPr>
          <w:rFonts w:cs="Arial"/>
          <w:lang w:val="en"/>
        </w:rPr>
        <w:t xml:space="preserve">Australian males and females aged 15 years </w:t>
      </w:r>
      <w:r w:rsidR="001B50BF">
        <w:rPr>
          <w:rFonts w:cs="Arial"/>
          <w:lang w:val="en"/>
        </w:rPr>
        <w:t>or older</w:t>
      </w:r>
      <w:r w:rsidR="00271D98" w:rsidRPr="00DC30A7">
        <w:rPr>
          <w:rFonts w:cs="Arial"/>
          <w:lang w:val="en"/>
        </w:rPr>
        <w:t xml:space="preserve"> had the second-highest proportions reporting daily vegetable consumption among 29 </w:t>
      </w:r>
      <w:r w:rsidR="00B17619" w:rsidRPr="00DC30A7">
        <w:rPr>
          <w:rFonts w:cs="Arial"/>
          <w:lang w:val="en"/>
        </w:rPr>
        <w:t>countries</w:t>
      </w:r>
      <w:r w:rsidR="00271D98" w:rsidRPr="00DC30A7">
        <w:rPr>
          <w:rFonts w:cs="Arial"/>
          <w:lang w:val="en"/>
        </w:rPr>
        <w:t xml:space="preserve"> of the OECD,</w:t>
      </w:r>
      <w:r w:rsidR="006F3A29" w:rsidRPr="00DC30A7">
        <w:rPr>
          <w:rStyle w:val="FootnoteReference"/>
          <w:rFonts w:cs="Arial"/>
          <w:lang w:val="en"/>
        </w:rPr>
        <w:footnoteReference w:id="75"/>
      </w:r>
      <w:r w:rsidR="00271D98" w:rsidRPr="00DC30A7">
        <w:rPr>
          <w:rFonts w:cs="Arial"/>
          <w:lang w:val="en"/>
        </w:rPr>
        <w:t xml:space="preserve"> caution is advised when interpreting these findings due to differences in survey methodologies and variation in population ages reported.</w:t>
      </w:r>
      <w:r w:rsidR="00952FC7">
        <w:rPr>
          <w:rFonts w:cs="Arial"/>
          <w:lang w:val="en"/>
        </w:rPr>
        <w:t xml:space="preserve"> </w:t>
      </w:r>
      <w:r w:rsidR="00271D98" w:rsidRPr="00DC30A7">
        <w:rPr>
          <w:rFonts w:cs="Arial"/>
          <w:lang w:val="en"/>
        </w:rPr>
        <w:t>For example</w:t>
      </w:r>
      <w:r w:rsidR="008A11F2" w:rsidRPr="00DC30A7">
        <w:rPr>
          <w:rFonts w:cs="Arial"/>
          <w:lang w:val="en"/>
        </w:rPr>
        <w:t>,</w:t>
      </w:r>
      <w:r w:rsidR="00271D98" w:rsidRPr="00DC30A7">
        <w:rPr>
          <w:rFonts w:cs="Arial"/>
          <w:lang w:val="en"/>
        </w:rPr>
        <w:t xml:space="preserve"> in Australia at </w:t>
      </w:r>
      <w:r w:rsidR="004A40D6">
        <w:rPr>
          <w:rFonts w:cs="Arial"/>
        </w:rPr>
        <w:t>the</w:t>
      </w:r>
      <w:r w:rsidR="0043593C" w:rsidRPr="00DC30A7">
        <w:rPr>
          <w:rFonts w:cs="Arial"/>
        </w:rPr>
        <w:t xml:space="preserve"> national level</w:t>
      </w:r>
      <w:r w:rsidR="008A11F2" w:rsidRPr="00DC30A7">
        <w:rPr>
          <w:rFonts w:cs="Arial"/>
        </w:rPr>
        <w:t>,</w:t>
      </w:r>
      <w:r w:rsidR="0043593C" w:rsidRPr="00DC30A7">
        <w:rPr>
          <w:rFonts w:cs="Arial"/>
        </w:rPr>
        <w:t xml:space="preserve"> data specific to adults </w:t>
      </w:r>
      <w:r w:rsidR="004A40D6">
        <w:rPr>
          <w:rFonts w:cs="Arial"/>
        </w:rPr>
        <w:t>is</w:t>
      </w:r>
      <w:r w:rsidR="004A40D6" w:rsidRPr="00DC30A7">
        <w:rPr>
          <w:rFonts w:cs="Arial"/>
        </w:rPr>
        <w:t xml:space="preserve"> </w:t>
      </w:r>
      <w:r w:rsidR="0043593C" w:rsidRPr="00DC30A7">
        <w:rPr>
          <w:rFonts w:cs="Arial"/>
        </w:rPr>
        <w:t xml:space="preserve">reported for the population </w:t>
      </w:r>
      <w:r w:rsidR="00B91D6C">
        <w:rPr>
          <w:rFonts w:cs="Arial"/>
        </w:rPr>
        <w:t xml:space="preserve">aged </w:t>
      </w:r>
      <w:r w:rsidR="0043593C" w:rsidRPr="00DC30A7">
        <w:rPr>
          <w:rFonts w:cs="Arial"/>
        </w:rPr>
        <w:t xml:space="preserve">18 years </w:t>
      </w:r>
      <w:r w:rsidR="001B50BF">
        <w:rPr>
          <w:rFonts w:cs="Arial"/>
        </w:rPr>
        <w:t>or older</w:t>
      </w:r>
      <w:r w:rsidR="0043593C" w:rsidRPr="00DC30A7">
        <w:rPr>
          <w:rFonts w:cs="Arial"/>
        </w:rPr>
        <w:t>.</w:t>
      </w:r>
    </w:p>
    <w:p w14:paraId="6A734D56" w14:textId="7024AD90" w:rsidR="009B17F6" w:rsidRDefault="00677CA0" w:rsidP="001A2A05">
      <w:pPr>
        <w:pStyle w:val="DHHSbody"/>
        <w:rPr>
          <w:rStyle w:val="Heading3Char"/>
        </w:rPr>
      </w:pPr>
      <w:r w:rsidRPr="00DC30A7">
        <w:rPr>
          <w:rFonts w:cs="Arial"/>
        </w:rPr>
        <w:t>In 2014</w:t>
      </w:r>
      <w:r w:rsidR="00CA2AD7">
        <w:rPr>
          <w:rFonts w:cs="Arial"/>
        </w:rPr>
        <w:t>–</w:t>
      </w:r>
      <w:r w:rsidRPr="00DC30A7">
        <w:rPr>
          <w:rFonts w:cs="Arial"/>
        </w:rPr>
        <w:t>15,</w:t>
      </w:r>
      <w:r w:rsidR="00FC15F4" w:rsidRPr="00DC30A7">
        <w:rPr>
          <w:rFonts w:cs="Arial"/>
        </w:rPr>
        <w:t xml:space="preserve"> </w:t>
      </w:r>
      <w:r w:rsidR="00B40166">
        <w:rPr>
          <w:rFonts w:cs="Arial"/>
        </w:rPr>
        <w:t>seven</w:t>
      </w:r>
      <w:r w:rsidR="00FC15F4" w:rsidRPr="00DC30A7">
        <w:rPr>
          <w:rFonts w:cs="Arial"/>
        </w:rPr>
        <w:t xml:space="preserve"> per cent</w:t>
      </w:r>
      <w:r w:rsidR="00271D98" w:rsidRPr="00DC30A7">
        <w:rPr>
          <w:rFonts w:cs="Arial"/>
        </w:rPr>
        <w:t xml:space="preserve"> (less than </w:t>
      </w:r>
      <w:r w:rsidR="00B40166">
        <w:rPr>
          <w:rFonts w:cs="Arial"/>
        </w:rPr>
        <w:t>one</w:t>
      </w:r>
      <w:r w:rsidR="00271D98" w:rsidRPr="00DC30A7">
        <w:rPr>
          <w:rFonts w:cs="Arial"/>
        </w:rPr>
        <w:t xml:space="preserve"> in 10)</w:t>
      </w:r>
      <w:r w:rsidRPr="00DC30A7">
        <w:rPr>
          <w:rFonts w:cs="Arial"/>
        </w:rPr>
        <w:t xml:space="preserve"> of Australians aged 18 years </w:t>
      </w:r>
      <w:r w:rsidR="001B50BF">
        <w:rPr>
          <w:rFonts w:cs="Arial"/>
        </w:rPr>
        <w:t>or older</w:t>
      </w:r>
      <w:r w:rsidRPr="00DC30A7">
        <w:rPr>
          <w:rFonts w:cs="Arial"/>
        </w:rPr>
        <w:t xml:space="preserve"> met the </w:t>
      </w:r>
      <w:r w:rsidR="0043593C" w:rsidRPr="00DC30A7">
        <w:rPr>
          <w:rFonts w:cs="Arial"/>
        </w:rPr>
        <w:t xml:space="preserve">national </w:t>
      </w:r>
      <w:r w:rsidRPr="00DC30A7">
        <w:rPr>
          <w:rFonts w:cs="Arial"/>
        </w:rPr>
        <w:t>guidelines for serves of vegetables (</w:t>
      </w:r>
      <w:r w:rsidR="00B40166">
        <w:rPr>
          <w:rFonts w:cs="Arial"/>
        </w:rPr>
        <w:t>six</w:t>
      </w:r>
      <w:r w:rsidRPr="00DC30A7">
        <w:rPr>
          <w:rFonts w:cs="Arial"/>
        </w:rPr>
        <w:t xml:space="preserve"> or more serves for men depending on age, and </w:t>
      </w:r>
      <w:r w:rsidR="00B40166">
        <w:rPr>
          <w:rFonts w:cs="Arial"/>
        </w:rPr>
        <w:t>five</w:t>
      </w:r>
      <w:r w:rsidR="00C21CEC" w:rsidRPr="00DC30A7">
        <w:rPr>
          <w:rFonts w:cs="Arial"/>
        </w:rPr>
        <w:t xml:space="preserve"> (375 grams per day)</w:t>
      </w:r>
      <w:r w:rsidRPr="00DC30A7">
        <w:rPr>
          <w:rFonts w:cs="Arial"/>
        </w:rPr>
        <w:t xml:space="preserve"> or more for women).</w:t>
      </w:r>
      <w:r w:rsidR="00FC15F4" w:rsidRPr="00DC30A7">
        <w:rPr>
          <w:rStyle w:val="FootnoteReference"/>
          <w:rFonts w:cs="Arial"/>
        </w:rPr>
        <w:footnoteReference w:id="76"/>
      </w:r>
      <w:r w:rsidRPr="00DC30A7">
        <w:rPr>
          <w:rFonts w:cs="Arial"/>
        </w:rPr>
        <w:t xml:space="preserve"> </w:t>
      </w:r>
      <w:r w:rsidR="00C21CEC" w:rsidRPr="00DC30A7">
        <w:rPr>
          <w:rFonts w:cs="Arial"/>
          <w:lang w:val="en"/>
        </w:rPr>
        <w:t>The proportion of females meeting this guideline (10.2</w:t>
      </w:r>
      <w:r w:rsidR="00540280">
        <w:rPr>
          <w:rFonts w:cs="Arial"/>
          <w:lang w:val="en"/>
        </w:rPr>
        <w:t xml:space="preserve"> per cent</w:t>
      </w:r>
      <w:r w:rsidR="00C21CEC" w:rsidRPr="00DC30A7">
        <w:rPr>
          <w:rFonts w:cs="Arial"/>
          <w:lang w:val="en"/>
        </w:rPr>
        <w:t>) was higher than for males (3.8</w:t>
      </w:r>
      <w:r w:rsidR="005142EA">
        <w:rPr>
          <w:rFonts w:cs="Arial"/>
          <w:lang w:val="en"/>
        </w:rPr>
        <w:t xml:space="preserve"> per cent</w:t>
      </w:r>
      <w:r w:rsidR="00C21CEC" w:rsidRPr="00DC30A7">
        <w:rPr>
          <w:rFonts w:cs="Arial"/>
          <w:lang w:val="en"/>
        </w:rPr>
        <w:t>).</w:t>
      </w:r>
      <w:r w:rsidR="00952FC7">
        <w:rPr>
          <w:rFonts w:cs="Arial"/>
          <w:lang w:val="en"/>
        </w:rPr>
        <w:t xml:space="preserve"> </w:t>
      </w:r>
      <w:r w:rsidR="00D81D86" w:rsidRPr="00DC30A7">
        <w:rPr>
          <w:rFonts w:cs="Arial"/>
          <w:lang w:val="en"/>
        </w:rPr>
        <w:t xml:space="preserve">Overall </w:t>
      </w:r>
      <w:r w:rsidR="00C21CEC" w:rsidRPr="00DC30A7">
        <w:rPr>
          <w:rFonts w:cs="Arial"/>
          <w:lang w:val="en"/>
        </w:rPr>
        <w:t xml:space="preserve">the average daily vegetable intake of adult Australians aged 18 years </w:t>
      </w:r>
      <w:r w:rsidR="001B50BF">
        <w:rPr>
          <w:rFonts w:cs="Arial"/>
          <w:lang w:val="en"/>
        </w:rPr>
        <w:t>or older</w:t>
      </w:r>
      <w:r w:rsidR="00C21CEC" w:rsidRPr="00DC30A7">
        <w:rPr>
          <w:rFonts w:cs="Arial"/>
          <w:lang w:val="en"/>
        </w:rPr>
        <w:t xml:space="preserve"> was 2.4 serves. Average daily vegetable intake was slightly higher among females (2.5 serves) than among males (2.3 serves)</w:t>
      </w:r>
      <w:r w:rsidR="00203210" w:rsidRPr="00DC30A7">
        <w:rPr>
          <w:rFonts w:cs="Arial"/>
          <w:lang w:val="en"/>
        </w:rPr>
        <w:t xml:space="preserve"> and increased with age (Figure 7.4.1).</w:t>
      </w:r>
      <w:r w:rsidR="00CF636B">
        <w:rPr>
          <w:rFonts w:cs="Arial"/>
          <w:lang w:val="en"/>
        </w:rPr>
        <w:t xml:space="preserve"> </w:t>
      </w:r>
      <w:r w:rsidR="002E5ABD" w:rsidRPr="00DC30A7">
        <w:rPr>
          <w:rFonts w:cs="Arial"/>
          <w:lang w:val="en"/>
        </w:rPr>
        <w:t>While no target has been set for this measure</w:t>
      </w:r>
      <w:r w:rsidR="004A40D6">
        <w:rPr>
          <w:rFonts w:cs="Arial"/>
          <w:lang w:val="en"/>
        </w:rPr>
        <w:t>,</w:t>
      </w:r>
      <w:r w:rsidR="002E5ABD" w:rsidRPr="00DC30A7">
        <w:rPr>
          <w:rFonts w:cs="Arial"/>
          <w:lang w:val="en"/>
        </w:rPr>
        <w:t xml:space="preserve"> Figure 7.4.2 </w:t>
      </w:r>
      <w:r w:rsidR="006F3A29" w:rsidRPr="00DC30A7">
        <w:rPr>
          <w:rFonts w:cs="Arial"/>
          <w:lang w:val="en"/>
        </w:rPr>
        <w:t xml:space="preserve">shows that the vegetable consumption across all Victorian adults </w:t>
      </w:r>
      <w:r w:rsidR="006F3A29" w:rsidRPr="00DC30A7">
        <w:rPr>
          <w:rFonts w:cs="Arial"/>
        </w:rPr>
        <w:t>is decreasing</w:t>
      </w:r>
      <w:r w:rsidR="009337A4" w:rsidRPr="00DC30A7">
        <w:rPr>
          <w:rFonts w:cs="Arial"/>
        </w:rPr>
        <w:t>.</w:t>
      </w:r>
    </w:p>
    <w:p w14:paraId="71F9BA32" w14:textId="77777777" w:rsidR="009B17F6" w:rsidRDefault="009B17F6">
      <w:pPr>
        <w:rPr>
          <w:rStyle w:val="Heading3Char"/>
          <w:lang w:eastAsia="en-US"/>
        </w:rPr>
      </w:pPr>
      <w:r>
        <w:rPr>
          <w:rStyle w:val="Heading3Char"/>
        </w:rPr>
        <w:br w:type="page"/>
      </w:r>
    </w:p>
    <w:p w14:paraId="139319FC" w14:textId="646AD852" w:rsidR="00784A70" w:rsidRPr="009B17F6" w:rsidRDefault="00784A70" w:rsidP="009B17F6">
      <w:pPr>
        <w:pStyle w:val="Heading3"/>
        <w:rPr>
          <w:rStyle w:val="Heading3Char"/>
          <w:b/>
          <w:bCs/>
        </w:rPr>
      </w:pPr>
      <w:bookmarkStart w:id="446" w:name="_Measure_7.5_–"/>
      <w:bookmarkEnd w:id="446"/>
      <w:r w:rsidRPr="009B17F6">
        <w:rPr>
          <w:rStyle w:val="Heading3Char"/>
          <w:b/>
          <w:bCs/>
        </w:rPr>
        <w:lastRenderedPageBreak/>
        <w:t>Measure 7.5 –</w:t>
      </w:r>
      <w:r w:rsidR="00782252" w:rsidRPr="009B17F6">
        <w:rPr>
          <w:rStyle w:val="Heading3Char"/>
          <w:b/>
          <w:bCs/>
        </w:rPr>
        <w:t xml:space="preserve"> </w:t>
      </w:r>
      <w:r w:rsidR="00BE61B2" w:rsidRPr="009B17F6">
        <w:rPr>
          <w:rStyle w:val="Heading3Char"/>
          <w:b/>
          <w:bCs/>
        </w:rPr>
        <w:t xml:space="preserve">Proportion of </w:t>
      </w:r>
      <w:r w:rsidR="0028681D" w:rsidRPr="009B17F6">
        <w:rPr>
          <w:rStyle w:val="Heading3Char"/>
          <w:b/>
          <w:bCs/>
        </w:rPr>
        <w:t>adolescents 10</w:t>
      </w:r>
      <w:r w:rsidR="00CA2AD7" w:rsidRPr="009B17F6">
        <w:rPr>
          <w:rStyle w:val="Heading3Char"/>
          <w:b/>
          <w:bCs/>
        </w:rPr>
        <w:t>–</w:t>
      </w:r>
      <w:r w:rsidR="0028681D" w:rsidRPr="009B17F6">
        <w:rPr>
          <w:rStyle w:val="Heading3Char"/>
          <w:b/>
          <w:bCs/>
        </w:rPr>
        <w:t>17 years</w:t>
      </w:r>
      <w:r w:rsidR="00BE61B2" w:rsidRPr="009B17F6">
        <w:rPr>
          <w:rStyle w:val="Heading3Char"/>
          <w:b/>
          <w:bCs/>
        </w:rPr>
        <w:t xml:space="preserve"> who eat the </w:t>
      </w:r>
      <w:r w:rsidR="0012609A" w:rsidRPr="009B17F6">
        <w:rPr>
          <w:rStyle w:val="Heading3Char"/>
          <w:b/>
          <w:bCs/>
        </w:rPr>
        <w:t xml:space="preserve">minimum </w:t>
      </w:r>
      <w:r w:rsidR="00BE61B2" w:rsidRPr="009B17F6">
        <w:rPr>
          <w:rStyle w:val="Heading3Char"/>
          <w:b/>
          <w:bCs/>
        </w:rPr>
        <w:t>daily recommended serves of vegetables</w:t>
      </w:r>
    </w:p>
    <w:p w14:paraId="747E2BA2" w14:textId="15D10BFB" w:rsidR="00EA241A" w:rsidRDefault="00EA241A" w:rsidP="0091523F">
      <w:pPr>
        <w:pStyle w:val="DHHSfigurecaption"/>
      </w:pPr>
      <w:bookmarkStart w:id="447" w:name="_Toc19008074"/>
      <w:bookmarkStart w:id="448" w:name="_Toc19008310"/>
      <w:bookmarkStart w:id="449" w:name="_Toc19008457"/>
      <w:bookmarkStart w:id="450" w:name="_Toc19008604"/>
      <w:bookmarkStart w:id="451" w:name="_Toc27414312"/>
      <w:r>
        <w:t>Figure 7.5</w:t>
      </w:r>
      <w:r w:rsidR="00CA2AD7">
        <w:t>:</w:t>
      </w:r>
      <w:r w:rsidRPr="00662F01">
        <w:t xml:space="preserve"> </w:t>
      </w:r>
      <w:r>
        <w:t>Proportion of adolescents</w:t>
      </w:r>
      <w:r w:rsidR="004A40D6">
        <w:t xml:space="preserve"> aged</w:t>
      </w:r>
      <w:r>
        <w:t xml:space="preserve"> 10</w:t>
      </w:r>
      <w:r w:rsidR="00690CD3">
        <w:t>–1</w:t>
      </w:r>
      <w:r>
        <w:t>7</w:t>
      </w:r>
      <w:r w:rsidRPr="00662F01">
        <w:t xml:space="preserve"> years who eat the daily recommended serves of vegetables</w:t>
      </w:r>
      <w:r w:rsidR="000C590B">
        <w:t>, 2014 and 2016</w:t>
      </w:r>
      <w:bookmarkEnd w:id="447"/>
      <w:bookmarkEnd w:id="448"/>
      <w:bookmarkEnd w:id="449"/>
      <w:bookmarkEnd w:id="450"/>
      <w:bookmarkEnd w:id="451"/>
    </w:p>
    <w:p w14:paraId="4916A793" w14:textId="33FD4A45" w:rsidR="00C82621" w:rsidRPr="00182E10" w:rsidRDefault="009F6F50" w:rsidP="00182E10">
      <w:pPr>
        <w:pStyle w:val="DHHSbody"/>
      </w:pPr>
      <w:r>
        <w:rPr>
          <w:noProof/>
        </w:rPr>
        <w:drawing>
          <wp:inline distT="0" distB="0" distL="0" distR="0" wp14:anchorId="7ED0E012" wp14:editId="0892865A">
            <wp:extent cx="6748780" cy="2615565"/>
            <wp:effectExtent l="0" t="0" r="0" b="0"/>
            <wp:docPr id="339" name="Picture 339" descr="This figure presents data under the 'Measure 7.5 - Proportion of adolescents 10 to 17 years who ear the minimum daily recommended serves of vegetables'.  The data for this figure for 2014 and 2016 is available in this section - refer to Table 7.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748780" cy="2615565"/>
                    </a:xfrm>
                    <a:prstGeom prst="rect">
                      <a:avLst/>
                    </a:prstGeom>
                    <a:noFill/>
                  </pic:spPr>
                </pic:pic>
              </a:graphicData>
            </a:graphic>
          </wp:inline>
        </w:drawing>
      </w:r>
    </w:p>
    <w:p w14:paraId="0247556B" w14:textId="675C9C79" w:rsidR="0038266E" w:rsidRPr="002D5848" w:rsidRDefault="00C82621" w:rsidP="00660649">
      <w:pPr>
        <w:pStyle w:val="DHHStablefigurenote"/>
      </w:pPr>
      <w:r w:rsidRPr="009E3708">
        <w:t>Source: Victorian Child and Adolescent Monitoring System – Department of Education and Training</w:t>
      </w:r>
      <w:r w:rsidR="00C575AB">
        <w:t xml:space="preserve"> -</w:t>
      </w:r>
      <w:r w:rsidR="00C575AB" w:rsidRPr="00C575AB">
        <w:t xml:space="preserve"> </w:t>
      </w:r>
      <w:hyperlink r:id="rId95" w:history="1">
        <w:r w:rsidR="0038266E" w:rsidRPr="001072D7">
          <w:rPr>
            <w:rStyle w:val="Hyperlink"/>
            <w:rFonts w:cs="Arial"/>
            <w:i w:val="0"/>
            <w:szCs w:val="18"/>
          </w:rPr>
          <w:t>https://www.education.vic.gov.au/about/research/Pages/vcamsindicator.aspx</w:t>
        </w:r>
      </w:hyperlink>
    </w:p>
    <w:p w14:paraId="23AB076D" w14:textId="3007C8E5" w:rsidR="00FB052D" w:rsidRPr="00FB052D" w:rsidRDefault="004029C7" w:rsidP="00FB052D">
      <w:pPr>
        <w:pStyle w:val="DHHStablecaption"/>
      </w:pPr>
      <w:bookmarkStart w:id="452" w:name="_Toc18908734"/>
      <w:bookmarkStart w:id="453" w:name="_Toc27414413"/>
      <w:r>
        <w:rPr>
          <w:rFonts w:cs="Arial"/>
        </w:rPr>
        <w:t>Table</w:t>
      </w:r>
      <w:r w:rsidR="00FB052D">
        <w:rPr>
          <w:rFonts w:cs="Arial"/>
        </w:rPr>
        <w:t xml:space="preserve"> 7.5: </w:t>
      </w:r>
      <w:r w:rsidR="00FB052D">
        <w:t>Proportion of adolescents aged 10–17</w:t>
      </w:r>
      <w:r w:rsidR="00FB052D" w:rsidRPr="00662F01">
        <w:t xml:space="preserve"> years who eat the daily recommended serves of vegetables</w:t>
      </w:r>
      <w:r w:rsidR="00FB052D">
        <w:t>, 2014 and 2016</w:t>
      </w:r>
      <w:bookmarkEnd w:id="452"/>
      <w:bookmarkEnd w:id="453"/>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634"/>
        <w:gridCol w:w="2449"/>
        <w:gridCol w:w="2704"/>
        <w:gridCol w:w="2835"/>
      </w:tblGrid>
      <w:tr w:rsidR="0038266E" w:rsidRPr="00DB4F90" w14:paraId="224B7F9D" w14:textId="77777777" w:rsidTr="00827F83">
        <w:trPr>
          <w:trHeight w:val="297"/>
        </w:trPr>
        <w:tc>
          <w:tcPr>
            <w:tcW w:w="2634" w:type="dxa"/>
            <w:shd w:val="clear" w:color="auto" w:fill="EDCDCF"/>
            <w:vAlign w:val="center"/>
          </w:tcPr>
          <w:p w14:paraId="601C03DA" w14:textId="77777777" w:rsidR="0038266E" w:rsidRPr="00DB4F90" w:rsidRDefault="0038266E" w:rsidP="00827F83">
            <w:pPr>
              <w:pStyle w:val="DHHStablecolhead"/>
            </w:pPr>
            <w:r w:rsidRPr="00DB4F90">
              <w:t>Year</w:t>
            </w:r>
          </w:p>
        </w:tc>
        <w:tc>
          <w:tcPr>
            <w:tcW w:w="2449" w:type="dxa"/>
            <w:shd w:val="clear" w:color="auto" w:fill="EDCDCF"/>
            <w:vAlign w:val="center"/>
          </w:tcPr>
          <w:p w14:paraId="2DCCA7CD" w14:textId="37DDF503" w:rsidR="0038266E" w:rsidRPr="00DB4F90" w:rsidRDefault="0038266E" w:rsidP="00827F83">
            <w:pPr>
              <w:pStyle w:val="DHHStablecolhead"/>
            </w:pPr>
            <w:r w:rsidRPr="00DB4F90">
              <w:t>201</w:t>
            </w:r>
            <w:r w:rsidR="004029C7">
              <w:t>4</w:t>
            </w:r>
          </w:p>
        </w:tc>
        <w:tc>
          <w:tcPr>
            <w:tcW w:w="2704" w:type="dxa"/>
            <w:shd w:val="clear" w:color="auto" w:fill="EDCDCF"/>
            <w:vAlign w:val="center"/>
          </w:tcPr>
          <w:p w14:paraId="1F4E22A4" w14:textId="77777777" w:rsidR="0038266E" w:rsidRPr="00DB4F90" w:rsidRDefault="0038266E" w:rsidP="00827F83">
            <w:pPr>
              <w:pStyle w:val="DHHStablecolhead"/>
            </w:pPr>
          </w:p>
        </w:tc>
        <w:tc>
          <w:tcPr>
            <w:tcW w:w="2835" w:type="dxa"/>
            <w:shd w:val="clear" w:color="auto" w:fill="EDCDCF"/>
            <w:vAlign w:val="center"/>
          </w:tcPr>
          <w:p w14:paraId="1393A5C7" w14:textId="70116282" w:rsidR="0038266E" w:rsidRPr="00DB4F90" w:rsidRDefault="0038266E" w:rsidP="00827F83">
            <w:pPr>
              <w:pStyle w:val="DHHStablecolhead"/>
            </w:pPr>
            <w:r w:rsidRPr="00DB4F90">
              <w:t>201</w:t>
            </w:r>
            <w:r w:rsidR="004029C7">
              <w:t>6</w:t>
            </w:r>
          </w:p>
        </w:tc>
      </w:tr>
      <w:tr w:rsidR="0038266E" w:rsidRPr="0069114D" w14:paraId="267A6C58" w14:textId="77777777" w:rsidTr="00827F83">
        <w:trPr>
          <w:trHeight w:val="297"/>
        </w:trPr>
        <w:tc>
          <w:tcPr>
            <w:tcW w:w="2634" w:type="dxa"/>
            <w:shd w:val="clear" w:color="auto" w:fill="auto"/>
            <w:vAlign w:val="center"/>
          </w:tcPr>
          <w:p w14:paraId="456B65FA" w14:textId="77777777" w:rsidR="0038266E" w:rsidRPr="005E739D" w:rsidRDefault="0038266E" w:rsidP="00827F83">
            <w:pPr>
              <w:pStyle w:val="DHHStabletext"/>
            </w:pPr>
            <w:r>
              <w:t>Per cent (%)</w:t>
            </w:r>
          </w:p>
        </w:tc>
        <w:tc>
          <w:tcPr>
            <w:tcW w:w="2449" w:type="dxa"/>
            <w:shd w:val="clear" w:color="auto" w:fill="auto"/>
            <w:vAlign w:val="center"/>
          </w:tcPr>
          <w:p w14:paraId="44340DA6" w14:textId="03A0C6B5" w:rsidR="0038266E" w:rsidRPr="0069114D" w:rsidRDefault="004029C7" w:rsidP="00827F83">
            <w:pPr>
              <w:pStyle w:val="DHHStabletext"/>
            </w:pPr>
            <w:r>
              <w:t>12.8</w:t>
            </w:r>
          </w:p>
        </w:tc>
        <w:tc>
          <w:tcPr>
            <w:tcW w:w="2704" w:type="dxa"/>
            <w:shd w:val="clear" w:color="auto" w:fill="auto"/>
            <w:vAlign w:val="center"/>
          </w:tcPr>
          <w:p w14:paraId="1BFC6D60" w14:textId="77777777" w:rsidR="0038266E" w:rsidRPr="0069114D" w:rsidRDefault="0038266E" w:rsidP="00827F83">
            <w:pPr>
              <w:pStyle w:val="DHHStabletext"/>
            </w:pPr>
          </w:p>
        </w:tc>
        <w:tc>
          <w:tcPr>
            <w:tcW w:w="2835" w:type="dxa"/>
            <w:shd w:val="clear" w:color="auto" w:fill="auto"/>
            <w:vAlign w:val="center"/>
          </w:tcPr>
          <w:p w14:paraId="3DFCCE12" w14:textId="2D08F236" w:rsidR="0038266E" w:rsidRPr="0069114D" w:rsidRDefault="004029C7" w:rsidP="00827F83">
            <w:pPr>
              <w:pStyle w:val="DHHStabletext"/>
            </w:pPr>
            <w:r>
              <w:t>12.6</w:t>
            </w:r>
          </w:p>
        </w:tc>
      </w:tr>
      <w:tr w:rsidR="0038266E" w:rsidRPr="0069114D" w14:paraId="78F9E73B" w14:textId="77777777" w:rsidTr="00827F83">
        <w:trPr>
          <w:trHeight w:val="297"/>
        </w:trPr>
        <w:tc>
          <w:tcPr>
            <w:tcW w:w="2634" w:type="dxa"/>
            <w:shd w:val="clear" w:color="auto" w:fill="auto"/>
            <w:vAlign w:val="center"/>
          </w:tcPr>
          <w:p w14:paraId="419B43B6" w14:textId="77777777" w:rsidR="0038266E" w:rsidRDefault="0038266E" w:rsidP="00827F83">
            <w:pPr>
              <w:pStyle w:val="DHHStabletext"/>
            </w:pPr>
            <w:r>
              <w:t>95% CI</w:t>
            </w:r>
          </w:p>
        </w:tc>
        <w:tc>
          <w:tcPr>
            <w:tcW w:w="2449" w:type="dxa"/>
            <w:shd w:val="clear" w:color="auto" w:fill="auto"/>
            <w:vAlign w:val="center"/>
          </w:tcPr>
          <w:p w14:paraId="7C816B7D" w14:textId="5E4D6C45" w:rsidR="0038266E" w:rsidRPr="0069114D" w:rsidRDefault="0038266E" w:rsidP="00827F83">
            <w:pPr>
              <w:pStyle w:val="DHHStabletext"/>
            </w:pPr>
            <w:r w:rsidRPr="0069114D">
              <w:t>(</w:t>
            </w:r>
            <w:r w:rsidR="004029C7">
              <w:t>11.8</w:t>
            </w:r>
            <w:r>
              <w:t>–</w:t>
            </w:r>
            <w:r w:rsidR="004029C7">
              <w:t>13.7</w:t>
            </w:r>
            <w:r w:rsidRPr="0069114D">
              <w:t>)</w:t>
            </w:r>
          </w:p>
        </w:tc>
        <w:tc>
          <w:tcPr>
            <w:tcW w:w="2704" w:type="dxa"/>
            <w:shd w:val="clear" w:color="auto" w:fill="auto"/>
            <w:vAlign w:val="center"/>
          </w:tcPr>
          <w:p w14:paraId="0C059A77" w14:textId="77777777" w:rsidR="0038266E" w:rsidRPr="0069114D" w:rsidRDefault="0038266E" w:rsidP="00827F83">
            <w:pPr>
              <w:pStyle w:val="DHHStabletext"/>
            </w:pPr>
          </w:p>
        </w:tc>
        <w:tc>
          <w:tcPr>
            <w:tcW w:w="2835" w:type="dxa"/>
            <w:shd w:val="clear" w:color="auto" w:fill="auto"/>
            <w:vAlign w:val="center"/>
          </w:tcPr>
          <w:p w14:paraId="4E038B0A" w14:textId="749ED3B0" w:rsidR="0038266E" w:rsidRPr="0069114D" w:rsidRDefault="0038266E" w:rsidP="00827F83">
            <w:pPr>
              <w:pStyle w:val="DHHStabletext"/>
            </w:pPr>
            <w:r w:rsidRPr="0069114D">
              <w:t>(</w:t>
            </w:r>
            <w:r w:rsidR="004029C7">
              <w:t>12</w:t>
            </w:r>
            <w:r>
              <w:t>.</w:t>
            </w:r>
            <w:r w:rsidR="004029C7">
              <w:t>0</w:t>
            </w:r>
            <w:r>
              <w:t>–</w:t>
            </w:r>
            <w:r w:rsidR="004029C7">
              <w:t>13</w:t>
            </w:r>
            <w:r w:rsidRPr="0069114D">
              <w:t>.</w:t>
            </w:r>
            <w:r w:rsidR="004029C7">
              <w:t>2</w:t>
            </w:r>
            <w:r w:rsidRPr="0069114D">
              <w:t>)</w:t>
            </w:r>
          </w:p>
        </w:tc>
      </w:tr>
    </w:tbl>
    <w:p w14:paraId="0C42D658" w14:textId="589A4AA8" w:rsidR="000C590B" w:rsidRDefault="000C590B" w:rsidP="0091523F">
      <w:pPr>
        <w:pStyle w:val="DHHSfigurecaption"/>
      </w:pPr>
      <w:bookmarkStart w:id="454" w:name="_Toc19008075"/>
      <w:bookmarkStart w:id="455" w:name="_Toc19008311"/>
      <w:bookmarkStart w:id="456" w:name="_Toc19008458"/>
      <w:bookmarkStart w:id="457" w:name="_Toc19008605"/>
      <w:bookmarkStart w:id="458" w:name="_Toc27414313"/>
      <w:r w:rsidRPr="00375EE6">
        <w:t>Figure 7.5.1</w:t>
      </w:r>
      <w:r w:rsidR="00CA2AD7">
        <w:t>:</w:t>
      </w:r>
      <w:r w:rsidRPr="00375EE6">
        <w:t xml:space="preserve"> Proportion of adolescents </w:t>
      </w:r>
      <w:r w:rsidR="004A40D6">
        <w:t xml:space="preserve">aged </w:t>
      </w:r>
      <w:r w:rsidRPr="00375EE6">
        <w:t>10</w:t>
      </w:r>
      <w:r w:rsidR="00CA2AD7">
        <w:t>–</w:t>
      </w:r>
      <w:r w:rsidRPr="00375EE6">
        <w:t>17 years who eat the daily recommended serves of vegetables</w:t>
      </w:r>
      <w:r w:rsidR="004A40D6">
        <w:t>,</w:t>
      </w:r>
      <w:r w:rsidRPr="00375EE6">
        <w:t xml:space="preserve"> by remoteness area and gender, 2014 and 2016</w:t>
      </w:r>
      <w:bookmarkEnd w:id="454"/>
      <w:bookmarkEnd w:id="455"/>
      <w:bookmarkEnd w:id="456"/>
      <w:bookmarkEnd w:id="457"/>
      <w:bookmarkEnd w:id="458"/>
    </w:p>
    <w:p w14:paraId="0615B163" w14:textId="0F40EFF8" w:rsidR="00660649" w:rsidRDefault="009F6F50" w:rsidP="00B07F24">
      <w:pPr>
        <w:pStyle w:val="DHHSbody"/>
        <w:rPr>
          <w:rFonts w:cs="Arial"/>
          <w:i/>
          <w:noProof/>
          <w:sz w:val="18"/>
          <w:szCs w:val="18"/>
        </w:rPr>
      </w:pPr>
      <w:r>
        <w:rPr>
          <w:rFonts w:cs="Arial"/>
          <w:i/>
          <w:noProof/>
          <w:sz w:val="18"/>
          <w:szCs w:val="18"/>
        </w:rPr>
        <w:drawing>
          <wp:inline distT="0" distB="0" distL="0" distR="0" wp14:anchorId="244765E0" wp14:editId="6C886B7F">
            <wp:extent cx="6748780" cy="2676525"/>
            <wp:effectExtent l="0" t="0" r="0" b="9525"/>
            <wp:docPr id="343" name="Picture 343" descr="This figure presents data by remoteness and gender under the Measure 7.5 - Proportion of adolescents aged 10-17 years who eat the daily recommended serves of vegetables' for 2014 and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748780" cy="2676525"/>
                    </a:xfrm>
                    <a:prstGeom prst="rect">
                      <a:avLst/>
                    </a:prstGeom>
                    <a:noFill/>
                  </pic:spPr>
                </pic:pic>
              </a:graphicData>
            </a:graphic>
          </wp:inline>
        </w:drawing>
      </w:r>
    </w:p>
    <w:p w14:paraId="1BF2A8CA" w14:textId="12133645" w:rsidR="004B7326" w:rsidRPr="00B07F24" w:rsidRDefault="00255D0C" w:rsidP="00660649">
      <w:pPr>
        <w:pStyle w:val="DHHStablefigurenote"/>
      </w:pPr>
      <w:r w:rsidRPr="00255D0C">
        <w:rPr>
          <w:noProof/>
        </w:rPr>
        <w:t>Source: Victorian Child Health and Wellbeing Survey</w:t>
      </w:r>
      <w:r w:rsidR="00C575AB">
        <w:rPr>
          <w:noProof/>
        </w:rPr>
        <w:t xml:space="preserve"> 2016</w:t>
      </w:r>
      <w:r w:rsidR="004B7326">
        <w:br w:type="page"/>
      </w:r>
    </w:p>
    <w:p w14:paraId="679D3072" w14:textId="1FA0F763" w:rsidR="004E0E9D" w:rsidRPr="004E0E9D" w:rsidRDefault="004E0E9D" w:rsidP="009901D9">
      <w:pPr>
        <w:pStyle w:val="Heading4"/>
        <w:spacing w:before="0" w:line="270" w:lineRule="atLeast"/>
      </w:pPr>
      <w:r w:rsidRPr="00E43803">
        <w:lastRenderedPageBreak/>
        <w:t>Measure assessment</w:t>
      </w:r>
    </w:p>
    <w:p w14:paraId="21B1EA37" w14:textId="3864E2A2" w:rsidR="00C50D6F" w:rsidRPr="009901D9" w:rsidRDefault="00C50D6F" w:rsidP="009901D9">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6F5AB0"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73822F32" w14:textId="0E5D1EFB" w:rsidR="00C50D6F" w:rsidRPr="00A40B1E" w:rsidRDefault="00C50D6F" w:rsidP="009901D9">
      <w:pPr>
        <w:autoSpaceDE w:val="0"/>
        <w:autoSpaceDN w:val="0"/>
        <w:adjustRightInd w:val="0"/>
        <w:spacing w:after="120" w:line="270" w:lineRule="atLeast"/>
        <w:rPr>
          <w:rFonts w:ascii="Arial" w:hAnsi="Arial" w:cs="Arial"/>
        </w:rPr>
      </w:pPr>
      <w:r w:rsidRPr="00A40B1E">
        <w:rPr>
          <w:rFonts w:ascii="Arial" w:hAnsi="Arial" w:cs="Arial"/>
        </w:rPr>
        <w:t xml:space="preserve">Overall trend: </w:t>
      </w:r>
      <w:r w:rsidR="00D15308">
        <w:rPr>
          <w:rFonts w:ascii="Arial" w:hAnsi="Arial" w:cs="Arial"/>
        </w:rPr>
        <w:t>Static or unchanging</w:t>
      </w:r>
    </w:p>
    <w:p w14:paraId="43B46606" w14:textId="54EBF4F5" w:rsidR="009557EC" w:rsidRPr="00A40B1E" w:rsidRDefault="00C50D6F" w:rsidP="00766CB2">
      <w:pPr>
        <w:spacing w:after="120" w:line="270" w:lineRule="atLeast"/>
        <w:rPr>
          <w:rFonts w:ascii="Arial" w:eastAsia="MS Gothic" w:hAnsi="Arial" w:cs="Arial"/>
          <w:b/>
          <w:bCs/>
          <w:sz w:val="24"/>
          <w:szCs w:val="26"/>
        </w:rPr>
      </w:pPr>
      <w:r w:rsidRPr="00A40B1E">
        <w:rPr>
          <w:rFonts w:ascii="Arial" w:hAnsi="Arial" w:cs="Arial"/>
        </w:rPr>
        <w:t xml:space="preserve">Commentary: </w:t>
      </w:r>
      <w:r w:rsidR="004A40D6">
        <w:rPr>
          <w:rFonts w:ascii="Arial" w:hAnsi="Arial" w:cs="Arial"/>
        </w:rPr>
        <w:t>Consuming v</w:t>
      </w:r>
      <w:r w:rsidR="00CA184B" w:rsidRPr="00A40B1E">
        <w:rPr>
          <w:rFonts w:ascii="Arial" w:hAnsi="Arial" w:cs="Arial"/>
        </w:rPr>
        <w:t>egetable</w:t>
      </w:r>
      <w:r w:rsidR="004A40D6">
        <w:rPr>
          <w:rFonts w:ascii="Arial" w:hAnsi="Arial" w:cs="Arial"/>
        </w:rPr>
        <w:t>s</w:t>
      </w:r>
      <w:r w:rsidR="00CA184B" w:rsidRPr="00A40B1E">
        <w:rPr>
          <w:rFonts w:ascii="Arial" w:hAnsi="Arial" w:cs="Arial"/>
        </w:rPr>
        <w:t xml:space="preserve"> (and fruit) </w:t>
      </w:r>
      <w:r w:rsidR="004A40D6">
        <w:rPr>
          <w:rFonts w:ascii="Arial" w:hAnsi="Arial" w:cs="Arial"/>
        </w:rPr>
        <w:t xml:space="preserve">that </w:t>
      </w:r>
      <w:r w:rsidR="00E975C3" w:rsidRPr="00A40B1E">
        <w:rPr>
          <w:rFonts w:ascii="Arial" w:hAnsi="Arial" w:cs="Arial"/>
        </w:rPr>
        <w:t xml:space="preserve">are high in nutrients </w:t>
      </w:r>
      <w:r w:rsidR="004A40D6">
        <w:rPr>
          <w:rFonts w:ascii="Arial" w:hAnsi="Arial" w:cs="Arial"/>
        </w:rPr>
        <w:t xml:space="preserve">is </w:t>
      </w:r>
      <w:r w:rsidR="00E975C3" w:rsidRPr="00A40B1E">
        <w:rPr>
          <w:rFonts w:ascii="Arial" w:hAnsi="Arial" w:cs="Arial"/>
        </w:rPr>
        <w:t xml:space="preserve">potentially protective against cancers. </w:t>
      </w:r>
      <w:r w:rsidR="00E975C3" w:rsidRPr="00A40B1E">
        <w:rPr>
          <w:rFonts w:ascii="Arial" w:hAnsi="Arial" w:cs="Arial"/>
          <w:lang w:val="en"/>
        </w:rPr>
        <w:t>A longitudinal study has suggested that high vegetable consumption in adolescence has a beneficial influence on self-rated health in early adulthood.</w:t>
      </w:r>
      <w:r w:rsidR="00E975C3" w:rsidRPr="00A40B1E">
        <w:rPr>
          <w:rStyle w:val="FootnoteReference"/>
          <w:rFonts w:cs="Arial"/>
          <w:lang w:val="en"/>
        </w:rPr>
        <w:footnoteReference w:id="77"/>
      </w:r>
      <w:r w:rsidR="00E975C3" w:rsidRPr="00A40B1E">
        <w:rPr>
          <w:rFonts w:ascii="Arial" w:hAnsi="Arial" w:cs="Arial"/>
          <w:lang w:val="en"/>
        </w:rPr>
        <w:t xml:space="preserve"> Consuming a minimum of </w:t>
      </w:r>
      <w:r w:rsidR="00C1743F" w:rsidRPr="00A40B1E">
        <w:rPr>
          <w:rFonts w:ascii="Arial" w:hAnsi="Arial" w:cs="Arial"/>
          <w:lang w:val="en"/>
        </w:rPr>
        <w:t>five serves of vegetables per day is recommended for all adolescents.</w:t>
      </w:r>
      <w:r w:rsidR="00C1743F" w:rsidRPr="00A40B1E">
        <w:rPr>
          <w:rStyle w:val="FootnoteReference"/>
          <w:rFonts w:cs="Arial"/>
        </w:rPr>
        <w:footnoteReference w:id="78"/>
      </w:r>
      <w:r w:rsidR="002552A1" w:rsidRPr="00A40B1E">
        <w:rPr>
          <w:rFonts w:ascii="Arial" w:hAnsi="Arial" w:cs="Arial"/>
          <w:lang w:val="en"/>
        </w:rPr>
        <w:t xml:space="preserve"> Figure 7.5 </w:t>
      </w:r>
      <w:r w:rsidR="009D796E">
        <w:rPr>
          <w:rFonts w:ascii="Arial" w:hAnsi="Arial" w:cs="Arial"/>
          <w:lang w:val="en"/>
        </w:rPr>
        <w:t xml:space="preserve">and Table 7.5 </w:t>
      </w:r>
      <w:r w:rsidR="002552A1" w:rsidRPr="00A40B1E">
        <w:rPr>
          <w:rFonts w:ascii="Arial" w:hAnsi="Arial" w:cs="Arial"/>
          <w:lang w:val="en"/>
        </w:rPr>
        <w:t>show that the proportion of adolescents aged 10</w:t>
      </w:r>
      <w:r w:rsidR="00CA2AD7">
        <w:rPr>
          <w:rFonts w:ascii="Arial" w:hAnsi="Arial" w:cs="Arial"/>
          <w:lang w:val="en"/>
        </w:rPr>
        <w:t>–</w:t>
      </w:r>
      <w:r w:rsidR="002552A1" w:rsidRPr="00A40B1E">
        <w:rPr>
          <w:rFonts w:ascii="Arial" w:hAnsi="Arial" w:cs="Arial"/>
          <w:lang w:val="en"/>
        </w:rPr>
        <w:t xml:space="preserve">17 years in Victoria consuming vegetables </w:t>
      </w:r>
      <w:r w:rsidR="009D796E">
        <w:rPr>
          <w:rFonts w:ascii="Arial" w:hAnsi="Arial" w:cs="Arial"/>
          <w:lang w:val="en"/>
        </w:rPr>
        <w:t>decreased slightly</w:t>
      </w:r>
      <w:r w:rsidR="002552A1" w:rsidRPr="00A40B1E">
        <w:rPr>
          <w:rFonts w:ascii="Arial" w:hAnsi="Arial" w:cs="Arial"/>
          <w:lang w:val="en"/>
        </w:rPr>
        <w:t xml:space="preserve"> between 2014 and 2016, among all children and for boys and girls. </w:t>
      </w:r>
      <w:r w:rsidR="002552A1" w:rsidRPr="00A40B1E">
        <w:rPr>
          <w:rFonts w:ascii="Arial" w:hAnsi="Arial" w:cs="Arial"/>
        </w:rPr>
        <w:t xml:space="preserve">The proportion of all adolescents living in metropolitan </w:t>
      </w:r>
      <w:r w:rsidR="00224E46" w:rsidRPr="00A40B1E">
        <w:rPr>
          <w:rFonts w:ascii="Arial" w:hAnsi="Arial" w:cs="Arial"/>
        </w:rPr>
        <w:t xml:space="preserve">and regional </w:t>
      </w:r>
      <w:r w:rsidR="002552A1" w:rsidRPr="00A40B1E">
        <w:rPr>
          <w:rFonts w:ascii="Arial" w:hAnsi="Arial" w:cs="Arial"/>
        </w:rPr>
        <w:t xml:space="preserve">areas consuming </w:t>
      </w:r>
      <w:r w:rsidR="00224E46" w:rsidRPr="00A40B1E">
        <w:rPr>
          <w:rFonts w:ascii="Arial" w:hAnsi="Arial" w:cs="Arial"/>
        </w:rPr>
        <w:t xml:space="preserve">vegetables </w:t>
      </w:r>
      <w:r w:rsidR="009D796E">
        <w:rPr>
          <w:rFonts w:ascii="Arial" w:hAnsi="Arial" w:cs="Arial"/>
        </w:rPr>
        <w:t xml:space="preserve">remained static </w:t>
      </w:r>
      <w:r w:rsidR="002552A1" w:rsidRPr="00A40B1E">
        <w:rPr>
          <w:rFonts w:ascii="Arial" w:hAnsi="Arial" w:cs="Arial"/>
        </w:rPr>
        <w:t>between 2014 and 2016</w:t>
      </w:r>
      <w:r w:rsidR="00617F21" w:rsidRPr="00A40B1E">
        <w:rPr>
          <w:rFonts w:ascii="Arial" w:hAnsi="Arial" w:cs="Arial"/>
        </w:rPr>
        <w:t xml:space="preserve"> (Figure 7.5.1)</w:t>
      </w:r>
      <w:r w:rsidR="002552A1" w:rsidRPr="00A40B1E">
        <w:rPr>
          <w:rFonts w:ascii="Arial" w:hAnsi="Arial" w:cs="Arial"/>
        </w:rPr>
        <w:t>.</w:t>
      </w:r>
      <w:r w:rsidR="00952FC7">
        <w:rPr>
          <w:rFonts w:ascii="Arial" w:hAnsi="Arial" w:cs="Arial"/>
        </w:rPr>
        <w:t xml:space="preserve"> </w:t>
      </w:r>
    </w:p>
    <w:p w14:paraId="39878ACD" w14:textId="763B9E37" w:rsidR="002552A1" w:rsidRPr="001A2A05" w:rsidRDefault="00EB56BB" w:rsidP="00766CB2">
      <w:pPr>
        <w:spacing w:after="120" w:line="270" w:lineRule="atLeast"/>
        <w:rPr>
          <w:rFonts w:ascii="Arial" w:hAnsi="Arial" w:cs="Arial"/>
        </w:rPr>
      </w:pPr>
      <w:r w:rsidRPr="00A40B1E">
        <w:rPr>
          <w:rFonts w:ascii="Arial" w:hAnsi="Arial" w:cs="Arial"/>
        </w:rPr>
        <w:t xml:space="preserve">While no target has been set, overall, this measure shows that the proportion of daily </w:t>
      </w:r>
      <w:r w:rsidR="00472FC6">
        <w:rPr>
          <w:rFonts w:ascii="Arial" w:hAnsi="Arial" w:cs="Arial"/>
        </w:rPr>
        <w:t>vegetable</w:t>
      </w:r>
      <w:r w:rsidRPr="00A40B1E">
        <w:rPr>
          <w:rFonts w:ascii="Arial" w:hAnsi="Arial" w:cs="Arial"/>
        </w:rPr>
        <w:t xml:space="preserve"> consumption for adolescents aged 10</w:t>
      </w:r>
      <w:r w:rsidR="00CA2AD7">
        <w:rPr>
          <w:rFonts w:ascii="Arial" w:hAnsi="Arial" w:cs="Arial"/>
        </w:rPr>
        <w:t>–</w:t>
      </w:r>
      <w:r w:rsidRPr="00A40B1E">
        <w:rPr>
          <w:rFonts w:ascii="Arial" w:hAnsi="Arial" w:cs="Arial"/>
        </w:rPr>
        <w:t>17 years</w:t>
      </w:r>
      <w:r w:rsidRPr="00A40B1E">
        <w:rPr>
          <w:rFonts w:ascii="Arial" w:hAnsi="Arial" w:cs="Arial"/>
          <w:lang w:val="en"/>
        </w:rPr>
        <w:t xml:space="preserve"> who met the dietary guideline for daily vegetable intake is </w:t>
      </w:r>
      <w:r w:rsidR="007847AF">
        <w:rPr>
          <w:rFonts w:ascii="Arial" w:hAnsi="Arial" w:cs="Arial"/>
          <w:lang w:val="en"/>
        </w:rPr>
        <w:t xml:space="preserve">not </w:t>
      </w:r>
      <w:r w:rsidRPr="00A40B1E">
        <w:rPr>
          <w:rFonts w:ascii="Arial" w:hAnsi="Arial" w:cs="Arial"/>
          <w:lang w:val="en"/>
        </w:rPr>
        <w:t>increasing. However</w:t>
      </w:r>
      <w:r w:rsidR="00EC1349" w:rsidRPr="00A40B1E">
        <w:rPr>
          <w:rFonts w:ascii="Arial" w:hAnsi="Arial" w:cs="Arial"/>
          <w:lang w:val="en"/>
        </w:rPr>
        <w:t>,</w:t>
      </w:r>
      <w:r w:rsidRPr="00A40B1E">
        <w:rPr>
          <w:rFonts w:ascii="Arial" w:hAnsi="Arial" w:cs="Arial"/>
          <w:lang w:val="en"/>
        </w:rPr>
        <w:t xml:space="preserve"> this observed trend is low</w:t>
      </w:r>
      <w:r w:rsidR="004A40D6">
        <w:rPr>
          <w:rFonts w:ascii="Arial" w:hAnsi="Arial" w:cs="Arial"/>
          <w:lang w:val="en"/>
        </w:rPr>
        <w:t>,</w:t>
      </w:r>
      <w:r w:rsidRPr="00A40B1E">
        <w:rPr>
          <w:rFonts w:ascii="Arial" w:hAnsi="Arial" w:cs="Arial"/>
          <w:lang w:val="en"/>
        </w:rPr>
        <w:t xml:space="preserve"> </w:t>
      </w:r>
      <w:r w:rsidR="00EF4D14" w:rsidRPr="00A40B1E">
        <w:rPr>
          <w:rFonts w:ascii="Arial" w:hAnsi="Arial" w:cs="Arial"/>
          <w:lang w:val="en"/>
        </w:rPr>
        <w:t>making the promotion of consumption an important</w:t>
      </w:r>
      <w:r w:rsidR="00EC1349" w:rsidRPr="00A40B1E">
        <w:rPr>
          <w:rFonts w:ascii="Arial" w:hAnsi="Arial" w:cs="Arial"/>
          <w:lang w:val="en"/>
        </w:rPr>
        <w:t xml:space="preserve"> health promotion</w:t>
      </w:r>
      <w:r w:rsidR="00EF4D14" w:rsidRPr="00A40B1E">
        <w:rPr>
          <w:rFonts w:ascii="Arial" w:hAnsi="Arial" w:cs="Arial"/>
          <w:lang w:val="en"/>
        </w:rPr>
        <w:t xml:space="preserve"> challenge</w:t>
      </w:r>
      <w:r w:rsidRPr="00A40B1E">
        <w:rPr>
          <w:rFonts w:ascii="Arial" w:hAnsi="Arial" w:cs="Arial"/>
          <w:lang w:val="en"/>
        </w:rPr>
        <w:t>.</w:t>
      </w:r>
      <w:r w:rsidR="002552A1" w:rsidRPr="00EC1349">
        <w:br w:type="page"/>
      </w:r>
    </w:p>
    <w:p w14:paraId="0D5891A5" w14:textId="7E483C6F" w:rsidR="00784A70" w:rsidRDefault="00784A70" w:rsidP="00784A70">
      <w:pPr>
        <w:pStyle w:val="Heading3"/>
        <w:rPr>
          <w:lang w:eastAsia="en-AU"/>
        </w:rPr>
      </w:pPr>
      <w:bookmarkStart w:id="459" w:name="_Measure_7.6_–"/>
      <w:bookmarkStart w:id="460" w:name="_Toc19008076"/>
      <w:bookmarkEnd w:id="459"/>
      <w:r>
        <w:rPr>
          <w:lang w:eastAsia="en-AU"/>
        </w:rPr>
        <w:lastRenderedPageBreak/>
        <w:t>Measure 7.6 –</w:t>
      </w:r>
      <w:r w:rsidR="00782252">
        <w:rPr>
          <w:lang w:eastAsia="en-AU"/>
        </w:rPr>
        <w:t xml:space="preserve"> </w:t>
      </w:r>
      <w:r w:rsidR="00BE61B2">
        <w:rPr>
          <w:lang w:eastAsia="en-AU"/>
        </w:rPr>
        <w:t xml:space="preserve">Proportion of </w:t>
      </w:r>
      <w:r w:rsidR="0028681D">
        <w:rPr>
          <w:lang w:eastAsia="en-AU"/>
        </w:rPr>
        <w:t>children 4</w:t>
      </w:r>
      <w:r w:rsidR="00690CD3">
        <w:rPr>
          <w:lang w:eastAsia="en-AU"/>
        </w:rPr>
        <w:t>–1</w:t>
      </w:r>
      <w:r w:rsidR="0028681D">
        <w:rPr>
          <w:lang w:eastAsia="en-AU"/>
        </w:rPr>
        <w:t>2 years</w:t>
      </w:r>
      <w:r w:rsidR="00BE61B2">
        <w:rPr>
          <w:lang w:eastAsia="en-AU"/>
        </w:rPr>
        <w:t xml:space="preserve"> who eat the daily recommended serves of vegetables</w:t>
      </w:r>
      <w:bookmarkEnd w:id="460"/>
    </w:p>
    <w:p w14:paraId="494FED35" w14:textId="18EDF056" w:rsidR="00662F01" w:rsidRDefault="00662F01" w:rsidP="0091523F">
      <w:pPr>
        <w:pStyle w:val="DHHSfigurecaption"/>
      </w:pPr>
      <w:bookmarkStart w:id="461" w:name="_Toc19008077"/>
      <w:bookmarkStart w:id="462" w:name="_Toc19008312"/>
      <w:bookmarkStart w:id="463" w:name="_Toc19008459"/>
      <w:bookmarkStart w:id="464" w:name="_Toc19008606"/>
      <w:bookmarkStart w:id="465" w:name="_Toc27414314"/>
      <w:r w:rsidRPr="00662F01">
        <w:t>Figure 7.6</w:t>
      </w:r>
      <w:r w:rsidR="00CA2AD7">
        <w:t>:</w:t>
      </w:r>
      <w:r w:rsidRPr="00662F01">
        <w:t xml:space="preserve"> Proportion of children</w:t>
      </w:r>
      <w:r w:rsidR="00596515">
        <w:t xml:space="preserve"> aged</w:t>
      </w:r>
      <w:r w:rsidRPr="00662F01">
        <w:t xml:space="preserve"> 4</w:t>
      </w:r>
      <w:r w:rsidR="00CA2AD7">
        <w:t>–</w:t>
      </w:r>
      <w:r w:rsidRPr="00662F01">
        <w:t>12 years who eat the daily recommended serves of vegetables</w:t>
      </w:r>
      <w:r w:rsidR="00596515">
        <w:t xml:space="preserve">, </w:t>
      </w:r>
      <w:r w:rsidR="00E458B0">
        <w:t xml:space="preserve">by year, </w:t>
      </w:r>
      <w:r w:rsidR="00596515">
        <w:t>2013</w:t>
      </w:r>
      <w:bookmarkEnd w:id="461"/>
      <w:bookmarkEnd w:id="462"/>
      <w:bookmarkEnd w:id="463"/>
      <w:bookmarkEnd w:id="464"/>
      <w:r w:rsidR="00E458B0">
        <w:t xml:space="preserve"> and 2017</w:t>
      </w:r>
      <w:bookmarkEnd w:id="465"/>
    </w:p>
    <w:p w14:paraId="7B29CFA2" w14:textId="6286CEEC" w:rsidR="00E458B0" w:rsidRPr="00E458B0" w:rsidRDefault="009F6F50" w:rsidP="00211A7E">
      <w:pPr>
        <w:pStyle w:val="DHHSbody"/>
      </w:pPr>
      <w:r>
        <w:rPr>
          <w:noProof/>
        </w:rPr>
        <w:drawing>
          <wp:inline distT="0" distB="0" distL="0" distR="0" wp14:anchorId="1AD9FA51" wp14:editId="66593894">
            <wp:extent cx="6755130" cy="3267710"/>
            <wp:effectExtent l="0" t="0" r="7620" b="8890"/>
            <wp:docPr id="345" name="Picture 345" descr="This figure presents data under the 'Measure 7.6 - Proportion of children 4 to 12 years who ear the minimum daily recommended serves of vegetables'.  The data for this figure for 2013 and 2017 is available in this section - refer to Table 7.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755130" cy="3267710"/>
                    </a:xfrm>
                    <a:prstGeom prst="rect">
                      <a:avLst/>
                    </a:prstGeom>
                    <a:noFill/>
                  </pic:spPr>
                </pic:pic>
              </a:graphicData>
            </a:graphic>
          </wp:inline>
        </w:drawing>
      </w:r>
    </w:p>
    <w:p w14:paraId="14E4B7AF" w14:textId="7E0EBC1D" w:rsidR="00E84FE4" w:rsidRDefault="009E3708" w:rsidP="00660649">
      <w:pPr>
        <w:pStyle w:val="DHHStablefigurenote"/>
      </w:pPr>
      <w:r w:rsidRPr="009E3708">
        <w:t>Source: Victorian Child and Adolescent Monitoring System – Department of Education and Training</w:t>
      </w:r>
      <w:r w:rsidR="00C575AB">
        <w:t xml:space="preserve"> </w:t>
      </w:r>
      <w:r w:rsidR="00C575AB" w:rsidRPr="00C575AB">
        <w:t>https://www.education.vic.gov.au/about/research/Pages/vcamsindicator.aspx</w:t>
      </w:r>
    </w:p>
    <w:p w14:paraId="5171484E" w14:textId="632A029D" w:rsidR="00631CB3" w:rsidRDefault="00E84FE4" w:rsidP="00660649">
      <w:pPr>
        <w:pStyle w:val="DHHStablefigurenote"/>
      </w:pPr>
      <w:r w:rsidRPr="00D2344A">
        <w:rPr>
          <w:color w:val="000000"/>
        </w:rPr>
        <w:t xml:space="preserve">Note: </w:t>
      </w:r>
      <w:r w:rsidR="00676EB9">
        <w:rPr>
          <w:color w:val="000000"/>
        </w:rPr>
        <w:t>T</w:t>
      </w:r>
      <w:r w:rsidRPr="00D2344A">
        <w:rPr>
          <w:color w:val="000000"/>
        </w:rPr>
        <w:t>he minimum recommend</w:t>
      </w:r>
      <w:r w:rsidRPr="00777770">
        <w:t>ed serves of vegetables daily is</w:t>
      </w:r>
      <w:r w:rsidR="005C3B6B" w:rsidRPr="00777770">
        <w:t>:</w:t>
      </w:r>
      <w:r w:rsidRPr="00777770">
        <w:t xml:space="preserve"> 2</w:t>
      </w:r>
      <w:r w:rsidR="00CA2AD7" w:rsidRPr="00777770">
        <w:t>–</w:t>
      </w:r>
      <w:r w:rsidRPr="00777770">
        <w:t>3 years: 2½ serve</w:t>
      </w:r>
      <w:r w:rsidR="00C95014" w:rsidRPr="00777770">
        <w:t>s</w:t>
      </w:r>
      <w:r w:rsidRPr="00777770">
        <w:t>; 4</w:t>
      </w:r>
      <w:r w:rsidR="00CA2AD7" w:rsidRPr="00777770">
        <w:t>–</w:t>
      </w:r>
      <w:r w:rsidRPr="00777770">
        <w:t>8 years: 4½ serves; 9</w:t>
      </w:r>
      <w:r w:rsidR="00CA2AD7" w:rsidRPr="00777770">
        <w:t>–</w:t>
      </w:r>
      <w:r w:rsidRPr="00777770">
        <w:t xml:space="preserve">11 years </w:t>
      </w:r>
      <w:r w:rsidR="00C95014" w:rsidRPr="00777770">
        <w:t>5</w:t>
      </w:r>
      <w:r w:rsidRPr="00777770">
        <w:t xml:space="preserve"> serves; 12</w:t>
      </w:r>
      <w:r w:rsidR="00CA2AD7" w:rsidRPr="00777770">
        <w:t>–</w:t>
      </w:r>
      <w:r w:rsidRPr="00777770">
        <w:t xml:space="preserve">13 years: </w:t>
      </w:r>
      <w:r w:rsidR="00C95014" w:rsidRPr="00777770">
        <w:t>5</w:t>
      </w:r>
      <w:r w:rsidR="00CA2AD7" w:rsidRPr="00777770">
        <w:t>–</w:t>
      </w:r>
      <w:r w:rsidR="00C95014" w:rsidRPr="00777770">
        <w:t xml:space="preserve">5½ </w:t>
      </w:r>
      <w:r w:rsidRPr="00777770">
        <w:t>serves</w:t>
      </w:r>
      <w:r w:rsidR="00A76BC2">
        <w:t>.</w:t>
      </w:r>
    </w:p>
    <w:p w14:paraId="5C6D23BC" w14:textId="69ED307F" w:rsidR="00B26DE3" w:rsidRPr="00FB052D" w:rsidRDefault="00B26DE3" w:rsidP="00B26DE3">
      <w:pPr>
        <w:pStyle w:val="DHHStablecaption"/>
      </w:pPr>
      <w:bookmarkStart w:id="466" w:name="_Toc27414414"/>
      <w:r>
        <w:rPr>
          <w:rFonts w:cs="Arial"/>
        </w:rPr>
        <w:t xml:space="preserve">Table 7.6: </w:t>
      </w:r>
      <w:r>
        <w:t xml:space="preserve">Proportion of </w:t>
      </w:r>
      <w:r w:rsidR="006B423D">
        <w:t>children</w:t>
      </w:r>
      <w:r>
        <w:t xml:space="preserve"> aged </w:t>
      </w:r>
      <w:r w:rsidR="006B423D">
        <w:t>4</w:t>
      </w:r>
      <w:r>
        <w:t>–1</w:t>
      </w:r>
      <w:r w:rsidR="006B423D">
        <w:t>2</w:t>
      </w:r>
      <w:r w:rsidRPr="00662F01">
        <w:t xml:space="preserve"> years who eat the daily recommended serves of vegetables</w:t>
      </w:r>
      <w:r>
        <w:t>,</w:t>
      </w:r>
      <w:r w:rsidR="002E2FE7">
        <w:t xml:space="preserve"> by year,</w:t>
      </w:r>
      <w:r>
        <w:t xml:space="preserve"> 201</w:t>
      </w:r>
      <w:r w:rsidR="002E2FE7">
        <w:t>3</w:t>
      </w:r>
      <w:r>
        <w:t xml:space="preserve"> and 201</w:t>
      </w:r>
      <w:r w:rsidR="002E2FE7">
        <w:t>7</w:t>
      </w:r>
      <w:bookmarkEnd w:id="466"/>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170"/>
        <w:gridCol w:w="1928"/>
        <w:gridCol w:w="2060"/>
        <w:gridCol w:w="2123"/>
        <w:gridCol w:w="2355"/>
      </w:tblGrid>
      <w:tr w:rsidR="00B26DE3" w:rsidRPr="00DB4F90" w14:paraId="21E3CC1E" w14:textId="77777777" w:rsidTr="00B26DE3">
        <w:trPr>
          <w:trHeight w:val="297"/>
        </w:trPr>
        <w:tc>
          <w:tcPr>
            <w:tcW w:w="2170" w:type="dxa"/>
            <w:shd w:val="clear" w:color="auto" w:fill="EDCDCF"/>
            <w:vAlign w:val="center"/>
          </w:tcPr>
          <w:p w14:paraId="36392397" w14:textId="77777777" w:rsidR="00B26DE3" w:rsidRPr="00DB4F90" w:rsidRDefault="00B26DE3" w:rsidP="00AE3B97">
            <w:pPr>
              <w:pStyle w:val="DHHStablecolhead"/>
            </w:pPr>
            <w:r w:rsidRPr="00DB4F90">
              <w:t>Year</w:t>
            </w:r>
          </w:p>
        </w:tc>
        <w:tc>
          <w:tcPr>
            <w:tcW w:w="1928" w:type="dxa"/>
            <w:shd w:val="clear" w:color="auto" w:fill="EDCDCF"/>
          </w:tcPr>
          <w:p w14:paraId="1CD054EC" w14:textId="77777777" w:rsidR="00B26DE3" w:rsidRPr="00DB4F90" w:rsidRDefault="00B26DE3" w:rsidP="00AE3B97">
            <w:pPr>
              <w:pStyle w:val="DHHStablecolhead"/>
            </w:pPr>
          </w:p>
        </w:tc>
        <w:tc>
          <w:tcPr>
            <w:tcW w:w="2060" w:type="dxa"/>
            <w:shd w:val="clear" w:color="auto" w:fill="EDCDCF"/>
            <w:vAlign w:val="center"/>
          </w:tcPr>
          <w:p w14:paraId="49171D04" w14:textId="19CDA6C5" w:rsidR="00B26DE3" w:rsidRPr="00DB4F90" w:rsidRDefault="00B26DE3" w:rsidP="00AE3B97">
            <w:pPr>
              <w:pStyle w:val="DHHStablecolhead"/>
            </w:pPr>
            <w:r w:rsidRPr="00DB4F90">
              <w:t>201</w:t>
            </w:r>
            <w:r w:rsidR="006B423D">
              <w:t>3</w:t>
            </w:r>
          </w:p>
        </w:tc>
        <w:tc>
          <w:tcPr>
            <w:tcW w:w="2123" w:type="dxa"/>
            <w:shd w:val="clear" w:color="auto" w:fill="EDCDCF"/>
            <w:vAlign w:val="center"/>
          </w:tcPr>
          <w:p w14:paraId="16C0EF08" w14:textId="77777777" w:rsidR="00B26DE3" w:rsidRPr="00DB4F90" w:rsidRDefault="00B26DE3" w:rsidP="00AE3B97">
            <w:pPr>
              <w:pStyle w:val="DHHStablecolhead"/>
            </w:pPr>
          </w:p>
        </w:tc>
        <w:tc>
          <w:tcPr>
            <w:tcW w:w="2355" w:type="dxa"/>
            <w:shd w:val="clear" w:color="auto" w:fill="EDCDCF"/>
            <w:vAlign w:val="center"/>
          </w:tcPr>
          <w:p w14:paraId="029ED1D0" w14:textId="714CAC97" w:rsidR="00B26DE3" w:rsidRPr="00DB4F90" w:rsidRDefault="00B26DE3" w:rsidP="00AE3B97">
            <w:pPr>
              <w:pStyle w:val="DHHStablecolhead"/>
            </w:pPr>
            <w:r w:rsidRPr="00DB4F90">
              <w:t>201</w:t>
            </w:r>
            <w:r w:rsidR="006B423D">
              <w:t>7</w:t>
            </w:r>
          </w:p>
        </w:tc>
      </w:tr>
      <w:tr w:rsidR="00B26DE3" w:rsidRPr="0069114D" w14:paraId="7CCDA36A" w14:textId="77777777" w:rsidTr="00B26DE3">
        <w:trPr>
          <w:trHeight w:val="297"/>
        </w:trPr>
        <w:tc>
          <w:tcPr>
            <w:tcW w:w="2170" w:type="dxa"/>
            <w:shd w:val="clear" w:color="auto" w:fill="auto"/>
            <w:vAlign w:val="center"/>
          </w:tcPr>
          <w:p w14:paraId="3B1A4D2E" w14:textId="77777777" w:rsidR="00B26DE3" w:rsidRPr="005E739D" w:rsidRDefault="00B26DE3" w:rsidP="00AE3B97">
            <w:pPr>
              <w:pStyle w:val="DHHStabletext"/>
            </w:pPr>
            <w:r>
              <w:t>Per cent (%)</w:t>
            </w:r>
          </w:p>
        </w:tc>
        <w:tc>
          <w:tcPr>
            <w:tcW w:w="1928" w:type="dxa"/>
          </w:tcPr>
          <w:p w14:paraId="37876BB6" w14:textId="77777777" w:rsidR="00B26DE3" w:rsidRDefault="00B26DE3" w:rsidP="00AE3B97">
            <w:pPr>
              <w:pStyle w:val="DHHStabletext"/>
            </w:pPr>
          </w:p>
        </w:tc>
        <w:tc>
          <w:tcPr>
            <w:tcW w:w="2060" w:type="dxa"/>
            <w:shd w:val="clear" w:color="auto" w:fill="auto"/>
            <w:vAlign w:val="center"/>
          </w:tcPr>
          <w:p w14:paraId="7B0FA39E" w14:textId="5D9B9E44" w:rsidR="00B26DE3" w:rsidRPr="0069114D" w:rsidRDefault="00B26DE3" w:rsidP="00AE3B97">
            <w:pPr>
              <w:pStyle w:val="DHHStabletext"/>
            </w:pPr>
            <w:r>
              <w:t>2.</w:t>
            </w:r>
            <w:r w:rsidR="006B423D">
              <w:t>9</w:t>
            </w:r>
          </w:p>
        </w:tc>
        <w:tc>
          <w:tcPr>
            <w:tcW w:w="2123" w:type="dxa"/>
            <w:shd w:val="clear" w:color="auto" w:fill="auto"/>
            <w:vAlign w:val="center"/>
          </w:tcPr>
          <w:p w14:paraId="2204D04C" w14:textId="77777777" w:rsidR="00B26DE3" w:rsidRPr="0069114D" w:rsidRDefault="00B26DE3" w:rsidP="00AE3B97">
            <w:pPr>
              <w:pStyle w:val="DHHStabletext"/>
            </w:pPr>
          </w:p>
        </w:tc>
        <w:tc>
          <w:tcPr>
            <w:tcW w:w="2355" w:type="dxa"/>
            <w:shd w:val="clear" w:color="auto" w:fill="auto"/>
            <w:vAlign w:val="center"/>
          </w:tcPr>
          <w:p w14:paraId="2DB7BCAA" w14:textId="01EE27D3" w:rsidR="00B26DE3" w:rsidRPr="0069114D" w:rsidRDefault="006B423D" w:rsidP="00AE3B97">
            <w:pPr>
              <w:pStyle w:val="DHHStabletext"/>
            </w:pPr>
            <w:r>
              <w:t>3</w:t>
            </w:r>
            <w:r w:rsidR="00B26DE3">
              <w:t>.</w:t>
            </w:r>
            <w:r>
              <w:t>8</w:t>
            </w:r>
          </w:p>
        </w:tc>
      </w:tr>
      <w:tr w:rsidR="00B26DE3" w:rsidRPr="0069114D" w14:paraId="19DD1FF9" w14:textId="77777777" w:rsidTr="00B26DE3">
        <w:trPr>
          <w:trHeight w:val="297"/>
        </w:trPr>
        <w:tc>
          <w:tcPr>
            <w:tcW w:w="2170" w:type="dxa"/>
            <w:shd w:val="clear" w:color="auto" w:fill="auto"/>
            <w:vAlign w:val="center"/>
          </w:tcPr>
          <w:p w14:paraId="78031BA8" w14:textId="77777777" w:rsidR="00B26DE3" w:rsidRDefault="00B26DE3" w:rsidP="00AE3B97">
            <w:pPr>
              <w:pStyle w:val="DHHStabletext"/>
            </w:pPr>
            <w:r>
              <w:t>95% CI</w:t>
            </w:r>
          </w:p>
        </w:tc>
        <w:tc>
          <w:tcPr>
            <w:tcW w:w="1928" w:type="dxa"/>
          </w:tcPr>
          <w:p w14:paraId="56ADC34B" w14:textId="77777777" w:rsidR="00B26DE3" w:rsidRPr="0069114D" w:rsidRDefault="00B26DE3" w:rsidP="00AE3B97">
            <w:pPr>
              <w:pStyle w:val="DHHStabletext"/>
            </w:pPr>
          </w:p>
        </w:tc>
        <w:tc>
          <w:tcPr>
            <w:tcW w:w="2060" w:type="dxa"/>
            <w:shd w:val="clear" w:color="auto" w:fill="auto"/>
            <w:vAlign w:val="center"/>
          </w:tcPr>
          <w:p w14:paraId="2A48E981" w14:textId="50B45368" w:rsidR="00B26DE3" w:rsidRPr="0069114D" w:rsidRDefault="00B26DE3" w:rsidP="00AE3B97">
            <w:pPr>
              <w:pStyle w:val="DHHStabletext"/>
            </w:pPr>
            <w:r w:rsidRPr="0069114D">
              <w:t>(</w:t>
            </w:r>
            <w:r w:rsidR="006B423D">
              <w:t>2</w:t>
            </w:r>
            <w:r>
              <w:t>.</w:t>
            </w:r>
            <w:r w:rsidR="006B423D">
              <w:t>4</w:t>
            </w:r>
            <w:r>
              <w:t>–3.</w:t>
            </w:r>
            <w:r w:rsidR="006B423D">
              <w:t>5</w:t>
            </w:r>
            <w:r w:rsidRPr="0069114D">
              <w:t>)</w:t>
            </w:r>
          </w:p>
        </w:tc>
        <w:tc>
          <w:tcPr>
            <w:tcW w:w="2123" w:type="dxa"/>
            <w:shd w:val="clear" w:color="auto" w:fill="auto"/>
            <w:vAlign w:val="center"/>
          </w:tcPr>
          <w:p w14:paraId="4A32BBE0" w14:textId="77777777" w:rsidR="00B26DE3" w:rsidRPr="0069114D" w:rsidRDefault="00B26DE3" w:rsidP="00AE3B97">
            <w:pPr>
              <w:pStyle w:val="DHHStabletext"/>
            </w:pPr>
          </w:p>
        </w:tc>
        <w:tc>
          <w:tcPr>
            <w:tcW w:w="2355" w:type="dxa"/>
            <w:shd w:val="clear" w:color="auto" w:fill="auto"/>
            <w:vAlign w:val="center"/>
          </w:tcPr>
          <w:p w14:paraId="175E5B31" w14:textId="2343414F" w:rsidR="00B26DE3" w:rsidRPr="0069114D" w:rsidRDefault="00B26DE3" w:rsidP="00AE3B97">
            <w:pPr>
              <w:pStyle w:val="DHHStabletext"/>
            </w:pPr>
            <w:r w:rsidRPr="0069114D">
              <w:t>(</w:t>
            </w:r>
            <w:r>
              <w:t>2.</w:t>
            </w:r>
            <w:r w:rsidR="006B423D">
              <w:t>8</w:t>
            </w:r>
            <w:r>
              <w:t>–</w:t>
            </w:r>
            <w:r w:rsidR="006B423D">
              <w:t>5</w:t>
            </w:r>
            <w:r w:rsidRPr="0069114D">
              <w:t>.</w:t>
            </w:r>
            <w:r w:rsidR="006B423D">
              <w:t>0</w:t>
            </w:r>
            <w:r w:rsidRPr="0069114D">
              <w:t>)</w:t>
            </w:r>
          </w:p>
        </w:tc>
      </w:tr>
    </w:tbl>
    <w:p w14:paraId="6D5E3AD6" w14:textId="77777777" w:rsidR="00B26DE3" w:rsidRPr="00B26DE3" w:rsidRDefault="00B26DE3" w:rsidP="00660649">
      <w:pPr>
        <w:pStyle w:val="DHHStablefigurenote"/>
        <w:rPr>
          <w:i w:val="0"/>
          <w:color w:val="333333"/>
        </w:rPr>
      </w:pPr>
    </w:p>
    <w:p w14:paraId="38091DA6" w14:textId="77777777" w:rsidR="00B26DE3" w:rsidRDefault="00B26DE3" w:rsidP="0091523F">
      <w:pPr>
        <w:pStyle w:val="DHHSfigurecaption"/>
      </w:pPr>
      <w:bookmarkStart w:id="467" w:name="_Toc19008078"/>
      <w:bookmarkStart w:id="468" w:name="_Toc19008313"/>
      <w:bookmarkStart w:id="469" w:name="_Toc19008460"/>
      <w:bookmarkStart w:id="470" w:name="_Toc19008607"/>
    </w:p>
    <w:p w14:paraId="123D286A" w14:textId="6B124C61" w:rsidR="00631CB3" w:rsidRDefault="00631CB3" w:rsidP="0091523F">
      <w:pPr>
        <w:pStyle w:val="DHHSfigurecaption"/>
      </w:pPr>
      <w:bookmarkStart w:id="471" w:name="_Toc27414315"/>
      <w:r w:rsidRPr="00777770">
        <w:t xml:space="preserve">Figure </w:t>
      </w:r>
      <w:r w:rsidRPr="00B14FAF">
        <w:t>7.6.1</w:t>
      </w:r>
      <w:r w:rsidR="00596515">
        <w:t>:</w:t>
      </w:r>
      <w:r w:rsidRPr="00B14FAF">
        <w:t xml:space="preserve"> Proportion of children </w:t>
      </w:r>
      <w:r w:rsidR="00596515" w:rsidRPr="00B14FAF">
        <w:t xml:space="preserve">aged </w:t>
      </w:r>
      <w:r w:rsidRPr="00B14FAF">
        <w:t>4</w:t>
      </w:r>
      <w:r w:rsidR="00690CD3" w:rsidRPr="00B14FAF">
        <w:t>–1</w:t>
      </w:r>
      <w:r w:rsidRPr="00B14FAF">
        <w:t>2 years who eat the daily recommended serves of vegetables</w:t>
      </w:r>
      <w:r w:rsidR="00596515" w:rsidRPr="00B14FAF">
        <w:t>,</w:t>
      </w:r>
      <w:r w:rsidRPr="00B14FAF">
        <w:t xml:space="preserve"> by gender, age, remoteness area</w:t>
      </w:r>
      <w:r w:rsidR="00424766">
        <w:t xml:space="preserve">, </w:t>
      </w:r>
      <w:r w:rsidR="00DE7FFE" w:rsidRPr="00B14FAF">
        <w:t>SES</w:t>
      </w:r>
      <w:r w:rsidR="00424766">
        <w:t xml:space="preserve"> and year,</w:t>
      </w:r>
      <w:r w:rsidRPr="00B14FAF">
        <w:t xml:space="preserve"> 2013</w:t>
      </w:r>
      <w:bookmarkEnd w:id="467"/>
      <w:bookmarkEnd w:id="468"/>
      <w:bookmarkEnd w:id="469"/>
      <w:bookmarkEnd w:id="470"/>
      <w:r w:rsidR="00424766">
        <w:t xml:space="preserve"> and 2017</w:t>
      </w:r>
      <w:bookmarkEnd w:id="471"/>
    </w:p>
    <w:p w14:paraId="2688B48E" w14:textId="1BC0F948" w:rsidR="001863A9" w:rsidRPr="007F1F3A" w:rsidRDefault="009F6F50" w:rsidP="007F1F3A">
      <w:pPr>
        <w:pStyle w:val="DHHSbody"/>
      </w:pPr>
      <w:r>
        <w:rPr>
          <w:noProof/>
        </w:rPr>
        <w:drawing>
          <wp:inline distT="0" distB="0" distL="0" distR="0" wp14:anchorId="794C3419" wp14:editId="23BCC43C">
            <wp:extent cx="6736715" cy="3462655"/>
            <wp:effectExtent l="0" t="0" r="6985" b="4445"/>
            <wp:docPr id="347" name="Picture 347" descr="This figure presents data by gender, age, remoteness and socioeconomic status under the Measure 7.6 - Proportion of children aged 4-12 years who eat the daily recommended serves of vegetables' for 2013 and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36715" cy="3462655"/>
                    </a:xfrm>
                    <a:prstGeom prst="rect">
                      <a:avLst/>
                    </a:prstGeom>
                    <a:noFill/>
                  </pic:spPr>
                </pic:pic>
              </a:graphicData>
            </a:graphic>
          </wp:inline>
        </w:drawing>
      </w:r>
    </w:p>
    <w:p w14:paraId="02E60A0D" w14:textId="50B0B7D1" w:rsidR="004E0E9D" w:rsidRPr="004E0E9D" w:rsidRDefault="004E0E9D" w:rsidP="0033586E">
      <w:pPr>
        <w:pStyle w:val="Heading4"/>
        <w:spacing w:before="0" w:line="270" w:lineRule="atLeast"/>
      </w:pPr>
      <w:r w:rsidRPr="00E43803">
        <w:t>Measure assessment</w:t>
      </w:r>
    </w:p>
    <w:p w14:paraId="6FC89BDE" w14:textId="4CB83FAC" w:rsidR="00EA3932" w:rsidRPr="0033586E" w:rsidRDefault="00C50D6F" w:rsidP="0033586E">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1E4045"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718447B0" w14:textId="7636C402" w:rsidR="00C50D6F" w:rsidRPr="00166C30" w:rsidRDefault="00C50D6F" w:rsidP="0033586E">
      <w:pPr>
        <w:autoSpaceDE w:val="0"/>
        <w:autoSpaceDN w:val="0"/>
        <w:adjustRightInd w:val="0"/>
        <w:spacing w:after="120" w:line="270" w:lineRule="atLeast"/>
        <w:rPr>
          <w:rFonts w:ascii="Arial" w:hAnsi="Arial" w:cs="Arial"/>
        </w:rPr>
      </w:pPr>
      <w:r w:rsidRPr="00166C30">
        <w:rPr>
          <w:rFonts w:ascii="Arial" w:hAnsi="Arial" w:cs="Arial"/>
        </w:rPr>
        <w:t xml:space="preserve">Overall trend: </w:t>
      </w:r>
      <w:r w:rsidR="007F5261">
        <w:rPr>
          <w:rFonts w:ascii="Arial" w:hAnsi="Arial" w:cs="Arial"/>
        </w:rPr>
        <w:t>Moving in the right direction</w:t>
      </w:r>
    </w:p>
    <w:p w14:paraId="24E3C59C" w14:textId="34BDDE73" w:rsidR="00166C30" w:rsidRPr="00166C30" w:rsidRDefault="00C50D6F" w:rsidP="0033586E">
      <w:pPr>
        <w:spacing w:after="120" w:line="270" w:lineRule="atLeast"/>
        <w:rPr>
          <w:rFonts w:ascii="Arial" w:hAnsi="Arial" w:cs="Arial"/>
        </w:rPr>
      </w:pPr>
      <w:r w:rsidRPr="00166C30">
        <w:rPr>
          <w:rFonts w:ascii="Arial" w:hAnsi="Arial" w:cs="Arial"/>
        </w:rPr>
        <w:t>Commentary:</w:t>
      </w:r>
      <w:r w:rsidR="00952FC7">
        <w:rPr>
          <w:rFonts w:ascii="Arial" w:hAnsi="Arial" w:cs="Arial"/>
        </w:rPr>
        <w:t xml:space="preserve"> </w:t>
      </w:r>
      <w:r w:rsidR="002900A0" w:rsidRPr="00166C30">
        <w:rPr>
          <w:rFonts w:ascii="Arial" w:hAnsi="Arial" w:cs="Arial"/>
        </w:rPr>
        <w:t xml:space="preserve">Data from the 2013 </w:t>
      </w:r>
      <w:r w:rsidR="001B1E27">
        <w:rPr>
          <w:rFonts w:ascii="Arial" w:hAnsi="Arial" w:cs="Arial"/>
        </w:rPr>
        <w:t xml:space="preserve">and 2017 </w:t>
      </w:r>
      <w:r w:rsidR="002900A0" w:rsidRPr="00166C30">
        <w:rPr>
          <w:rFonts w:ascii="Arial" w:hAnsi="Arial" w:cs="Arial"/>
        </w:rPr>
        <w:t>Victorian Child Health and Wellbeing Survey</w:t>
      </w:r>
      <w:r w:rsidR="001B1E27">
        <w:rPr>
          <w:rFonts w:ascii="Arial" w:hAnsi="Arial" w:cs="Arial"/>
        </w:rPr>
        <w:t>s</w:t>
      </w:r>
      <w:r w:rsidR="002900A0" w:rsidRPr="00166C30">
        <w:rPr>
          <w:rFonts w:ascii="Arial" w:hAnsi="Arial" w:cs="Arial"/>
        </w:rPr>
        <w:t xml:space="preserve"> show</w:t>
      </w:r>
      <w:r w:rsidR="001B1E27">
        <w:rPr>
          <w:rFonts w:ascii="Arial" w:hAnsi="Arial" w:cs="Arial"/>
        </w:rPr>
        <w:t>ed an increase in the proportion of</w:t>
      </w:r>
      <w:r w:rsidR="002900A0" w:rsidRPr="00166C30">
        <w:rPr>
          <w:rFonts w:ascii="Arial" w:hAnsi="Arial" w:cs="Arial"/>
        </w:rPr>
        <w:t xml:space="preserve"> Victorian children aged between </w:t>
      </w:r>
      <w:r w:rsidR="00CA2AD7">
        <w:rPr>
          <w:rFonts w:ascii="Arial" w:hAnsi="Arial" w:cs="Arial"/>
        </w:rPr>
        <w:t>four</w:t>
      </w:r>
      <w:r w:rsidR="002900A0" w:rsidRPr="00166C30">
        <w:rPr>
          <w:rFonts w:ascii="Arial" w:hAnsi="Arial" w:cs="Arial"/>
        </w:rPr>
        <w:t xml:space="preserve"> and 12 years</w:t>
      </w:r>
      <w:r w:rsidR="00A76BC2">
        <w:rPr>
          <w:rFonts w:ascii="Arial" w:hAnsi="Arial" w:cs="Arial"/>
        </w:rPr>
        <w:t>,</w:t>
      </w:r>
      <w:r w:rsidR="00C64E4E" w:rsidRPr="00166C30">
        <w:rPr>
          <w:rFonts w:ascii="Arial" w:hAnsi="Arial" w:cs="Arial"/>
        </w:rPr>
        <w:t xml:space="preserve"> </w:t>
      </w:r>
      <w:r w:rsidR="001B1E27">
        <w:rPr>
          <w:rFonts w:ascii="Arial" w:hAnsi="Arial" w:cs="Arial"/>
        </w:rPr>
        <w:t xml:space="preserve">who </w:t>
      </w:r>
      <w:r w:rsidR="00184986" w:rsidRPr="00166C30">
        <w:rPr>
          <w:rFonts w:ascii="Arial" w:hAnsi="Arial" w:cs="Arial"/>
        </w:rPr>
        <w:t xml:space="preserve">met </w:t>
      </w:r>
      <w:r w:rsidR="008F3FA6" w:rsidRPr="00166C30">
        <w:rPr>
          <w:rFonts w:ascii="Arial" w:hAnsi="Arial" w:cs="Arial"/>
        </w:rPr>
        <w:t>the recommend</w:t>
      </w:r>
      <w:r w:rsidR="00184986" w:rsidRPr="00166C30">
        <w:rPr>
          <w:rFonts w:ascii="Arial" w:hAnsi="Arial" w:cs="Arial"/>
        </w:rPr>
        <w:t>ed</w:t>
      </w:r>
      <w:r w:rsidR="008F3FA6" w:rsidRPr="00166C30">
        <w:rPr>
          <w:rFonts w:ascii="Arial" w:hAnsi="Arial" w:cs="Arial"/>
        </w:rPr>
        <w:t xml:space="preserve"> amount as set out in the 201</w:t>
      </w:r>
      <w:r w:rsidR="00A76BC2">
        <w:rPr>
          <w:rFonts w:ascii="Arial" w:hAnsi="Arial" w:cs="Arial"/>
        </w:rPr>
        <w:t>3</w:t>
      </w:r>
      <w:r w:rsidR="008F3FA6" w:rsidRPr="00166C30">
        <w:rPr>
          <w:rFonts w:ascii="Arial" w:hAnsi="Arial" w:cs="Arial"/>
        </w:rPr>
        <w:t xml:space="preserve"> Australian </w:t>
      </w:r>
      <w:r w:rsidR="00B40166">
        <w:rPr>
          <w:rFonts w:ascii="Arial" w:hAnsi="Arial" w:cs="Arial"/>
        </w:rPr>
        <w:t>d</w:t>
      </w:r>
      <w:r w:rsidR="008F3FA6" w:rsidRPr="00166C30">
        <w:rPr>
          <w:rFonts w:ascii="Arial" w:hAnsi="Arial" w:cs="Arial"/>
        </w:rPr>
        <w:t xml:space="preserve">ietary </w:t>
      </w:r>
      <w:r w:rsidR="00B40166">
        <w:rPr>
          <w:rFonts w:ascii="Arial" w:hAnsi="Arial" w:cs="Arial"/>
        </w:rPr>
        <w:t>g</w:t>
      </w:r>
      <w:r w:rsidR="008F3FA6" w:rsidRPr="00166C30">
        <w:rPr>
          <w:rFonts w:ascii="Arial" w:hAnsi="Arial" w:cs="Arial"/>
        </w:rPr>
        <w:t>uidelines</w:t>
      </w:r>
      <w:r w:rsidR="009A7313" w:rsidRPr="00166C30">
        <w:rPr>
          <w:rFonts w:ascii="Arial" w:hAnsi="Arial" w:cs="Arial"/>
        </w:rPr>
        <w:t xml:space="preserve"> (Figure 7.6)</w:t>
      </w:r>
      <w:r w:rsidR="008F3FA6" w:rsidRPr="00166C30">
        <w:rPr>
          <w:rFonts w:ascii="Arial" w:hAnsi="Arial" w:cs="Arial"/>
        </w:rPr>
        <w:t>.</w:t>
      </w:r>
      <w:r w:rsidR="00952FC7">
        <w:rPr>
          <w:rFonts w:ascii="Arial" w:hAnsi="Arial" w:cs="Arial"/>
        </w:rPr>
        <w:t xml:space="preserve"> </w:t>
      </w:r>
      <w:r w:rsidR="008F3FA6" w:rsidRPr="00166C30">
        <w:rPr>
          <w:rFonts w:ascii="Arial" w:hAnsi="Arial" w:cs="Arial"/>
        </w:rPr>
        <w:t>There was a marked difference in consumption by age</w:t>
      </w:r>
      <w:r w:rsidR="00A76BC2">
        <w:rPr>
          <w:rFonts w:ascii="Arial" w:hAnsi="Arial" w:cs="Arial"/>
        </w:rPr>
        <w:t>,</w:t>
      </w:r>
      <w:r w:rsidR="008F3FA6" w:rsidRPr="00166C30">
        <w:rPr>
          <w:rFonts w:ascii="Arial" w:hAnsi="Arial" w:cs="Arial"/>
        </w:rPr>
        <w:t xml:space="preserve"> with only 2.5 per cent of </w:t>
      </w:r>
      <w:r w:rsidR="00A76BC2">
        <w:rPr>
          <w:rFonts w:ascii="Arial" w:hAnsi="Arial" w:cs="Arial"/>
        </w:rPr>
        <w:t>four to eight-</w:t>
      </w:r>
      <w:r w:rsidR="00D24CD5">
        <w:rPr>
          <w:rFonts w:ascii="Arial" w:hAnsi="Arial" w:cs="Arial"/>
        </w:rPr>
        <w:t>-year-olds</w:t>
      </w:r>
      <w:r w:rsidR="008F3FA6" w:rsidRPr="00166C30">
        <w:rPr>
          <w:rFonts w:ascii="Arial" w:hAnsi="Arial" w:cs="Arial"/>
        </w:rPr>
        <w:t xml:space="preserve"> meeting </w:t>
      </w:r>
      <w:r w:rsidR="00184986" w:rsidRPr="00166C30">
        <w:rPr>
          <w:rFonts w:ascii="Arial" w:hAnsi="Arial" w:cs="Arial"/>
        </w:rPr>
        <w:t>this target</w:t>
      </w:r>
      <w:r w:rsidR="00DB4905" w:rsidRPr="00166C30">
        <w:rPr>
          <w:rFonts w:ascii="Arial" w:hAnsi="Arial" w:cs="Arial"/>
        </w:rPr>
        <w:t xml:space="preserve"> compared with 3.4 per cent in the older age cohort (aged 9</w:t>
      </w:r>
      <w:r w:rsidR="00CA2AD7">
        <w:rPr>
          <w:rFonts w:ascii="Arial" w:hAnsi="Arial" w:cs="Arial"/>
        </w:rPr>
        <w:t>–</w:t>
      </w:r>
      <w:r w:rsidR="00DB4905" w:rsidRPr="00166C30">
        <w:rPr>
          <w:rFonts w:ascii="Arial" w:hAnsi="Arial" w:cs="Arial"/>
        </w:rPr>
        <w:t>12 years)</w:t>
      </w:r>
      <w:r w:rsidR="009A7313" w:rsidRPr="00166C30">
        <w:rPr>
          <w:rFonts w:ascii="Arial" w:hAnsi="Arial" w:cs="Arial"/>
        </w:rPr>
        <w:t xml:space="preserve"> </w:t>
      </w:r>
      <w:r w:rsidR="001B1E27">
        <w:rPr>
          <w:rFonts w:ascii="Arial" w:hAnsi="Arial" w:cs="Arial"/>
        </w:rPr>
        <w:t xml:space="preserve">in 2013 </w:t>
      </w:r>
      <w:r w:rsidR="002B5F84">
        <w:rPr>
          <w:rFonts w:ascii="Arial" w:hAnsi="Arial" w:cs="Arial"/>
        </w:rPr>
        <w:t xml:space="preserve">which was virtually the same for both cohorts in 2017 </w:t>
      </w:r>
      <w:r w:rsidR="009A7313" w:rsidRPr="00166C30">
        <w:rPr>
          <w:rFonts w:ascii="Arial" w:hAnsi="Arial" w:cs="Arial"/>
        </w:rPr>
        <w:t>(Figure 7.6.1)</w:t>
      </w:r>
      <w:r w:rsidR="007A172C" w:rsidRPr="00166C30">
        <w:rPr>
          <w:rFonts w:ascii="Arial" w:hAnsi="Arial" w:cs="Arial"/>
        </w:rPr>
        <w:t>.</w:t>
      </w:r>
      <w:r w:rsidR="00166C30" w:rsidRPr="00166C30">
        <w:rPr>
          <w:rFonts w:ascii="Arial" w:hAnsi="Arial" w:cs="Arial"/>
        </w:rPr>
        <w:t xml:space="preserve"> The proportion of children aged </w:t>
      </w:r>
      <w:r w:rsidR="00A76BC2">
        <w:rPr>
          <w:rFonts w:ascii="Arial" w:hAnsi="Arial" w:cs="Arial"/>
        </w:rPr>
        <w:t xml:space="preserve">four to </w:t>
      </w:r>
      <w:r w:rsidR="00166C30" w:rsidRPr="00166C30">
        <w:rPr>
          <w:rFonts w:ascii="Arial" w:hAnsi="Arial" w:cs="Arial"/>
        </w:rPr>
        <w:t>12 years consuming the recommended serves of vegetables and living in regional areas was higher than those living in metropolitan areas</w:t>
      </w:r>
      <w:r w:rsidR="00194231">
        <w:rPr>
          <w:rFonts w:ascii="Arial" w:hAnsi="Arial" w:cs="Arial"/>
        </w:rPr>
        <w:t xml:space="preserve"> </w:t>
      </w:r>
      <w:r w:rsidR="00166C30" w:rsidRPr="00166C30">
        <w:rPr>
          <w:rFonts w:ascii="Arial" w:hAnsi="Arial" w:cs="Arial"/>
        </w:rPr>
        <w:t>(Figure 7.6.1).</w:t>
      </w:r>
      <w:r w:rsidR="00194231">
        <w:rPr>
          <w:rFonts w:ascii="Arial" w:hAnsi="Arial" w:cs="Arial"/>
        </w:rPr>
        <w:t xml:space="preserve"> </w:t>
      </w:r>
      <w:r w:rsidR="008B670F">
        <w:rPr>
          <w:rFonts w:ascii="Arial" w:hAnsi="Arial" w:cs="Arial"/>
        </w:rPr>
        <w:t xml:space="preserve">There was a fluctuating gradient in the proportion of children aged 4-12 years who eat the daily recommended serves of vegetables by socioeconomic status in both 2013 and 2017. </w:t>
      </w:r>
      <w:r w:rsidR="00194231">
        <w:rPr>
          <w:rFonts w:ascii="Arial" w:hAnsi="Arial" w:cs="Arial"/>
        </w:rPr>
        <w:t>However, caution should be taken when interpreting this result because of the wide confidence intervals (</w:t>
      </w:r>
      <w:r w:rsidR="008B670F">
        <w:rPr>
          <w:rFonts w:ascii="Arial" w:hAnsi="Arial" w:cs="Arial"/>
        </w:rPr>
        <w:t>Figure 7.6.1).</w:t>
      </w:r>
    </w:p>
    <w:p w14:paraId="7BB34758" w14:textId="6B316DF0" w:rsidR="00A45C53" w:rsidRPr="001A2A05" w:rsidRDefault="00E14901" w:rsidP="001A2A05">
      <w:pPr>
        <w:autoSpaceDE w:val="0"/>
        <w:autoSpaceDN w:val="0"/>
        <w:adjustRightInd w:val="0"/>
        <w:spacing w:after="120" w:line="270" w:lineRule="atLeast"/>
        <w:rPr>
          <w:rFonts w:ascii="Arial" w:hAnsi="Arial" w:cs="Arial"/>
        </w:rPr>
      </w:pPr>
      <w:r w:rsidRPr="00166C30">
        <w:rPr>
          <w:rFonts w:ascii="Arial" w:hAnsi="Arial" w:cs="Arial"/>
        </w:rPr>
        <w:t xml:space="preserve">Although no trend is available for this age group, </w:t>
      </w:r>
      <w:r w:rsidR="0017106B" w:rsidRPr="00166C30">
        <w:rPr>
          <w:rFonts w:ascii="Arial" w:hAnsi="Arial" w:cs="Arial"/>
          <w:lang w:val="en"/>
        </w:rPr>
        <w:t>t</w:t>
      </w:r>
      <w:r w:rsidR="00300C89" w:rsidRPr="00166C30">
        <w:rPr>
          <w:rFonts w:ascii="Arial" w:hAnsi="Arial" w:cs="Arial"/>
          <w:lang w:val="en"/>
        </w:rPr>
        <w:t>he observed very low level of compliance with vegetable intake recommendations</w:t>
      </w:r>
      <w:r w:rsidR="0017106B" w:rsidRPr="00166C30">
        <w:rPr>
          <w:rFonts w:ascii="Arial" w:hAnsi="Arial" w:cs="Arial"/>
          <w:lang w:val="en"/>
        </w:rPr>
        <w:t xml:space="preserve"> in </w:t>
      </w:r>
      <w:r w:rsidR="001B1E27">
        <w:rPr>
          <w:rFonts w:ascii="Arial" w:hAnsi="Arial" w:cs="Arial"/>
          <w:lang w:val="en"/>
        </w:rPr>
        <w:t xml:space="preserve">both </w:t>
      </w:r>
      <w:r w:rsidR="0017106B" w:rsidRPr="00166C30">
        <w:rPr>
          <w:rFonts w:ascii="Arial" w:hAnsi="Arial" w:cs="Arial"/>
          <w:lang w:val="en"/>
        </w:rPr>
        <w:t>2013</w:t>
      </w:r>
      <w:r w:rsidR="001B1E27">
        <w:rPr>
          <w:rFonts w:ascii="Arial" w:hAnsi="Arial" w:cs="Arial"/>
          <w:lang w:val="en"/>
        </w:rPr>
        <w:t xml:space="preserve"> and 2017</w:t>
      </w:r>
      <w:r w:rsidR="00300C89" w:rsidRPr="00166C30">
        <w:rPr>
          <w:rFonts w:ascii="Arial" w:hAnsi="Arial" w:cs="Arial"/>
          <w:lang w:val="en"/>
        </w:rPr>
        <w:t xml:space="preserve"> suggest that addressing deficiencies in vegetable consumption should be a primary focus of future nutrition interventions</w:t>
      </w:r>
      <w:r w:rsidR="0017106B" w:rsidRPr="00166C30">
        <w:rPr>
          <w:rFonts w:ascii="Arial" w:hAnsi="Arial" w:cs="Arial"/>
          <w:lang w:val="en"/>
        </w:rPr>
        <w:t>.</w:t>
      </w:r>
      <w:r w:rsidR="00A45C53">
        <w:br w:type="page"/>
      </w:r>
    </w:p>
    <w:p w14:paraId="19D82A28" w14:textId="71E1BA41" w:rsidR="00784A70" w:rsidRDefault="00784A70" w:rsidP="00784A70">
      <w:pPr>
        <w:pStyle w:val="Heading3"/>
        <w:rPr>
          <w:lang w:eastAsia="en-AU"/>
        </w:rPr>
      </w:pPr>
      <w:bookmarkStart w:id="472" w:name="_Toc19008079"/>
      <w:r>
        <w:rPr>
          <w:lang w:eastAsia="en-AU"/>
        </w:rPr>
        <w:lastRenderedPageBreak/>
        <w:t xml:space="preserve">Measure 7.7 – </w:t>
      </w:r>
      <w:r w:rsidR="00782252">
        <w:rPr>
          <w:lang w:eastAsia="en-AU"/>
        </w:rPr>
        <w:t>Red meat consumption</w:t>
      </w:r>
      <w:bookmarkEnd w:id="472"/>
    </w:p>
    <w:p w14:paraId="14D5F163" w14:textId="77777777" w:rsidR="004A0BF0" w:rsidRPr="004A0BF0" w:rsidRDefault="004A0BF0" w:rsidP="004A0BF0">
      <w:pPr>
        <w:pStyle w:val="DHHSbody"/>
        <w:rPr>
          <w:lang w:eastAsia="en-AU"/>
        </w:rPr>
      </w:pPr>
      <w:r>
        <w:rPr>
          <w:lang w:eastAsia="en-AU"/>
        </w:rPr>
        <w:t>This measure</w:t>
      </w:r>
      <w:r w:rsidR="006F376D">
        <w:rPr>
          <w:lang w:eastAsia="en-AU"/>
        </w:rPr>
        <w:t xml:space="preserve"> will be reported in a future report. Refer to Appendix 1.</w:t>
      </w:r>
    </w:p>
    <w:p w14:paraId="6E9A26EC" w14:textId="77777777" w:rsidR="00784A70" w:rsidRDefault="00784A70" w:rsidP="00784A70">
      <w:pPr>
        <w:pStyle w:val="Heading3"/>
        <w:rPr>
          <w:lang w:eastAsia="en-AU"/>
        </w:rPr>
      </w:pPr>
      <w:bookmarkStart w:id="473" w:name="_Toc19008080"/>
      <w:r>
        <w:rPr>
          <w:lang w:eastAsia="en-AU"/>
        </w:rPr>
        <w:t xml:space="preserve">Measure 7.8 – </w:t>
      </w:r>
      <w:r w:rsidR="00782252">
        <w:rPr>
          <w:lang w:eastAsia="en-AU"/>
        </w:rPr>
        <w:t>Processed meat consumption</w:t>
      </w:r>
      <w:bookmarkEnd w:id="473"/>
    </w:p>
    <w:p w14:paraId="0784E5D9" w14:textId="77777777" w:rsidR="009B17F6" w:rsidRDefault="006F376D" w:rsidP="001A2A05">
      <w:pPr>
        <w:pStyle w:val="DHHSbody"/>
        <w:rPr>
          <w:lang w:eastAsia="en-AU"/>
        </w:rPr>
      </w:pPr>
      <w:r>
        <w:rPr>
          <w:lang w:eastAsia="en-AU"/>
        </w:rPr>
        <w:t>This measure will be reported in a future report. Refer to Appendix 1.</w:t>
      </w:r>
    </w:p>
    <w:p w14:paraId="10C3076D" w14:textId="77777777" w:rsidR="009B17F6" w:rsidRDefault="009B17F6">
      <w:pPr>
        <w:rPr>
          <w:rStyle w:val="Heading3Char"/>
          <w:lang w:eastAsia="en-US"/>
        </w:rPr>
      </w:pPr>
      <w:r>
        <w:rPr>
          <w:rStyle w:val="Heading3Char"/>
        </w:rPr>
        <w:br w:type="page"/>
      </w:r>
    </w:p>
    <w:p w14:paraId="0175A029" w14:textId="10726CC2" w:rsidR="00784A70" w:rsidRPr="009B17F6" w:rsidRDefault="00784A70" w:rsidP="009B17F6">
      <w:pPr>
        <w:pStyle w:val="Heading3"/>
        <w:rPr>
          <w:rStyle w:val="Heading3Char"/>
          <w:b/>
          <w:bCs/>
        </w:rPr>
      </w:pPr>
      <w:bookmarkStart w:id="474" w:name="_Measure_7.9_–"/>
      <w:bookmarkEnd w:id="474"/>
      <w:r w:rsidRPr="009B17F6">
        <w:rPr>
          <w:rStyle w:val="Heading3Char"/>
          <w:b/>
          <w:bCs/>
        </w:rPr>
        <w:lastRenderedPageBreak/>
        <w:t xml:space="preserve">Measure 7.9 – </w:t>
      </w:r>
      <w:r w:rsidR="00782252" w:rsidRPr="009B17F6">
        <w:rPr>
          <w:rStyle w:val="Heading3Char"/>
          <w:b/>
          <w:bCs/>
        </w:rPr>
        <w:t>Proportion of adults who are sufficiently physically active</w:t>
      </w:r>
    </w:p>
    <w:p w14:paraId="14A0B633" w14:textId="60D650B2" w:rsidR="004A3363" w:rsidRDefault="004A6642" w:rsidP="0091523F">
      <w:pPr>
        <w:pStyle w:val="DHHSfigurecaption"/>
      </w:pPr>
      <w:bookmarkStart w:id="475" w:name="_Toc19008081"/>
      <w:bookmarkStart w:id="476" w:name="_Toc19008314"/>
      <w:bookmarkStart w:id="477" w:name="_Toc19008461"/>
      <w:bookmarkStart w:id="478" w:name="_Toc19008608"/>
      <w:bookmarkStart w:id="479" w:name="_Toc27414316"/>
      <w:r w:rsidRPr="00C81D09">
        <w:t xml:space="preserve">Figure </w:t>
      </w:r>
      <w:r w:rsidR="00C81D09" w:rsidRPr="00C81D09">
        <w:t>7.9</w:t>
      </w:r>
      <w:r w:rsidR="00CA2AD7">
        <w:t>:</w:t>
      </w:r>
      <w:r w:rsidR="00C81D09" w:rsidRPr="00C81D09">
        <w:t xml:space="preserve"> Proportion of adults </w:t>
      </w:r>
      <w:r w:rsidR="003809EE">
        <w:t xml:space="preserve">(18 years and older) </w:t>
      </w:r>
      <w:r w:rsidR="00C81D09" w:rsidRPr="00C81D09">
        <w:t>who are sufficient</w:t>
      </w:r>
      <w:r w:rsidR="00C81D09">
        <w:t>ly</w:t>
      </w:r>
      <w:r w:rsidR="00C81D09" w:rsidRPr="00C81D09">
        <w:t xml:space="preserve"> physically active</w:t>
      </w:r>
      <w:r w:rsidR="00461622">
        <w:t>,</w:t>
      </w:r>
      <w:r w:rsidR="00002F8A">
        <w:t xml:space="preserve"> by year, 201</w:t>
      </w:r>
      <w:r w:rsidR="00344583">
        <w:t>5</w:t>
      </w:r>
      <w:r w:rsidR="00CA2AD7">
        <w:t>–</w:t>
      </w:r>
      <w:r w:rsidR="00002F8A">
        <w:t>201</w:t>
      </w:r>
      <w:bookmarkEnd w:id="475"/>
      <w:bookmarkEnd w:id="476"/>
      <w:bookmarkEnd w:id="477"/>
      <w:bookmarkEnd w:id="478"/>
      <w:r w:rsidR="00B207D9">
        <w:t>7</w:t>
      </w:r>
      <w:bookmarkEnd w:id="479"/>
    </w:p>
    <w:p w14:paraId="133C8D58" w14:textId="2C8EC69F" w:rsidR="00CC7CAB" w:rsidRDefault="009F6F50" w:rsidP="00CC7CAB">
      <w:pPr>
        <w:pStyle w:val="DHHSbody"/>
      </w:pPr>
      <w:r>
        <w:rPr>
          <w:noProof/>
        </w:rPr>
        <w:drawing>
          <wp:inline distT="0" distB="0" distL="0" distR="0" wp14:anchorId="1E13ABBE" wp14:editId="16B8573A">
            <wp:extent cx="6669405" cy="2505710"/>
            <wp:effectExtent l="0" t="0" r="0" b="8890"/>
            <wp:docPr id="350" name="Picture 350" descr="This figure presents data under the 'Measure 7.9 - Proportion of adults who are sufficiently physically active'.  The data for this figure for 2013 to 2015 is available in this section - refer to Table 7.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69405" cy="2505710"/>
                    </a:xfrm>
                    <a:prstGeom prst="rect">
                      <a:avLst/>
                    </a:prstGeom>
                    <a:noFill/>
                  </pic:spPr>
                </pic:pic>
              </a:graphicData>
            </a:graphic>
          </wp:inline>
        </w:drawing>
      </w:r>
    </w:p>
    <w:p w14:paraId="0000F372" w14:textId="63BFF8CF" w:rsidR="00002F8A" w:rsidRPr="00CC7CAB" w:rsidRDefault="00002F8A" w:rsidP="00CC7CAB">
      <w:pPr>
        <w:pStyle w:val="DHHStablecaption"/>
        <w:rPr>
          <w:lang w:eastAsia="en-AU"/>
        </w:rPr>
      </w:pPr>
      <w:bookmarkStart w:id="480" w:name="_Toc18908735"/>
      <w:bookmarkStart w:id="481" w:name="_Toc27414415"/>
      <w:r>
        <w:t>Table 7.9 Proportion of adults who are sufficiently active</w:t>
      </w:r>
      <w:r w:rsidR="00461622">
        <w:t>,</w:t>
      </w:r>
      <w:r>
        <w:t xml:space="preserve"> by year, 201</w:t>
      </w:r>
      <w:r w:rsidR="00901CC3">
        <w:t>5</w:t>
      </w:r>
      <w:r w:rsidR="00CA2AD7">
        <w:t>–</w:t>
      </w:r>
      <w:r>
        <w:t>201</w:t>
      </w:r>
      <w:bookmarkEnd w:id="480"/>
      <w:r w:rsidR="00B207D9">
        <w:t>7</w:t>
      </w:r>
      <w:bookmarkEnd w:id="481"/>
    </w:p>
    <w:tbl>
      <w:tblPr>
        <w:tblW w:w="10239" w:type="dxa"/>
        <w:tblInd w:w="-15" w:type="dxa"/>
        <w:tblBorders>
          <w:bottom w:val="single" w:sz="4" w:space="0" w:color="C00000"/>
          <w:insideH w:val="single" w:sz="4" w:space="0" w:color="C00000"/>
        </w:tblBorders>
        <w:shd w:val="clear" w:color="auto" w:fill="EDCDCF"/>
        <w:tblLook w:val="04A0" w:firstRow="1" w:lastRow="0" w:firstColumn="1" w:lastColumn="0" w:noHBand="0" w:noVBand="1"/>
      </w:tblPr>
      <w:tblGrid>
        <w:gridCol w:w="2926"/>
        <w:gridCol w:w="2568"/>
        <w:gridCol w:w="2447"/>
        <w:gridCol w:w="2298"/>
      </w:tblGrid>
      <w:tr w:rsidR="00344583" w14:paraId="13E9CEB5" w14:textId="5B625686" w:rsidTr="00344583">
        <w:trPr>
          <w:trHeight w:val="231"/>
        </w:trPr>
        <w:tc>
          <w:tcPr>
            <w:tcW w:w="2926" w:type="dxa"/>
            <w:shd w:val="clear" w:color="auto" w:fill="EDCDCF"/>
          </w:tcPr>
          <w:p w14:paraId="0162B38B" w14:textId="3E626C72" w:rsidR="00344583" w:rsidRPr="00DB4F90" w:rsidRDefault="00344583" w:rsidP="00254FA1">
            <w:pPr>
              <w:pStyle w:val="DHHStablecolhead"/>
            </w:pPr>
            <w:r w:rsidRPr="00DB4F90">
              <w:t>Year</w:t>
            </w:r>
          </w:p>
        </w:tc>
        <w:tc>
          <w:tcPr>
            <w:tcW w:w="2568" w:type="dxa"/>
            <w:shd w:val="clear" w:color="auto" w:fill="EDCDCF"/>
          </w:tcPr>
          <w:p w14:paraId="366DD5C9" w14:textId="77777777" w:rsidR="00344583" w:rsidRPr="00DB4F90" w:rsidRDefault="00344583" w:rsidP="00254FA1">
            <w:pPr>
              <w:pStyle w:val="DHHStablecolhead"/>
            </w:pPr>
            <w:r w:rsidRPr="00DB4F90">
              <w:t>2015</w:t>
            </w:r>
          </w:p>
        </w:tc>
        <w:tc>
          <w:tcPr>
            <w:tcW w:w="2447" w:type="dxa"/>
            <w:shd w:val="clear" w:color="auto" w:fill="EDCDCF"/>
          </w:tcPr>
          <w:p w14:paraId="2EAF3DFD" w14:textId="77777777" w:rsidR="00344583" w:rsidRPr="00DB4F90" w:rsidRDefault="00344583" w:rsidP="00254FA1">
            <w:pPr>
              <w:pStyle w:val="DHHStablecolhead"/>
            </w:pPr>
            <w:r w:rsidRPr="00DB4F90">
              <w:t>2016</w:t>
            </w:r>
          </w:p>
        </w:tc>
        <w:tc>
          <w:tcPr>
            <w:tcW w:w="2298" w:type="dxa"/>
            <w:shd w:val="clear" w:color="auto" w:fill="EDCDCF"/>
          </w:tcPr>
          <w:p w14:paraId="669E4A7D" w14:textId="16C55B68" w:rsidR="00344583" w:rsidRPr="00DB4F90" w:rsidRDefault="00344583" w:rsidP="00254FA1">
            <w:pPr>
              <w:pStyle w:val="DHHStablecolhead"/>
            </w:pPr>
            <w:r>
              <w:t>2017</w:t>
            </w:r>
          </w:p>
        </w:tc>
      </w:tr>
      <w:tr w:rsidR="00344583" w14:paraId="599090D7" w14:textId="619C8842" w:rsidTr="00344583">
        <w:trPr>
          <w:trHeight w:val="199"/>
        </w:trPr>
        <w:tc>
          <w:tcPr>
            <w:tcW w:w="2926" w:type="dxa"/>
            <w:shd w:val="clear" w:color="auto" w:fill="auto"/>
          </w:tcPr>
          <w:p w14:paraId="13EE6B7C" w14:textId="0B739027" w:rsidR="00344583" w:rsidRDefault="00344583" w:rsidP="00254FA1">
            <w:pPr>
              <w:pStyle w:val="DHHStabletext"/>
            </w:pPr>
            <w:r>
              <w:t>Per cent</w:t>
            </w:r>
          </w:p>
        </w:tc>
        <w:tc>
          <w:tcPr>
            <w:tcW w:w="2568" w:type="dxa"/>
            <w:shd w:val="clear" w:color="auto" w:fill="auto"/>
          </w:tcPr>
          <w:p w14:paraId="1BFDA1FD" w14:textId="3C07F416" w:rsidR="00344583" w:rsidRPr="0069114D" w:rsidRDefault="00344583" w:rsidP="00254FA1">
            <w:pPr>
              <w:pStyle w:val="DHHStabletext"/>
            </w:pPr>
            <w:r>
              <w:t>47.0</w:t>
            </w:r>
          </w:p>
        </w:tc>
        <w:tc>
          <w:tcPr>
            <w:tcW w:w="2447" w:type="dxa"/>
            <w:shd w:val="clear" w:color="auto" w:fill="auto"/>
          </w:tcPr>
          <w:p w14:paraId="6C3C1F7B" w14:textId="30AAA486" w:rsidR="00344583" w:rsidRPr="0069114D" w:rsidRDefault="00344583" w:rsidP="00254FA1">
            <w:pPr>
              <w:pStyle w:val="DHHStabletext"/>
            </w:pPr>
            <w:r>
              <w:t>49.9</w:t>
            </w:r>
          </w:p>
        </w:tc>
        <w:tc>
          <w:tcPr>
            <w:tcW w:w="2298" w:type="dxa"/>
          </w:tcPr>
          <w:p w14:paraId="4D242690" w14:textId="7E85578A" w:rsidR="00344583" w:rsidRDefault="00344583" w:rsidP="00254FA1">
            <w:pPr>
              <w:pStyle w:val="DHHStabletext"/>
            </w:pPr>
            <w:r>
              <w:t>50.9</w:t>
            </w:r>
          </w:p>
        </w:tc>
      </w:tr>
      <w:tr w:rsidR="00344583" w14:paraId="36A35406" w14:textId="7EE8534D" w:rsidTr="00344583">
        <w:trPr>
          <w:trHeight w:val="220"/>
        </w:trPr>
        <w:tc>
          <w:tcPr>
            <w:tcW w:w="2926" w:type="dxa"/>
            <w:shd w:val="clear" w:color="auto" w:fill="auto"/>
          </w:tcPr>
          <w:p w14:paraId="533D5178" w14:textId="31A4CA7D" w:rsidR="00344583" w:rsidRPr="005E739D" w:rsidRDefault="00344583" w:rsidP="00254FA1">
            <w:pPr>
              <w:pStyle w:val="DHHStabletext"/>
            </w:pPr>
            <w:r>
              <w:t>(95% CI)</w:t>
            </w:r>
          </w:p>
        </w:tc>
        <w:tc>
          <w:tcPr>
            <w:tcW w:w="2568" w:type="dxa"/>
            <w:shd w:val="clear" w:color="auto" w:fill="auto"/>
          </w:tcPr>
          <w:p w14:paraId="06EA917B" w14:textId="5E693151" w:rsidR="00344583" w:rsidRPr="0069114D" w:rsidRDefault="00344583" w:rsidP="00254FA1">
            <w:pPr>
              <w:pStyle w:val="DHHStabletext"/>
            </w:pPr>
            <w:r w:rsidRPr="0069114D">
              <w:t>(45.5</w:t>
            </w:r>
            <w:r>
              <w:t>–</w:t>
            </w:r>
            <w:r w:rsidRPr="0069114D">
              <w:t>48.6)</w:t>
            </w:r>
          </w:p>
        </w:tc>
        <w:tc>
          <w:tcPr>
            <w:tcW w:w="2447" w:type="dxa"/>
            <w:shd w:val="clear" w:color="auto" w:fill="auto"/>
          </w:tcPr>
          <w:p w14:paraId="5CB8BFCF" w14:textId="04E17D53" w:rsidR="00344583" w:rsidRPr="0069114D" w:rsidRDefault="00344583" w:rsidP="00254FA1">
            <w:pPr>
              <w:pStyle w:val="DHHStabletext"/>
            </w:pPr>
            <w:r w:rsidRPr="0069114D">
              <w:t>(48.4</w:t>
            </w:r>
            <w:r>
              <w:t>–</w:t>
            </w:r>
            <w:r w:rsidRPr="0069114D">
              <w:t>51.4)</w:t>
            </w:r>
          </w:p>
        </w:tc>
        <w:tc>
          <w:tcPr>
            <w:tcW w:w="2298" w:type="dxa"/>
          </w:tcPr>
          <w:p w14:paraId="31D0ADE1" w14:textId="330A54A1" w:rsidR="00344583" w:rsidRPr="0069114D" w:rsidRDefault="00344583" w:rsidP="00254FA1">
            <w:pPr>
              <w:pStyle w:val="DHHStabletext"/>
            </w:pPr>
            <w:r>
              <w:t>(50.0–51.8)</w:t>
            </w:r>
          </w:p>
        </w:tc>
      </w:tr>
    </w:tbl>
    <w:p w14:paraId="1D3E0E7D" w14:textId="0B8327B6" w:rsidR="00DB5171" w:rsidRPr="00467BC3" w:rsidRDefault="00C825C1" w:rsidP="00DF5724">
      <w:pPr>
        <w:pStyle w:val="DHHStablefigurenote"/>
      </w:pPr>
      <w:r w:rsidRPr="00C825C1">
        <w:t>Source:</w:t>
      </w:r>
      <w:r>
        <w:t xml:space="preserve"> </w:t>
      </w:r>
      <w:r w:rsidR="00467BC3" w:rsidRPr="00467BC3">
        <w:t>Victorian Population Health Survey</w:t>
      </w:r>
      <w:r w:rsidR="00AC1118">
        <w:t>s</w:t>
      </w:r>
      <w:r w:rsidR="000351B4">
        <w:t xml:space="preserve"> 201</w:t>
      </w:r>
      <w:r w:rsidR="00344583">
        <w:t>5</w:t>
      </w:r>
      <w:r w:rsidR="00CA2AD7">
        <w:t>–</w:t>
      </w:r>
      <w:r w:rsidR="000351B4">
        <w:t>201</w:t>
      </w:r>
      <w:r w:rsidR="00B207D9">
        <w:t>7</w:t>
      </w:r>
    </w:p>
    <w:p w14:paraId="70BE8675" w14:textId="77777777" w:rsidR="00843274" w:rsidRDefault="00843274" w:rsidP="0033586E">
      <w:pPr>
        <w:pStyle w:val="Heading4"/>
        <w:spacing w:before="0" w:line="270" w:lineRule="atLeast"/>
        <w:rPr>
          <w:lang w:eastAsia="en-AU"/>
        </w:rPr>
      </w:pPr>
      <w:r>
        <w:rPr>
          <w:lang w:eastAsia="en-AU"/>
        </w:rPr>
        <w:t>Measure assessment</w:t>
      </w:r>
    </w:p>
    <w:p w14:paraId="23AA29E3" w14:textId="0FF64BEC" w:rsidR="00843274" w:rsidRDefault="00843274" w:rsidP="0033586E">
      <w:pPr>
        <w:autoSpaceDE w:val="0"/>
        <w:autoSpaceDN w:val="0"/>
        <w:adjustRightInd w:val="0"/>
        <w:spacing w:after="120" w:line="270" w:lineRule="atLeast"/>
        <w:rPr>
          <w:rFonts w:ascii="Arial" w:hAnsi="Arial" w:cs="Arial"/>
        </w:rPr>
      </w:pPr>
      <w:r w:rsidRPr="009F01B1">
        <w:rPr>
          <w:rFonts w:ascii="Arial" w:hAnsi="Arial" w:cs="Arial"/>
        </w:rPr>
        <w:t xml:space="preserve">Traffic light rating: </w:t>
      </w:r>
      <w:r w:rsidR="00820FB4" w:rsidRPr="00061321">
        <w:rPr>
          <w:rFonts w:ascii="Arial" w:hAnsi="Arial" w:cs="Arial"/>
          <w:b/>
          <w:color w:val="007B4B"/>
        </w:rPr>
        <w:t>Green</w:t>
      </w:r>
      <w:r w:rsidR="00061321">
        <w:rPr>
          <w:rFonts w:ascii="Arial" w:hAnsi="Arial" w:cs="Arial"/>
          <w:color w:val="007B4B"/>
        </w:rPr>
        <w:t xml:space="preserve"> (satisfactory result)</w:t>
      </w:r>
    </w:p>
    <w:p w14:paraId="5215A029" w14:textId="4422C1E9" w:rsidR="00843274" w:rsidRDefault="00843274" w:rsidP="0033586E">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820FB4">
        <w:rPr>
          <w:rFonts w:ascii="Arial" w:hAnsi="Arial" w:cs="Arial"/>
        </w:rPr>
        <w:t>Moving in the right direction</w:t>
      </w:r>
    </w:p>
    <w:p w14:paraId="104D7C66" w14:textId="298FA0DA" w:rsidR="00B06587" w:rsidRDefault="00843274" w:rsidP="0033586E">
      <w:pPr>
        <w:pStyle w:val="DHHSbody"/>
        <w:rPr>
          <w:rFonts w:cs="Arial"/>
        </w:rPr>
      </w:pPr>
      <w:r w:rsidRPr="00F829F0">
        <w:rPr>
          <w:rFonts w:cs="Arial"/>
        </w:rPr>
        <w:t>Commentary:</w:t>
      </w:r>
      <w:r>
        <w:rPr>
          <w:rFonts w:cs="Arial"/>
        </w:rPr>
        <w:t xml:space="preserve"> Physical activity helps adults to live </w:t>
      </w:r>
      <w:r w:rsidR="00F117B6">
        <w:rPr>
          <w:rFonts w:cs="Arial"/>
        </w:rPr>
        <w:t xml:space="preserve">longer </w:t>
      </w:r>
      <w:r>
        <w:rPr>
          <w:rFonts w:cs="Arial"/>
        </w:rPr>
        <w:t>and protect</w:t>
      </w:r>
      <w:r w:rsidR="00F117B6">
        <w:rPr>
          <w:rFonts w:cs="Arial"/>
        </w:rPr>
        <w:t>s against some cancers.</w:t>
      </w:r>
      <w:r w:rsidR="00952FC7">
        <w:rPr>
          <w:rFonts w:cs="Arial"/>
        </w:rPr>
        <w:t xml:space="preserve"> </w:t>
      </w:r>
      <w:r w:rsidR="00F117B6">
        <w:rPr>
          <w:rFonts w:cs="Arial"/>
        </w:rPr>
        <w:t>Current levels of physical inactivity have been attributed to increasing sedentariness of domestic and occupational activities, insufficient physical activity during leisure time, increasing use of passive modes of transport and increased urbanisation.</w:t>
      </w:r>
    </w:p>
    <w:p w14:paraId="04550812" w14:textId="77777777" w:rsidR="009B17F6" w:rsidRDefault="00F117B6" w:rsidP="001A2A05">
      <w:pPr>
        <w:pStyle w:val="DHHSbody"/>
        <w:rPr>
          <w:lang w:eastAsia="en-AU"/>
        </w:rPr>
      </w:pPr>
      <w:r>
        <w:rPr>
          <w:lang w:eastAsia="en-AU"/>
        </w:rPr>
        <w:t xml:space="preserve">Approximately half of Victorian adults </w:t>
      </w:r>
      <w:r w:rsidR="002523CC">
        <w:rPr>
          <w:lang w:eastAsia="en-AU"/>
        </w:rPr>
        <w:t xml:space="preserve">(18 years and older) </w:t>
      </w:r>
      <w:r>
        <w:rPr>
          <w:lang w:eastAsia="en-AU"/>
        </w:rPr>
        <w:t xml:space="preserve">are </w:t>
      </w:r>
      <w:r w:rsidR="00B1526B">
        <w:rPr>
          <w:lang w:eastAsia="en-AU"/>
        </w:rPr>
        <w:t>in</w:t>
      </w:r>
      <w:r>
        <w:rPr>
          <w:lang w:eastAsia="en-AU"/>
        </w:rPr>
        <w:t>sufficiently physically active</w:t>
      </w:r>
      <w:r w:rsidR="00C825C1">
        <w:rPr>
          <w:lang w:eastAsia="en-AU"/>
        </w:rPr>
        <w:t>.</w:t>
      </w:r>
      <w:r w:rsidR="00D27638">
        <w:rPr>
          <w:lang w:eastAsia="en-AU"/>
        </w:rPr>
        <w:t xml:space="preserve"> Figure 7.9 and Table 7.9 show that </w:t>
      </w:r>
      <w:r w:rsidR="00B32F97">
        <w:rPr>
          <w:lang w:eastAsia="en-AU"/>
        </w:rPr>
        <w:t>in 2017 50.9</w:t>
      </w:r>
      <w:r w:rsidR="00B57D10">
        <w:rPr>
          <w:lang w:eastAsia="en-AU"/>
        </w:rPr>
        <w:t xml:space="preserve"> per cent</w:t>
      </w:r>
      <w:r w:rsidR="00B32F97">
        <w:rPr>
          <w:lang w:eastAsia="en-AU"/>
        </w:rPr>
        <w:t xml:space="preserve"> of Victorian adults undertook </w:t>
      </w:r>
      <w:r w:rsidR="00213C62">
        <w:rPr>
          <w:lang w:eastAsia="en-AU"/>
        </w:rPr>
        <w:t>sufficient</w:t>
      </w:r>
      <w:r w:rsidR="00B32F97">
        <w:rPr>
          <w:lang w:eastAsia="en-AU"/>
        </w:rPr>
        <w:t xml:space="preserve"> physical activity (measured in both sufficient time and sessions) to meet</w:t>
      </w:r>
      <w:r w:rsidR="00C335DA">
        <w:rPr>
          <w:lang w:eastAsia="en-AU"/>
        </w:rPr>
        <w:t xml:space="preserve"> the </w:t>
      </w:r>
      <w:r w:rsidR="00D27638">
        <w:rPr>
          <w:lang w:eastAsia="en-AU"/>
        </w:rPr>
        <w:t xml:space="preserve">2014 </w:t>
      </w:r>
      <w:r w:rsidR="00C335DA">
        <w:rPr>
          <w:lang w:eastAsia="en-AU"/>
        </w:rPr>
        <w:t>national physical activity guidelines</w:t>
      </w:r>
      <w:r w:rsidR="00C335DA">
        <w:rPr>
          <w:rStyle w:val="FootnoteReference"/>
          <w:lang w:eastAsia="en-AU"/>
        </w:rPr>
        <w:footnoteReference w:id="79"/>
      </w:r>
      <w:r w:rsidR="00B32F97">
        <w:rPr>
          <w:lang w:eastAsia="en-AU"/>
        </w:rPr>
        <w:t xml:space="preserve"> compared to 4</w:t>
      </w:r>
      <w:r w:rsidR="00344583">
        <w:rPr>
          <w:lang w:eastAsia="en-AU"/>
        </w:rPr>
        <w:t>7</w:t>
      </w:r>
      <w:r w:rsidR="00B57D10">
        <w:rPr>
          <w:lang w:eastAsia="en-AU"/>
        </w:rPr>
        <w:t xml:space="preserve"> per cent</w:t>
      </w:r>
      <w:r w:rsidR="00B32F97">
        <w:rPr>
          <w:lang w:eastAsia="en-AU"/>
        </w:rPr>
        <w:t xml:space="preserve"> in 201</w:t>
      </w:r>
      <w:r w:rsidR="00344583">
        <w:rPr>
          <w:lang w:eastAsia="en-AU"/>
        </w:rPr>
        <w:t>5</w:t>
      </w:r>
      <w:r w:rsidR="009B17F6">
        <w:rPr>
          <w:lang w:eastAsia="en-AU"/>
        </w:rPr>
        <w:t>.</w:t>
      </w:r>
    </w:p>
    <w:p w14:paraId="5F29D8FA" w14:textId="77777777" w:rsidR="009B17F6" w:rsidRDefault="009B17F6">
      <w:pPr>
        <w:rPr>
          <w:rFonts w:ascii="Arial" w:eastAsia="Times" w:hAnsi="Arial"/>
        </w:rPr>
      </w:pPr>
      <w:r>
        <w:br w:type="page"/>
      </w:r>
    </w:p>
    <w:p w14:paraId="21C29352" w14:textId="4D2352BC" w:rsidR="00784A70" w:rsidRPr="009B17F6" w:rsidRDefault="00784A70" w:rsidP="009B17F6">
      <w:pPr>
        <w:pStyle w:val="Heading3"/>
        <w:rPr>
          <w:rStyle w:val="Heading3Char"/>
          <w:b/>
          <w:bCs/>
        </w:rPr>
      </w:pPr>
      <w:bookmarkStart w:id="482" w:name="_Measure_7.10_–"/>
      <w:bookmarkEnd w:id="482"/>
      <w:r w:rsidRPr="009B17F6">
        <w:rPr>
          <w:rStyle w:val="Heading3Char"/>
          <w:b/>
          <w:bCs/>
        </w:rPr>
        <w:lastRenderedPageBreak/>
        <w:t>Measure 7.10 –</w:t>
      </w:r>
      <w:r w:rsidR="00782252" w:rsidRPr="009B17F6">
        <w:rPr>
          <w:rStyle w:val="Heading3Char"/>
          <w:b/>
          <w:bCs/>
        </w:rPr>
        <w:t xml:space="preserve"> Proportion of </w:t>
      </w:r>
      <w:r w:rsidR="0028681D" w:rsidRPr="009B17F6">
        <w:rPr>
          <w:rStyle w:val="Heading3Char"/>
          <w:b/>
          <w:bCs/>
        </w:rPr>
        <w:t>adolescents 10</w:t>
      </w:r>
      <w:r w:rsidR="00CA2AD7" w:rsidRPr="009B17F6">
        <w:rPr>
          <w:rStyle w:val="Heading3Char"/>
          <w:b/>
          <w:bCs/>
        </w:rPr>
        <w:t>–</w:t>
      </w:r>
      <w:r w:rsidR="0028681D" w:rsidRPr="009B17F6">
        <w:rPr>
          <w:rStyle w:val="Heading3Char"/>
          <w:b/>
          <w:bCs/>
        </w:rPr>
        <w:t>17 years who are sufficiently physically active</w:t>
      </w:r>
    </w:p>
    <w:p w14:paraId="409A7918" w14:textId="7932E7A6" w:rsidR="00C81D09" w:rsidRDefault="00C81D09" w:rsidP="0091523F">
      <w:pPr>
        <w:pStyle w:val="DHHSfigurecaption"/>
      </w:pPr>
      <w:bookmarkStart w:id="483" w:name="_Toc19008082"/>
      <w:bookmarkStart w:id="484" w:name="_Toc19008315"/>
      <w:bookmarkStart w:id="485" w:name="_Toc19008462"/>
      <w:bookmarkStart w:id="486" w:name="_Toc19008609"/>
      <w:bookmarkStart w:id="487" w:name="_Toc27414317"/>
      <w:r w:rsidRPr="00C81D09">
        <w:t>Figure 7.10</w:t>
      </w:r>
      <w:r w:rsidR="00CA2AD7">
        <w:t>:</w:t>
      </w:r>
      <w:r w:rsidRPr="00C81D09">
        <w:t xml:space="preserve"> Proportion of </w:t>
      </w:r>
      <w:r w:rsidR="00C86551">
        <w:t xml:space="preserve">Victorian </w:t>
      </w:r>
      <w:r w:rsidRPr="00C81D09">
        <w:t xml:space="preserve">adolescents </w:t>
      </w:r>
      <w:r w:rsidR="00461622">
        <w:t xml:space="preserve">aged </w:t>
      </w:r>
      <w:r w:rsidRPr="00C81D09">
        <w:t>10</w:t>
      </w:r>
      <w:r w:rsidR="00CA2AD7">
        <w:t>–</w:t>
      </w:r>
      <w:r w:rsidRPr="00C81D09">
        <w:t xml:space="preserve">17 who are sufficiently </w:t>
      </w:r>
      <w:r w:rsidR="004D27F1">
        <w:t xml:space="preserve">physically </w:t>
      </w:r>
      <w:r w:rsidRPr="00C81D09">
        <w:t>active</w:t>
      </w:r>
      <w:r w:rsidR="00461622">
        <w:t>, 2014 and 2016</w:t>
      </w:r>
      <w:bookmarkEnd w:id="483"/>
      <w:bookmarkEnd w:id="484"/>
      <w:bookmarkEnd w:id="485"/>
      <w:bookmarkEnd w:id="486"/>
      <w:bookmarkEnd w:id="487"/>
    </w:p>
    <w:p w14:paraId="30EDCC2F" w14:textId="56B0663A" w:rsidR="00607D7F" w:rsidRPr="00607D7F" w:rsidRDefault="00E236D2" w:rsidP="00607D7F">
      <w:pPr>
        <w:pStyle w:val="DHHSbody"/>
      </w:pPr>
      <w:r>
        <w:rPr>
          <w:noProof/>
        </w:rPr>
        <w:drawing>
          <wp:inline distT="0" distB="0" distL="0" distR="0" wp14:anchorId="34E13B26" wp14:editId="5B5060FF">
            <wp:extent cx="6723530" cy="2630891"/>
            <wp:effectExtent l="0" t="0" r="1270" b="0"/>
            <wp:docPr id="352" name="Picture 352" descr="This figure presents data under the 'Measure 7.10 - Proportion of adolescents 10 to 17 years who are sufficiently physically active'.  The data for this figure for 2014 and 2016 is available in this section - refer to Table 7.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17751" cy="2667759"/>
                    </a:xfrm>
                    <a:prstGeom prst="rect">
                      <a:avLst/>
                    </a:prstGeom>
                    <a:noFill/>
                  </pic:spPr>
                </pic:pic>
              </a:graphicData>
            </a:graphic>
          </wp:inline>
        </w:drawing>
      </w:r>
    </w:p>
    <w:p w14:paraId="53C403E3" w14:textId="2F77B801" w:rsidR="00662BC4" w:rsidRPr="00E83468" w:rsidRDefault="00662BC4" w:rsidP="00660649">
      <w:pPr>
        <w:pStyle w:val="DHHStablefigurenote"/>
      </w:pPr>
      <w:r w:rsidRPr="00E83468">
        <w:t>Note</w:t>
      </w:r>
      <w:r w:rsidR="00461622">
        <w:t>:</w:t>
      </w:r>
      <w:r w:rsidRPr="00E83468">
        <w:t xml:space="preserve"> </w:t>
      </w:r>
      <w:r w:rsidR="00461622">
        <w:t>I</w:t>
      </w:r>
      <w:r w:rsidRPr="00E83468">
        <w:t>n 2014 the definition of sufficient physical activity changed</w:t>
      </w:r>
      <w:r w:rsidR="00676EB9">
        <w:t>.</w:t>
      </w:r>
    </w:p>
    <w:p w14:paraId="4FE73174" w14:textId="762A250D" w:rsidR="0098642F" w:rsidRPr="00B27A3B" w:rsidRDefault="00662BC4" w:rsidP="00B27A3B">
      <w:pPr>
        <w:pStyle w:val="DHHStablefigurenote"/>
        <w:rPr>
          <w:bCs/>
        </w:rPr>
      </w:pPr>
      <w:r w:rsidRPr="00660649">
        <w:rPr>
          <w:bCs/>
        </w:rPr>
        <w:t xml:space="preserve">Source: </w:t>
      </w:r>
      <w:r w:rsidR="00CD252A" w:rsidRPr="00660649">
        <w:rPr>
          <w:bCs/>
        </w:rPr>
        <w:t xml:space="preserve">Victorian Student Health and Wellbeing Survey </w:t>
      </w:r>
      <w:r w:rsidR="005C1882" w:rsidRPr="00660649">
        <w:rPr>
          <w:bCs/>
        </w:rPr>
        <w:t>2016</w:t>
      </w:r>
    </w:p>
    <w:p w14:paraId="6BF27C0C" w14:textId="133A4B4D" w:rsidR="0098642F" w:rsidRPr="0098642F" w:rsidRDefault="0098642F" w:rsidP="0098642F">
      <w:pPr>
        <w:pStyle w:val="DHHStablecaption"/>
        <w:spacing w:before="0" w:line="270" w:lineRule="atLeast"/>
      </w:pPr>
      <w:bookmarkStart w:id="488" w:name="_Toc18908736"/>
      <w:bookmarkStart w:id="489" w:name="_Toc27414416"/>
      <w:r>
        <w:rPr>
          <w:lang w:eastAsia="en-AU"/>
        </w:rPr>
        <w:t xml:space="preserve">Table 7.10: </w:t>
      </w:r>
      <w:r w:rsidRPr="00C81D09">
        <w:t xml:space="preserve">Proportion of </w:t>
      </w:r>
      <w:r>
        <w:t xml:space="preserve">Victorian </w:t>
      </w:r>
      <w:r w:rsidRPr="00C81D09">
        <w:t xml:space="preserve">adolescents </w:t>
      </w:r>
      <w:r>
        <w:t xml:space="preserve">aged </w:t>
      </w:r>
      <w:r w:rsidRPr="00C81D09">
        <w:t>10</w:t>
      </w:r>
      <w:r>
        <w:t>–</w:t>
      </w:r>
      <w:r w:rsidRPr="00C81D09">
        <w:t xml:space="preserve">17 who are sufficiently </w:t>
      </w:r>
      <w:r>
        <w:t xml:space="preserve">physically </w:t>
      </w:r>
      <w:r w:rsidRPr="00C81D09">
        <w:t>active</w:t>
      </w:r>
      <w:r>
        <w:t>, 2014 and 2016</w:t>
      </w:r>
      <w:bookmarkEnd w:id="488"/>
      <w:bookmarkEnd w:id="489"/>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118"/>
        <w:gridCol w:w="2015"/>
        <w:gridCol w:w="2064"/>
        <w:gridCol w:w="2064"/>
        <w:gridCol w:w="2303"/>
      </w:tblGrid>
      <w:tr w:rsidR="0098642F" w:rsidRPr="00DB4F90" w14:paraId="7D9865B4" w14:textId="77777777" w:rsidTr="00B27A3B">
        <w:trPr>
          <w:trHeight w:val="297"/>
        </w:trPr>
        <w:tc>
          <w:tcPr>
            <w:tcW w:w="2118" w:type="dxa"/>
            <w:shd w:val="clear" w:color="auto" w:fill="EDCDCF"/>
            <w:vAlign w:val="center"/>
          </w:tcPr>
          <w:p w14:paraId="1A0D61CA" w14:textId="77777777" w:rsidR="0098642F" w:rsidRPr="00DB4F90" w:rsidRDefault="0098642F" w:rsidP="0098642F">
            <w:pPr>
              <w:pStyle w:val="DHHStablecolhead"/>
              <w:spacing w:before="0" w:after="120" w:line="270" w:lineRule="atLeast"/>
            </w:pPr>
            <w:r w:rsidRPr="00DB4F90">
              <w:t>Year</w:t>
            </w:r>
          </w:p>
        </w:tc>
        <w:tc>
          <w:tcPr>
            <w:tcW w:w="2015" w:type="dxa"/>
            <w:shd w:val="clear" w:color="auto" w:fill="EDCDCF"/>
            <w:vAlign w:val="center"/>
          </w:tcPr>
          <w:p w14:paraId="0E6D466C" w14:textId="4D60D67C" w:rsidR="0098642F" w:rsidRPr="00DB4F90" w:rsidRDefault="0098642F" w:rsidP="0098642F">
            <w:pPr>
              <w:pStyle w:val="DHHStablecolhead"/>
              <w:spacing w:before="0" w:after="120" w:line="270" w:lineRule="atLeast"/>
            </w:pPr>
            <w:r w:rsidRPr="00DB4F90">
              <w:t>201</w:t>
            </w:r>
            <w:r>
              <w:t>4</w:t>
            </w:r>
          </w:p>
        </w:tc>
        <w:tc>
          <w:tcPr>
            <w:tcW w:w="2064" w:type="dxa"/>
            <w:shd w:val="clear" w:color="auto" w:fill="EDCDCF"/>
          </w:tcPr>
          <w:p w14:paraId="0F312801" w14:textId="77777777" w:rsidR="0098642F" w:rsidRPr="00DB4F90" w:rsidRDefault="0098642F" w:rsidP="0098642F">
            <w:pPr>
              <w:pStyle w:val="DHHStablecolhead"/>
              <w:spacing w:before="0" w:after="120" w:line="270" w:lineRule="atLeast"/>
            </w:pPr>
          </w:p>
        </w:tc>
        <w:tc>
          <w:tcPr>
            <w:tcW w:w="2064" w:type="dxa"/>
            <w:shd w:val="clear" w:color="auto" w:fill="EDCDCF"/>
            <w:vAlign w:val="center"/>
          </w:tcPr>
          <w:p w14:paraId="11334E04" w14:textId="051B9BB5" w:rsidR="0098642F" w:rsidRPr="00DB4F90" w:rsidRDefault="0098642F" w:rsidP="0098642F">
            <w:pPr>
              <w:pStyle w:val="DHHStablecolhead"/>
              <w:spacing w:before="0" w:after="120" w:line="270" w:lineRule="atLeast"/>
            </w:pPr>
          </w:p>
        </w:tc>
        <w:tc>
          <w:tcPr>
            <w:tcW w:w="2303" w:type="dxa"/>
            <w:shd w:val="clear" w:color="auto" w:fill="EDCDCF"/>
            <w:vAlign w:val="center"/>
          </w:tcPr>
          <w:p w14:paraId="7844AC71" w14:textId="082D7B10" w:rsidR="0098642F" w:rsidRPr="00DB4F90" w:rsidRDefault="0098642F" w:rsidP="0098642F">
            <w:pPr>
              <w:pStyle w:val="DHHStablecolhead"/>
              <w:spacing w:before="0" w:after="120" w:line="270" w:lineRule="atLeast"/>
            </w:pPr>
            <w:r w:rsidRPr="00DB4F90">
              <w:t>201</w:t>
            </w:r>
            <w:r>
              <w:t>6</w:t>
            </w:r>
          </w:p>
        </w:tc>
      </w:tr>
      <w:tr w:rsidR="0098642F" w:rsidRPr="0069114D" w14:paraId="15C6CCAE" w14:textId="77777777" w:rsidTr="00B27A3B">
        <w:trPr>
          <w:trHeight w:val="297"/>
        </w:trPr>
        <w:tc>
          <w:tcPr>
            <w:tcW w:w="2118" w:type="dxa"/>
            <w:shd w:val="clear" w:color="auto" w:fill="auto"/>
            <w:vAlign w:val="center"/>
          </w:tcPr>
          <w:p w14:paraId="5A82B7EE" w14:textId="77777777" w:rsidR="0098642F" w:rsidRPr="005E739D" w:rsidRDefault="0098642F" w:rsidP="0098642F">
            <w:pPr>
              <w:pStyle w:val="DHHStabletext"/>
              <w:spacing w:before="0" w:after="120" w:line="270" w:lineRule="atLeast"/>
            </w:pPr>
            <w:r>
              <w:t>Per cent (%)</w:t>
            </w:r>
          </w:p>
        </w:tc>
        <w:tc>
          <w:tcPr>
            <w:tcW w:w="2015" w:type="dxa"/>
            <w:shd w:val="clear" w:color="auto" w:fill="auto"/>
            <w:vAlign w:val="center"/>
          </w:tcPr>
          <w:p w14:paraId="63D703F2" w14:textId="44742074" w:rsidR="0098642F" w:rsidRPr="0069114D" w:rsidRDefault="0098642F" w:rsidP="0098642F">
            <w:pPr>
              <w:pStyle w:val="DHHStabletext"/>
              <w:spacing w:before="0" w:after="120" w:line="270" w:lineRule="atLeast"/>
            </w:pPr>
            <w:r>
              <w:t>26.0</w:t>
            </w:r>
          </w:p>
        </w:tc>
        <w:tc>
          <w:tcPr>
            <w:tcW w:w="2064" w:type="dxa"/>
          </w:tcPr>
          <w:p w14:paraId="65E0D5C7" w14:textId="77777777" w:rsidR="0098642F" w:rsidRPr="0069114D" w:rsidRDefault="0098642F" w:rsidP="0098642F">
            <w:pPr>
              <w:pStyle w:val="DHHStabletext"/>
              <w:spacing w:before="0" w:after="120" w:line="270" w:lineRule="atLeast"/>
            </w:pPr>
          </w:p>
        </w:tc>
        <w:tc>
          <w:tcPr>
            <w:tcW w:w="2064" w:type="dxa"/>
            <w:shd w:val="clear" w:color="auto" w:fill="auto"/>
            <w:vAlign w:val="center"/>
          </w:tcPr>
          <w:p w14:paraId="4ABF36A0" w14:textId="6BD85925" w:rsidR="0098642F" w:rsidRPr="0069114D" w:rsidRDefault="0098642F" w:rsidP="0098642F">
            <w:pPr>
              <w:pStyle w:val="DHHStabletext"/>
              <w:spacing w:before="0" w:after="120" w:line="270" w:lineRule="atLeast"/>
            </w:pPr>
          </w:p>
        </w:tc>
        <w:tc>
          <w:tcPr>
            <w:tcW w:w="2303" w:type="dxa"/>
            <w:shd w:val="clear" w:color="auto" w:fill="auto"/>
            <w:vAlign w:val="center"/>
          </w:tcPr>
          <w:p w14:paraId="249F7E8E" w14:textId="1BBF53B2" w:rsidR="0098642F" w:rsidRPr="0069114D" w:rsidRDefault="0098642F" w:rsidP="0098642F">
            <w:pPr>
              <w:pStyle w:val="DHHStabletext"/>
              <w:spacing w:before="0" w:after="120" w:line="270" w:lineRule="atLeast"/>
            </w:pPr>
            <w:r>
              <w:t>23.3</w:t>
            </w:r>
          </w:p>
        </w:tc>
      </w:tr>
      <w:tr w:rsidR="0098642F" w:rsidRPr="0069114D" w14:paraId="1AEEF351" w14:textId="77777777" w:rsidTr="00B27A3B">
        <w:trPr>
          <w:trHeight w:val="297"/>
        </w:trPr>
        <w:tc>
          <w:tcPr>
            <w:tcW w:w="2118" w:type="dxa"/>
            <w:shd w:val="clear" w:color="auto" w:fill="auto"/>
            <w:vAlign w:val="center"/>
          </w:tcPr>
          <w:p w14:paraId="06A6E071" w14:textId="77777777" w:rsidR="0098642F" w:rsidRDefault="0098642F" w:rsidP="004F1934">
            <w:pPr>
              <w:pStyle w:val="DHHStabletext"/>
              <w:spacing w:before="0" w:after="120"/>
            </w:pPr>
            <w:r>
              <w:t>95% CI</w:t>
            </w:r>
          </w:p>
        </w:tc>
        <w:tc>
          <w:tcPr>
            <w:tcW w:w="2015" w:type="dxa"/>
            <w:shd w:val="clear" w:color="auto" w:fill="auto"/>
            <w:vAlign w:val="center"/>
          </w:tcPr>
          <w:p w14:paraId="4AFD0F7D" w14:textId="64408564" w:rsidR="0098642F" w:rsidRPr="0069114D" w:rsidRDefault="0098642F" w:rsidP="004F1934">
            <w:pPr>
              <w:pStyle w:val="DHHStabletext"/>
              <w:spacing w:before="0" w:after="120"/>
            </w:pPr>
            <w:r w:rsidRPr="0069114D">
              <w:t>(</w:t>
            </w:r>
            <w:r>
              <w:t>24</w:t>
            </w:r>
            <w:r w:rsidRPr="0069114D">
              <w:t>.</w:t>
            </w:r>
            <w:r>
              <w:t>8–27</w:t>
            </w:r>
            <w:r w:rsidRPr="0069114D">
              <w:t>.</w:t>
            </w:r>
            <w:r>
              <w:t>3</w:t>
            </w:r>
            <w:r w:rsidRPr="0069114D">
              <w:t>)</w:t>
            </w:r>
          </w:p>
        </w:tc>
        <w:tc>
          <w:tcPr>
            <w:tcW w:w="2064" w:type="dxa"/>
          </w:tcPr>
          <w:p w14:paraId="377D8505" w14:textId="77777777" w:rsidR="0098642F" w:rsidRPr="0069114D" w:rsidRDefault="0098642F" w:rsidP="004F1934">
            <w:pPr>
              <w:pStyle w:val="DHHStabletext"/>
              <w:spacing w:before="0" w:after="120"/>
            </w:pPr>
          </w:p>
        </w:tc>
        <w:tc>
          <w:tcPr>
            <w:tcW w:w="2064" w:type="dxa"/>
            <w:shd w:val="clear" w:color="auto" w:fill="auto"/>
            <w:vAlign w:val="center"/>
          </w:tcPr>
          <w:p w14:paraId="69481057" w14:textId="7D761E83" w:rsidR="0098642F" w:rsidRPr="0069114D" w:rsidRDefault="0098642F" w:rsidP="004F1934">
            <w:pPr>
              <w:pStyle w:val="DHHStabletext"/>
              <w:spacing w:before="0" w:after="120"/>
            </w:pPr>
          </w:p>
        </w:tc>
        <w:tc>
          <w:tcPr>
            <w:tcW w:w="2303" w:type="dxa"/>
            <w:shd w:val="clear" w:color="auto" w:fill="auto"/>
            <w:vAlign w:val="center"/>
          </w:tcPr>
          <w:p w14:paraId="0CA7C2F5" w14:textId="253D5808" w:rsidR="0098642F" w:rsidRPr="0069114D" w:rsidRDefault="0098642F" w:rsidP="004F1934">
            <w:pPr>
              <w:pStyle w:val="DHHStabletext"/>
              <w:spacing w:before="0" w:after="120"/>
            </w:pPr>
            <w:r w:rsidRPr="0069114D">
              <w:t>(</w:t>
            </w:r>
            <w:r>
              <w:t>22.5–24</w:t>
            </w:r>
            <w:r w:rsidRPr="0069114D">
              <w:t>.</w:t>
            </w:r>
            <w:r>
              <w:t>1</w:t>
            </w:r>
            <w:r w:rsidRPr="0069114D">
              <w:t>)</w:t>
            </w:r>
          </w:p>
        </w:tc>
      </w:tr>
    </w:tbl>
    <w:p w14:paraId="2A586A2E" w14:textId="49DC47C0" w:rsidR="00662BC4" w:rsidRDefault="00662BC4" w:rsidP="00BB027B">
      <w:pPr>
        <w:pStyle w:val="Heading4"/>
        <w:rPr>
          <w:lang w:eastAsia="en-AU"/>
        </w:rPr>
      </w:pPr>
      <w:r>
        <w:rPr>
          <w:lang w:eastAsia="en-AU"/>
        </w:rPr>
        <w:t xml:space="preserve">Measure </w:t>
      </w:r>
      <w:r w:rsidRPr="00BB027B">
        <w:t>assessment</w:t>
      </w:r>
    </w:p>
    <w:p w14:paraId="77861D0D" w14:textId="2263CDD0" w:rsidR="00662BC4" w:rsidRPr="0033586E" w:rsidRDefault="00662BC4" w:rsidP="0033586E">
      <w:pPr>
        <w:autoSpaceDE w:val="0"/>
        <w:autoSpaceDN w:val="0"/>
        <w:adjustRightInd w:val="0"/>
        <w:spacing w:after="120" w:line="270" w:lineRule="atLeast"/>
        <w:rPr>
          <w:rFonts w:ascii="Arial" w:hAnsi="Arial" w:cs="Arial"/>
          <w:color w:val="C5511A"/>
        </w:rPr>
      </w:pPr>
      <w:r w:rsidRPr="009F01B1">
        <w:rPr>
          <w:rFonts w:ascii="Arial" w:hAnsi="Arial" w:cs="Arial"/>
        </w:rPr>
        <w:t xml:space="preserve">Traffic light rating: </w:t>
      </w:r>
      <w:r w:rsidR="00747351"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264B8454" w14:textId="034C54F4" w:rsidR="00662BC4" w:rsidRDefault="00662BC4" w:rsidP="0033586E">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Pr>
          <w:rFonts w:ascii="Arial" w:hAnsi="Arial" w:cs="Arial"/>
        </w:rPr>
        <w:t>Difficult to rate due to change in definition</w:t>
      </w:r>
    </w:p>
    <w:p w14:paraId="3A205A77" w14:textId="49017887" w:rsidR="00662BC4" w:rsidRDefault="00662BC4" w:rsidP="0033586E">
      <w:pPr>
        <w:pStyle w:val="DHHSbody"/>
        <w:rPr>
          <w:lang w:eastAsia="en-AU"/>
        </w:rPr>
      </w:pPr>
      <w:r w:rsidRPr="00F829F0">
        <w:rPr>
          <w:rFonts w:cs="Arial"/>
        </w:rPr>
        <w:t>Commentary:</w:t>
      </w:r>
      <w:r>
        <w:rPr>
          <w:rFonts w:cs="Arial"/>
        </w:rPr>
        <w:t xml:space="preserve"> </w:t>
      </w:r>
      <w:r w:rsidR="00744707">
        <w:rPr>
          <w:lang w:eastAsia="en-AU"/>
        </w:rPr>
        <w:t>Physical activity provides important benefits throughout life. Establishing an active lifestyle such as participati</w:t>
      </w:r>
      <w:r w:rsidR="007A674C">
        <w:rPr>
          <w:lang w:eastAsia="en-AU"/>
        </w:rPr>
        <w:t>ng</w:t>
      </w:r>
      <w:r w:rsidR="00744707">
        <w:rPr>
          <w:lang w:eastAsia="en-AU"/>
        </w:rPr>
        <w:t xml:space="preserve"> in active recreation and sport during childhood and early adulthood can lay the foundation for lifelong participation in sport and wider physical activity. Children and adolescents who are physically active have better mental, cardio-metabolic and musculoskeletal health and are less likely to gain weight. Childhood obesity has been identified as a risk factor for chronic disease</w:t>
      </w:r>
      <w:r w:rsidR="007A674C">
        <w:rPr>
          <w:lang w:eastAsia="en-AU"/>
        </w:rPr>
        <w:t>,</w:t>
      </w:r>
      <w:r w:rsidR="00744707">
        <w:rPr>
          <w:lang w:eastAsia="en-AU"/>
        </w:rPr>
        <w:t xml:space="preserve"> such as some cancers, in adulthood.</w:t>
      </w:r>
      <w:r w:rsidR="00952FC7">
        <w:rPr>
          <w:lang w:eastAsia="en-AU"/>
        </w:rPr>
        <w:t xml:space="preserve"> </w:t>
      </w:r>
      <w:r w:rsidR="00744707">
        <w:rPr>
          <w:lang w:eastAsia="en-AU"/>
        </w:rPr>
        <w:t>For example, a recent meta-analysis reported a statistically significant association between obesity in children aged 12</w:t>
      </w:r>
      <w:r w:rsidR="00690CD3">
        <w:rPr>
          <w:lang w:eastAsia="en-AU"/>
        </w:rPr>
        <w:t>–1</w:t>
      </w:r>
      <w:r w:rsidR="00744707">
        <w:rPr>
          <w:lang w:eastAsia="en-AU"/>
        </w:rPr>
        <w:t>8 and an increased incidence of some cancers</w:t>
      </w:r>
      <w:r w:rsidR="00C928ED">
        <w:rPr>
          <w:lang w:eastAsia="en-AU"/>
        </w:rPr>
        <w:t>,</w:t>
      </w:r>
      <w:r w:rsidR="00744707">
        <w:rPr>
          <w:lang w:eastAsia="en-AU"/>
        </w:rPr>
        <w:t xml:space="preserve"> such as liver, colon and urothelial</w:t>
      </w:r>
      <w:r w:rsidR="00C928ED">
        <w:rPr>
          <w:lang w:eastAsia="en-AU"/>
        </w:rPr>
        <w:t xml:space="preserve"> cancer</w:t>
      </w:r>
      <w:r w:rsidR="00744707">
        <w:rPr>
          <w:lang w:eastAsia="en-AU"/>
        </w:rPr>
        <w:t>, in adulthood.</w:t>
      </w:r>
      <w:r w:rsidR="00744707" w:rsidRPr="000751FE">
        <w:rPr>
          <w:rStyle w:val="FootnoteReference"/>
        </w:rPr>
        <w:footnoteReference w:id="80"/>
      </w:r>
    </w:p>
    <w:p w14:paraId="129F9C37" w14:textId="77777777" w:rsidR="009B17F6" w:rsidRDefault="0048344D" w:rsidP="001A2A05">
      <w:pPr>
        <w:pStyle w:val="DHHSbody"/>
        <w:rPr>
          <w:lang w:eastAsia="en-AU"/>
        </w:rPr>
      </w:pPr>
      <w:r>
        <w:rPr>
          <w:rFonts w:cs="Arial"/>
        </w:rPr>
        <w:t>T</w:t>
      </w:r>
      <w:r w:rsidR="00C43F3B">
        <w:rPr>
          <w:rFonts w:cs="Arial"/>
        </w:rPr>
        <w:t xml:space="preserve">he </w:t>
      </w:r>
      <w:r w:rsidR="00C2537D" w:rsidRPr="00C2537D">
        <w:rPr>
          <w:rFonts w:cs="Arial"/>
          <w:i/>
        </w:rPr>
        <w:t xml:space="preserve">Victorian </w:t>
      </w:r>
      <w:r w:rsidR="00A81AB6">
        <w:rPr>
          <w:rFonts w:cs="Arial"/>
          <w:i/>
        </w:rPr>
        <w:t>p</w:t>
      </w:r>
      <w:r w:rsidR="00C2537D" w:rsidRPr="00C2537D">
        <w:rPr>
          <w:rFonts w:cs="Arial"/>
          <w:i/>
        </w:rPr>
        <w:t xml:space="preserve">ublic </w:t>
      </w:r>
      <w:r w:rsidR="00A81AB6">
        <w:rPr>
          <w:rFonts w:cs="Arial"/>
          <w:i/>
        </w:rPr>
        <w:t>h</w:t>
      </w:r>
      <w:r w:rsidR="00C2537D" w:rsidRPr="00C2537D">
        <w:rPr>
          <w:rFonts w:cs="Arial"/>
          <w:i/>
        </w:rPr>
        <w:t xml:space="preserve">ealth and </w:t>
      </w:r>
      <w:r w:rsidR="00A81AB6">
        <w:rPr>
          <w:rFonts w:cs="Arial"/>
          <w:i/>
        </w:rPr>
        <w:t>w</w:t>
      </w:r>
      <w:r w:rsidR="00C2537D" w:rsidRPr="00C2537D">
        <w:rPr>
          <w:rFonts w:cs="Arial"/>
          <w:i/>
        </w:rPr>
        <w:t xml:space="preserve">ellbeing </w:t>
      </w:r>
      <w:r w:rsidR="00A81AB6">
        <w:rPr>
          <w:rFonts w:cs="Arial"/>
          <w:i/>
        </w:rPr>
        <w:t>o</w:t>
      </w:r>
      <w:r w:rsidR="00C2537D" w:rsidRPr="00C2537D">
        <w:rPr>
          <w:rFonts w:cs="Arial"/>
          <w:i/>
        </w:rPr>
        <w:t xml:space="preserve">utcomes </w:t>
      </w:r>
      <w:r w:rsidR="00A81AB6">
        <w:rPr>
          <w:rFonts w:cs="Arial"/>
          <w:i/>
        </w:rPr>
        <w:t>f</w:t>
      </w:r>
      <w:r w:rsidR="00C2537D" w:rsidRPr="00C2537D">
        <w:rPr>
          <w:rFonts w:cs="Arial"/>
          <w:i/>
        </w:rPr>
        <w:t>ramework</w:t>
      </w:r>
      <w:r w:rsidR="00C2537D">
        <w:rPr>
          <w:rFonts w:cs="Arial"/>
        </w:rPr>
        <w:t xml:space="preserve"> has a </w:t>
      </w:r>
      <w:r w:rsidR="00C43F3B">
        <w:rPr>
          <w:rFonts w:cs="Arial"/>
        </w:rPr>
        <w:t xml:space="preserve">target of a 20 per cent increase </w:t>
      </w:r>
      <w:r w:rsidR="00C2537D">
        <w:rPr>
          <w:rFonts w:cs="Arial"/>
        </w:rPr>
        <w:t xml:space="preserve">by 2025 </w:t>
      </w:r>
      <w:r w:rsidR="00C43F3B">
        <w:rPr>
          <w:rFonts w:cs="Arial"/>
        </w:rPr>
        <w:t>in adolescents achieving</w:t>
      </w:r>
      <w:r w:rsidR="00C43F3B" w:rsidRPr="007479A4">
        <w:rPr>
          <w:rFonts w:cs="Arial"/>
        </w:rPr>
        <w:t xml:space="preserve"> sufficient physical activity </w:t>
      </w:r>
      <w:r w:rsidR="00C43F3B">
        <w:rPr>
          <w:rFonts w:cs="Arial"/>
        </w:rPr>
        <w:t>based on</w:t>
      </w:r>
      <w:r w:rsidR="00C43F3B" w:rsidRPr="007479A4">
        <w:rPr>
          <w:rFonts w:cs="Arial"/>
        </w:rPr>
        <w:t xml:space="preserve"> </w:t>
      </w:r>
      <w:r w:rsidR="00C43F3B">
        <w:rPr>
          <w:rFonts w:cs="Arial"/>
        </w:rPr>
        <w:t>the 26</w:t>
      </w:r>
      <w:r w:rsidR="00415048">
        <w:rPr>
          <w:rFonts w:cs="Arial"/>
        </w:rPr>
        <w:t xml:space="preserve"> </w:t>
      </w:r>
      <w:r w:rsidR="00C43F3B">
        <w:rPr>
          <w:rFonts w:cs="Arial"/>
        </w:rPr>
        <w:t xml:space="preserve">per cent </w:t>
      </w:r>
      <w:r w:rsidR="00C43F3B" w:rsidRPr="007479A4">
        <w:rPr>
          <w:rFonts w:cs="Arial"/>
        </w:rPr>
        <w:t xml:space="preserve">2014 </w:t>
      </w:r>
      <w:r w:rsidR="00C43F3B" w:rsidRPr="00D53F6A">
        <w:rPr>
          <w:rFonts w:cs="Arial"/>
        </w:rPr>
        <w:t>baseline</w:t>
      </w:r>
      <w:r w:rsidR="00C43F3B" w:rsidRPr="000C03A9">
        <w:rPr>
          <w:rFonts w:cs="Arial"/>
          <w:vertAlign w:val="superscript"/>
        </w:rPr>
        <w:footnoteReference w:id="81"/>
      </w:r>
      <w:r w:rsidR="00C43F3B">
        <w:rPr>
          <w:rFonts w:cs="Arial"/>
        </w:rPr>
        <w:t xml:space="preserve"> </w:t>
      </w:r>
      <w:r w:rsidR="00032DCB">
        <w:rPr>
          <w:rFonts w:cs="Arial"/>
        </w:rPr>
        <w:t>(Figure 7.10</w:t>
      </w:r>
      <w:r w:rsidR="00D57EA7">
        <w:rPr>
          <w:rFonts w:cs="Arial"/>
        </w:rPr>
        <w:t xml:space="preserve"> and Table 7.10</w:t>
      </w:r>
      <w:r w:rsidR="00032DCB">
        <w:rPr>
          <w:rFonts w:cs="Arial"/>
        </w:rPr>
        <w:t xml:space="preserve">) </w:t>
      </w:r>
      <w:r w:rsidR="00472FC6">
        <w:rPr>
          <w:rFonts w:cs="Arial"/>
        </w:rPr>
        <w:lastRenderedPageBreak/>
        <w:t xml:space="preserve">and </w:t>
      </w:r>
      <w:r w:rsidR="00C43F3B">
        <w:rPr>
          <w:rFonts w:cs="Arial"/>
        </w:rPr>
        <w:t xml:space="preserve">is </w:t>
      </w:r>
      <w:r w:rsidR="00C43F3B" w:rsidRPr="009C071D">
        <w:rPr>
          <w:rFonts w:cs="Arial"/>
          <w:b/>
        </w:rPr>
        <w:t>not on track</w:t>
      </w:r>
      <w:r w:rsidR="00C43F3B">
        <w:rPr>
          <w:rFonts w:cs="Arial"/>
        </w:rPr>
        <w:t xml:space="preserve"> to</w:t>
      </w:r>
      <w:r w:rsidR="00C83C14">
        <w:rPr>
          <w:rFonts w:cs="Arial"/>
        </w:rPr>
        <w:t xml:space="preserve"> be met. In 2016, only 23.3</w:t>
      </w:r>
      <w:r w:rsidR="00C43F3B">
        <w:rPr>
          <w:rFonts w:cs="Arial"/>
        </w:rPr>
        <w:t xml:space="preserve"> per cent of </w:t>
      </w:r>
      <w:r w:rsidR="00C43F3B" w:rsidRPr="00541657">
        <w:rPr>
          <w:rFonts w:cs="Arial"/>
        </w:rPr>
        <w:t>Victorian students</w:t>
      </w:r>
      <w:r w:rsidR="00C43F3B" w:rsidRPr="000C03A9">
        <w:rPr>
          <w:rFonts w:cs="Arial"/>
          <w:vertAlign w:val="superscript"/>
        </w:rPr>
        <w:footnoteReference w:id="82"/>
      </w:r>
      <w:r w:rsidR="00C43F3B" w:rsidRPr="007479A4">
        <w:rPr>
          <w:rFonts w:cs="Arial"/>
        </w:rPr>
        <w:t xml:space="preserve"> </w:t>
      </w:r>
      <w:r w:rsidR="00032DCB">
        <w:rPr>
          <w:rFonts w:cs="Arial"/>
        </w:rPr>
        <w:t xml:space="preserve">(Figure 7.10) </w:t>
      </w:r>
      <w:r w:rsidR="00C43F3B">
        <w:rPr>
          <w:rFonts w:cs="Arial"/>
        </w:rPr>
        <w:t>undertook</w:t>
      </w:r>
      <w:r w:rsidR="00FD2C97">
        <w:rPr>
          <w:rFonts w:cs="Arial"/>
        </w:rPr>
        <w:t xml:space="preserve"> sufficient physical activity that</w:t>
      </w:r>
      <w:r w:rsidR="00C43F3B">
        <w:rPr>
          <w:rFonts w:cs="Arial"/>
        </w:rPr>
        <w:t xml:space="preserve"> </w:t>
      </w:r>
      <w:r w:rsidR="00FD2C97">
        <w:rPr>
          <w:rFonts w:cs="Arial"/>
        </w:rPr>
        <w:t>m</w:t>
      </w:r>
      <w:r w:rsidR="00C43F3B">
        <w:rPr>
          <w:rFonts w:cs="Arial"/>
        </w:rPr>
        <w:t>e</w:t>
      </w:r>
      <w:r w:rsidR="006C5290">
        <w:rPr>
          <w:rFonts w:cs="Arial"/>
        </w:rPr>
        <w:t>t the n</w:t>
      </w:r>
      <w:r w:rsidR="00C43F3B" w:rsidRPr="007479A4">
        <w:rPr>
          <w:rFonts w:cs="Arial"/>
        </w:rPr>
        <w:t xml:space="preserve">ational </w:t>
      </w:r>
      <w:r w:rsidR="00C43F3B">
        <w:rPr>
          <w:rFonts w:cs="Arial"/>
        </w:rPr>
        <w:t>p</w:t>
      </w:r>
      <w:r w:rsidR="00C43F3B" w:rsidRPr="007479A4">
        <w:rPr>
          <w:rFonts w:cs="Arial"/>
        </w:rPr>
        <w:t xml:space="preserve">hysical </w:t>
      </w:r>
      <w:r w:rsidR="00C43F3B">
        <w:rPr>
          <w:rFonts w:cs="Arial"/>
        </w:rPr>
        <w:t>a</w:t>
      </w:r>
      <w:r w:rsidR="00C43F3B" w:rsidRPr="007479A4">
        <w:rPr>
          <w:rFonts w:cs="Arial"/>
        </w:rPr>
        <w:t>ctivity guidelines</w:t>
      </w:r>
      <w:r w:rsidR="00C43F3B">
        <w:rPr>
          <w:rFonts w:cs="Arial"/>
        </w:rPr>
        <w:t>.</w:t>
      </w:r>
      <w:r w:rsidR="00C43F3B">
        <w:rPr>
          <w:rStyle w:val="FootnoteReference"/>
          <w:rFonts w:cs="Arial"/>
        </w:rPr>
        <w:footnoteReference w:id="83"/>
      </w:r>
    </w:p>
    <w:p w14:paraId="65D8305D" w14:textId="77777777" w:rsidR="009B17F6" w:rsidRDefault="009B17F6">
      <w:pPr>
        <w:rPr>
          <w:rStyle w:val="Heading3Char"/>
          <w:lang w:eastAsia="en-US"/>
        </w:rPr>
      </w:pPr>
      <w:r>
        <w:rPr>
          <w:rStyle w:val="Heading3Char"/>
        </w:rPr>
        <w:br w:type="page"/>
      </w:r>
    </w:p>
    <w:p w14:paraId="2DF0EDC2" w14:textId="103895D1" w:rsidR="00784A70" w:rsidRPr="009B17F6" w:rsidRDefault="00784A70" w:rsidP="009B17F6">
      <w:pPr>
        <w:pStyle w:val="Heading3"/>
        <w:rPr>
          <w:rStyle w:val="Heading3Char"/>
          <w:b/>
          <w:bCs/>
        </w:rPr>
      </w:pPr>
      <w:bookmarkStart w:id="490" w:name="_Measure_7.11_–"/>
      <w:bookmarkEnd w:id="490"/>
      <w:r w:rsidRPr="009B17F6">
        <w:rPr>
          <w:rStyle w:val="Heading3Char"/>
          <w:b/>
          <w:bCs/>
        </w:rPr>
        <w:lastRenderedPageBreak/>
        <w:t>Measure 7.11 –</w:t>
      </w:r>
      <w:r w:rsidR="00782252" w:rsidRPr="009B17F6">
        <w:rPr>
          <w:rStyle w:val="Heading3Char"/>
          <w:b/>
          <w:bCs/>
        </w:rPr>
        <w:t xml:space="preserve"> Proportion of children 5</w:t>
      </w:r>
      <w:r w:rsidR="00CA2AD7" w:rsidRPr="009B17F6">
        <w:rPr>
          <w:rStyle w:val="Heading3Char"/>
          <w:b/>
          <w:bCs/>
        </w:rPr>
        <w:t>–</w:t>
      </w:r>
      <w:r w:rsidR="00782252" w:rsidRPr="009B17F6">
        <w:rPr>
          <w:rStyle w:val="Heading3Char"/>
          <w:b/>
          <w:bCs/>
        </w:rPr>
        <w:t>12 years who are sufficiently physically active</w:t>
      </w:r>
    </w:p>
    <w:p w14:paraId="0EDDEE9E" w14:textId="06CB6B41" w:rsidR="00454D19" w:rsidRDefault="004272A6" w:rsidP="0091523F">
      <w:pPr>
        <w:pStyle w:val="DHHSfigurecaption"/>
      </w:pPr>
      <w:bookmarkStart w:id="491" w:name="_Toc19008083"/>
      <w:bookmarkStart w:id="492" w:name="_Toc19008316"/>
      <w:bookmarkStart w:id="493" w:name="_Toc19008463"/>
      <w:bookmarkStart w:id="494" w:name="_Toc19008610"/>
      <w:bookmarkStart w:id="495" w:name="_Toc27414318"/>
      <w:r w:rsidRPr="004272A6">
        <w:t>Figure 7.11</w:t>
      </w:r>
      <w:r w:rsidR="00CA2AD7">
        <w:t>:</w:t>
      </w:r>
      <w:r w:rsidRPr="004272A6">
        <w:t xml:space="preserve"> Proportion of children </w:t>
      </w:r>
      <w:r w:rsidR="00461622">
        <w:t xml:space="preserve">aged </w:t>
      </w:r>
      <w:r w:rsidRPr="004272A6">
        <w:t>5</w:t>
      </w:r>
      <w:r w:rsidR="00CA2AD7">
        <w:t>–</w:t>
      </w:r>
      <w:r w:rsidRPr="004272A6">
        <w:t>12 years who are sufficiently physically active</w:t>
      </w:r>
      <w:r w:rsidR="00461622">
        <w:t>, 2013 and 2017</w:t>
      </w:r>
      <w:bookmarkEnd w:id="491"/>
      <w:bookmarkEnd w:id="492"/>
      <w:bookmarkEnd w:id="493"/>
      <w:bookmarkEnd w:id="494"/>
      <w:bookmarkEnd w:id="495"/>
    </w:p>
    <w:p w14:paraId="52486120" w14:textId="238C317C" w:rsidR="00A11ADD" w:rsidRPr="00F95FC6" w:rsidRDefault="00563CC6" w:rsidP="00454D19">
      <w:pPr>
        <w:pStyle w:val="DHHSbody"/>
      </w:pPr>
      <w:r>
        <w:rPr>
          <w:noProof/>
        </w:rPr>
        <w:drawing>
          <wp:inline distT="0" distB="0" distL="0" distR="0" wp14:anchorId="784FF626" wp14:editId="4070639F">
            <wp:extent cx="6748780" cy="3736975"/>
            <wp:effectExtent l="0" t="0" r="0" b="0"/>
            <wp:docPr id="358" name="Picture 358" descr="This figure presents data under the 'Measure 7.11 - Proportion of children aged 5 to 12 years who are sufficiently physically active'.  The data for this figure for 2013 and 2017 is available in this section - refer to Table 7.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748780" cy="3736975"/>
                    </a:xfrm>
                    <a:prstGeom prst="rect">
                      <a:avLst/>
                    </a:prstGeom>
                    <a:noFill/>
                  </pic:spPr>
                </pic:pic>
              </a:graphicData>
            </a:graphic>
          </wp:inline>
        </w:drawing>
      </w:r>
    </w:p>
    <w:p w14:paraId="47592720" w14:textId="07395E94" w:rsidR="00633950" w:rsidRPr="00660649" w:rsidRDefault="005D05D2" w:rsidP="00660649">
      <w:pPr>
        <w:pStyle w:val="DHHStablefigurenote"/>
      </w:pPr>
      <w:r w:rsidRPr="00B3562A">
        <w:t>Note</w:t>
      </w:r>
      <w:r w:rsidR="00461622">
        <w:t>:</w:t>
      </w:r>
      <w:r w:rsidRPr="00B3562A">
        <w:t xml:space="preserve"> </w:t>
      </w:r>
      <w:r w:rsidR="00461622">
        <w:t>I</w:t>
      </w:r>
      <w:r w:rsidRPr="00B3562A">
        <w:t>n 2014 the definition of sufficient physical activity changed</w:t>
      </w:r>
      <w:r w:rsidR="00A81AB6">
        <w:t>.</w:t>
      </w:r>
    </w:p>
    <w:p w14:paraId="0EA6D288" w14:textId="4B666563" w:rsidR="00084B5F" w:rsidRDefault="00084B5F" w:rsidP="00660649">
      <w:pPr>
        <w:pStyle w:val="DHHStablefigurenote"/>
      </w:pPr>
      <w:r w:rsidRPr="00205D23">
        <w:t>Source</w:t>
      </w:r>
      <w:r>
        <w:rPr>
          <w:color w:val="000000"/>
          <w:sz w:val="16"/>
          <w:szCs w:val="16"/>
        </w:rPr>
        <w:t xml:space="preserve">: </w:t>
      </w:r>
      <w:r w:rsidRPr="00647D41">
        <w:t xml:space="preserve">Victorian Child Health and Wellbeing </w:t>
      </w:r>
      <w:r w:rsidR="00084AC6" w:rsidRPr="00647D41">
        <w:t>Surv</w:t>
      </w:r>
      <w:r w:rsidR="00084AC6">
        <w:t>eys 2013 and 2017</w:t>
      </w:r>
      <w:r w:rsidRPr="00647D41">
        <w:t xml:space="preserve"> </w:t>
      </w:r>
      <w:r w:rsidR="003A373B" w:rsidRPr="003A373B">
        <w:t>http://www.education.vic.gov.au/about/research/Pages/vcamsindicator.aspx</w:t>
      </w:r>
    </w:p>
    <w:p w14:paraId="24C5E3DD" w14:textId="3E15088F" w:rsidR="003A373B" w:rsidRPr="003A373B" w:rsidRDefault="003A373B" w:rsidP="003A373B">
      <w:pPr>
        <w:pStyle w:val="DHHStablecaption"/>
      </w:pPr>
      <w:bookmarkStart w:id="496" w:name="_Toc18908737"/>
      <w:bookmarkStart w:id="497" w:name="_Toc27414417"/>
      <w:r w:rsidRPr="003A373B">
        <w:t>Table 7.11:</w:t>
      </w:r>
      <w:r>
        <w:rPr>
          <w:i/>
        </w:rPr>
        <w:t xml:space="preserve"> </w:t>
      </w:r>
      <w:r w:rsidRPr="004272A6">
        <w:t xml:space="preserve">Proportion of children </w:t>
      </w:r>
      <w:r>
        <w:t xml:space="preserve">aged </w:t>
      </w:r>
      <w:r w:rsidRPr="004272A6">
        <w:t>5</w:t>
      </w:r>
      <w:r>
        <w:t>–</w:t>
      </w:r>
      <w:r w:rsidRPr="004272A6">
        <w:t>12 years who are sufficiently physically active</w:t>
      </w:r>
      <w:r>
        <w:t>, 2013 and 2017</w:t>
      </w:r>
      <w:bookmarkEnd w:id="496"/>
      <w:bookmarkEnd w:id="497"/>
    </w:p>
    <w:tbl>
      <w:tblPr>
        <w:tblW w:w="0" w:type="auto"/>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081"/>
        <w:gridCol w:w="1980"/>
        <w:gridCol w:w="2028"/>
        <w:gridCol w:w="2028"/>
        <w:gridCol w:w="2262"/>
      </w:tblGrid>
      <w:tr w:rsidR="003A373B" w:rsidRPr="00DB4F90" w14:paraId="6CF57B84" w14:textId="77777777" w:rsidTr="006A362C">
        <w:trPr>
          <w:trHeight w:val="334"/>
        </w:trPr>
        <w:tc>
          <w:tcPr>
            <w:tcW w:w="2081" w:type="dxa"/>
            <w:shd w:val="clear" w:color="auto" w:fill="EDCDCF"/>
            <w:vAlign w:val="center"/>
          </w:tcPr>
          <w:p w14:paraId="2387FAD1" w14:textId="77777777" w:rsidR="003A373B" w:rsidRPr="00DB4F90" w:rsidRDefault="003A373B" w:rsidP="006A362C">
            <w:pPr>
              <w:pStyle w:val="DHHStablecolhead"/>
              <w:spacing w:before="0" w:after="120" w:line="270" w:lineRule="atLeast"/>
            </w:pPr>
            <w:r w:rsidRPr="00DB4F90">
              <w:t>Year</w:t>
            </w:r>
          </w:p>
        </w:tc>
        <w:tc>
          <w:tcPr>
            <w:tcW w:w="1980" w:type="dxa"/>
            <w:shd w:val="clear" w:color="auto" w:fill="EDCDCF"/>
            <w:vAlign w:val="center"/>
          </w:tcPr>
          <w:p w14:paraId="32ADEC3C" w14:textId="49693781" w:rsidR="003A373B" w:rsidRPr="00DB4F90" w:rsidRDefault="003A373B" w:rsidP="006A362C">
            <w:pPr>
              <w:pStyle w:val="DHHStablecolhead"/>
              <w:spacing w:before="0" w:after="120" w:line="270" w:lineRule="atLeast"/>
            </w:pPr>
            <w:r w:rsidRPr="00DB4F90">
              <w:t>201</w:t>
            </w:r>
            <w:r>
              <w:t>3</w:t>
            </w:r>
          </w:p>
        </w:tc>
        <w:tc>
          <w:tcPr>
            <w:tcW w:w="2028" w:type="dxa"/>
            <w:shd w:val="clear" w:color="auto" w:fill="EDCDCF"/>
          </w:tcPr>
          <w:p w14:paraId="554C7823" w14:textId="77777777" w:rsidR="003A373B" w:rsidRPr="00DB4F90" w:rsidRDefault="003A373B" w:rsidP="006A362C">
            <w:pPr>
              <w:pStyle w:val="DHHStablecolhead"/>
              <w:spacing w:before="0" w:after="120" w:line="270" w:lineRule="atLeast"/>
            </w:pPr>
          </w:p>
        </w:tc>
        <w:tc>
          <w:tcPr>
            <w:tcW w:w="2028" w:type="dxa"/>
            <w:shd w:val="clear" w:color="auto" w:fill="EDCDCF"/>
            <w:vAlign w:val="center"/>
          </w:tcPr>
          <w:p w14:paraId="71A9B559" w14:textId="77777777" w:rsidR="003A373B" w:rsidRPr="00DB4F90" w:rsidRDefault="003A373B" w:rsidP="006A362C">
            <w:pPr>
              <w:pStyle w:val="DHHStablecolhead"/>
              <w:spacing w:before="0" w:after="120" w:line="270" w:lineRule="atLeast"/>
            </w:pPr>
          </w:p>
        </w:tc>
        <w:tc>
          <w:tcPr>
            <w:tcW w:w="2262" w:type="dxa"/>
            <w:shd w:val="clear" w:color="auto" w:fill="EDCDCF"/>
            <w:vAlign w:val="center"/>
          </w:tcPr>
          <w:p w14:paraId="169F00FC" w14:textId="17CF6576" w:rsidR="003A373B" w:rsidRPr="00DB4F90" w:rsidRDefault="003A373B" w:rsidP="006A362C">
            <w:pPr>
              <w:pStyle w:val="DHHStablecolhead"/>
              <w:spacing w:before="0" w:after="120" w:line="270" w:lineRule="atLeast"/>
            </w:pPr>
            <w:r w:rsidRPr="00DB4F90">
              <w:t>201</w:t>
            </w:r>
            <w:r>
              <w:t>7</w:t>
            </w:r>
          </w:p>
        </w:tc>
      </w:tr>
      <w:tr w:rsidR="003A373B" w:rsidRPr="0069114D" w14:paraId="44BD3FD6" w14:textId="77777777" w:rsidTr="006A362C">
        <w:trPr>
          <w:trHeight w:val="334"/>
        </w:trPr>
        <w:tc>
          <w:tcPr>
            <w:tcW w:w="2081" w:type="dxa"/>
            <w:shd w:val="clear" w:color="auto" w:fill="auto"/>
            <w:vAlign w:val="center"/>
          </w:tcPr>
          <w:p w14:paraId="20906B18" w14:textId="77777777" w:rsidR="003A373B" w:rsidRPr="005E739D" w:rsidRDefault="003A373B" w:rsidP="006A362C">
            <w:pPr>
              <w:pStyle w:val="DHHStabletext"/>
              <w:spacing w:before="0" w:after="120" w:line="270" w:lineRule="atLeast"/>
            </w:pPr>
            <w:r>
              <w:t>Per cent (%)</w:t>
            </w:r>
          </w:p>
        </w:tc>
        <w:tc>
          <w:tcPr>
            <w:tcW w:w="1980" w:type="dxa"/>
            <w:shd w:val="clear" w:color="auto" w:fill="auto"/>
            <w:vAlign w:val="center"/>
          </w:tcPr>
          <w:p w14:paraId="5F69402C" w14:textId="4B9688F1" w:rsidR="003A373B" w:rsidRPr="0069114D" w:rsidRDefault="003A373B" w:rsidP="006A362C">
            <w:pPr>
              <w:pStyle w:val="DHHStabletext"/>
              <w:spacing w:before="0" w:after="120" w:line="270" w:lineRule="atLeast"/>
            </w:pPr>
            <w:r>
              <w:t>62.2</w:t>
            </w:r>
          </w:p>
        </w:tc>
        <w:tc>
          <w:tcPr>
            <w:tcW w:w="2028" w:type="dxa"/>
          </w:tcPr>
          <w:p w14:paraId="63CFCA9F" w14:textId="77777777" w:rsidR="003A373B" w:rsidRPr="0069114D" w:rsidRDefault="003A373B" w:rsidP="006A362C">
            <w:pPr>
              <w:pStyle w:val="DHHStabletext"/>
              <w:spacing w:before="0" w:after="120" w:line="270" w:lineRule="atLeast"/>
            </w:pPr>
          </w:p>
        </w:tc>
        <w:tc>
          <w:tcPr>
            <w:tcW w:w="2028" w:type="dxa"/>
            <w:shd w:val="clear" w:color="auto" w:fill="auto"/>
            <w:vAlign w:val="center"/>
          </w:tcPr>
          <w:p w14:paraId="359D3285" w14:textId="77777777" w:rsidR="003A373B" w:rsidRPr="0069114D" w:rsidRDefault="003A373B" w:rsidP="006A362C">
            <w:pPr>
              <w:pStyle w:val="DHHStabletext"/>
              <w:spacing w:before="0" w:after="120" w:line="270" w:lineRule="atLeast"/>
            </w:pPr>
          </w:p>
        </w:tc>
        <w:tc>
          <w:tcPr>
            <w:tcW w:w="2262" w:type="dxa"/>
            <w:shd w:val="clear" w:color="auto" w:fill="auto"/>
            <w:vAlign w:val="center"/>
          </w:tcPr>
          <w:p w14:paraId="6AA7DC59" w14:textId="3C60A06A" w:rsidR="003A373B" w:rsidRPr="0069114D" w:rsidRDefault="003A373B" w:rsidP="006A362C">
            <w:pPr>
              <w:pStyle w:val="DHHStabletext"/>
              <w:spacing w:before="0" w:after="120" w:line="270" w:lineRule="atLeast"/>
            </w:pPr>
            <w:r>
              <w:t>59.4</w:t>
            </w:r>
          </w:p>
        </w:tc>
      </w:tr>
      <w:tr w:rsidR="003A373B" w:rsidRPr="0069114D" w14:paraId="169FD211" w14:textId="77777777" w:rsidTr="006A362C">
        <w:trPr>
          <w:trHeight w:val="334"/>
        </w:trPr>
        <w:tc>
          <w:tcPr>
            <w:tcW w:w="2081" w:type="dxa"/>
            <w:shd w:val="clear" w:color="auto" w:fill="auto"/>
            <w:vAlign w:val="center"/>
          </w:tcPr>
          <w:p w14:paraId="2B46D819" w14:textId="77777777" w:rsidR="003A373B" w:rsidRDefault="003A373B" w:rsidP="006A362C">
            <w:pPr>
              <w:pStyle w:val="DHHStabletext"/>
              <w:spacing w:before="0" w:after="120"/>
            </w:pPr>
            <w:r>
              <w:t>95% CI</w:t>
            </w:r>
          </w:p>
        </w:tc>
        <w:tc>
          <w:tcPr>
            <w:tcW w:w="1980" w:type="dxa"/>
            <w:shd w:val="clear" w:color="auto" w:fill="auto"/>
            <w:vAlign w:val="center"/>
          </w:tcPr>
          <w:p w14:paraId="57DD0B60" w14:textId="29C20D27" w:rsidR="003A373B" w:rsidRPr="0069114D" w:rsidRDefault="003A373B" w:rsidP="006A362C">
            <w:pPr>
              <w:pStyle w:val="DHHStabletext"/>
              <w:spacing w:before="0" w:after="120"/>
            </w:pPr>
            <w:r w:rsidRPr="0069114D">
              <w:t>(</w:t>
            </w:r>
            <w:r>
              <w:t>60.6–63.8</w:t>
            </w:r>
            <w:r w:rsidRPr="0069114D">
              <w:t>)</w:t>
            </w:r>
          </w:p>
        </w:tc>
        <w:tc>
          <w:tcPr>
            <w:tcW w:w="2028" w:type="dxa"/>
          </w:tcPr>
          <w:p w14:paraId="560A48FA" w14:textId="77777777" w:rsidR="003A373B" w:rsidRPr="0069114D" w:rsidRDefault="003A373B" w:rsidP="006A362C">
            <w:pPr>
              <w:pStyle w:val="DHHStabletext"/>
              <w:spacing w:before="0" w:after="120"/>
            </w:pPr>
          </w:p>
        </w:tc>
        <w:tc>
          <w:tcPr>
            <w:tcW w:w="2028" w:type="dxa"/>
            <w:shd w:val="clear" w:color="auto" w:fill="auto"/>
            <w:vAlign w:val="center"/>
          </w:tcPr>
          <w:p w14:paraId="639E7643" w14:textId="77777777" w:rsidR="003A373B" w:rsidRPr="0069114D" w:rsidRDefault="003A373B" w:rsidP="006A362C">
            <w:pPr>
              <w:pStyle w:val="DHHStabletext"/>
              <w:spacing w:before="0" w:after="120"/>
            </w:pPr>
          </w:p>
        </w:tc>
        <w:tc>
          <w:tcPr>
            <w:tcW w:w="2262" w:type="dxa"/>
            <w:shd w:val="clear" w:color="auto" w:fill="auto"/>
            <w:vAlign w:val="center"/>
          </w:tcPr>
          <w:p w14:paraId="512BC134" w14:textId="1DEF4219" w:rsidR="003A373B" w:rsidRPr="0069114D" w:rsidRDefault="003A373B" w:rsidP="006A362C">
            <w:pPr>
              <w:pStyle w:val="DHHStabletext"/>
              <w:spacing w:before="0" w:after="120"/>
            </w:pPr>
            <w:r w:rsidRPr="0069114D">
              <w:t>(</w:t>
            </w:r>
            <w:r>
              <w:t>56.4–62.3</w:t>
            </w:r>
            <w:r w:rsidRPr="0069114D">
              <w:t>)</w:t>
            </w:r>
          </w:p>
        </w:tc>
      </w:tr>
    </w:tbl>
    <w:p w14:paraId="30E75AC3" w14:textId="2B16D48A" w:rsidR="00454D19" w:rsidRPr="00327ACC" w:rsidRDefault="00454D19" w:rsidP="007D4610">
      <w:pPr>
        <w:pStyle w:val="Heading4"/>
      </w:pPr>
      <w:r w:rsidRPr="00590D2B">
        <w:t>Measure assessment</w:t>
      </w:r>
    </w:p>
    <w:p w14:paraId="30895E7C" w14:textId="539E90C8" w:rsidR="0097280A" w:rsidRPr="0033586E" w:rsidRDefault="00454D19" w:rsidP="0033586E">
      <w:pPr>
        <w:autoSpaceDE w:val="0"/>
        <w:autoSpaceDN w:val="0"/>
        <w:adjustRightInd w:val="0"/>
        <w:spacing w:after="120" w:line="270" w:lineRule="atLeast"/>
        <w:rPr>
          <w:rFonts w:ascii="Arial" w:hAnsi="Arial" w:cs="Arial"/>
          <w:color w:val="C00000"/>
        </w:rPr>
      </w:pPr>
      <w:r w:rsidRPr="0097280A">
        <w:rPr>
          <w:rFonts w:ascii="Arial" w:hAnsi="Arial" w:cs="Arial"/>
        </w:rPr>
        <w:t xml:space="preserve">Traffic light rating: </w:t>
      </w:r>
      <w:r w:rsidR="00870818" w:rsidRPr="0097280A">
        <w:rPr>
          <w:rFonts w:ascii="Arial" w:hAnsi="Arial" w:cs="Arial"/>
          <w:b/>
          <w:color w:val="C00000"/>
        </w:rPr>
        <w:t>Red</w:t>
      </w:r>
      <w:r w:rsidR="00320DEB" w:rsidRPr="0097280A">
        <w:rPr>
          <w:rFonts w:ascii="Arial" w:hAnsi="Arial" w:cs="Arial"/>
          <w:b/>
          <w:color w:val="C00000"/>
        </w:rPr>
        <w:t xml:space="preserve"> </w:t>
      </w:r>
      <w:r w:rsidR="00320DEB" w:rsidRPr="0097280A">
        <w:rPr>
          <w:rFonts w:ascii="Arial" w:hAnsi="Arial" w:cs="Arial"/>
          <w:color w:val="C00000"/>
        </w:rPr>
        <w:t>(result is of concern)</w:t>
      </w:r>
    </w:p>
    <w:p w14:paraId="10082656" w14:textId="77777777" w:rsidR="00454D19" w:rsidRDefault="00327ACC" w:rsidP="0033586E">
      <w:pPr>
        <w:pStyle w:val="DHHSbody"/>
        <w:rPr>
          <w:lang w:eastAsia="en-AU"/>
        </w:rPr>
      </w:pPr>
      <w:r>
        <w:rPr>
          <w:lang w:eastAsia="en-AU"/>
        </w:rPr>
        <w:t>Overall trend</w:t>
      </w:r>
      <w:r w:rsidR="00870818">
        <w:rPr>
          <w:lang w:eastAsia="en-AU"/>
        </w:rPr>
        <w:t xml:space="preserve">: </w:t>
      </w:r>
      <w:r w:rsidR="00870818">
        <w:rPr>
          <w:rFonts w:cs="Arial"/>
          <w:lang w:eastAsia="en-AU"/>
        </w:rPr>
        <w:t>Not moving in the right direction</w:t>
      </w:r>
    </w:p>
    <w:p w14:paraId="511D8812" w14:textId="77777777" w:rsidR="00D34318" w:rsidRDefault="00454D19" w:rsidP="0033586E">
      <w:pPr>
        <w:pStyle w:val="DHHSbody"/>
        <w:rPr>
          <w:lang w:eastAsia="en-AU"/>
        </w:rPr>
      </w:pPr>
      <w:r>
        <w:rPr>
          <w:lang w:eastAsia="en-AU"/>
        </w:rPr>
        <w:t>Commentary:</w:t>
      </w:r>
      <w:r w:rsidR="00952FC7">
        <w:rPr>
          <w:lang w:eastAsia="en-AU"/>
        </w:rPr>
        <w:t xml:space="preserve"> </w:t>
      </w:r>
      <w:r w:rsidR="000805D1">
        <w:rPr>
          <w:lang w:eastAsia="en-AU"/>
        </w:rPr>
        <w:t>As noted under Measure 7.10</w:t>
      </w:r>
      <w:r w:rsidR="00FE18EE">
        <w:rPr>
          <w:lang w:eastAsia="en-AU"/>
        </w:rPr>
        <w:t>,</w:t>
      </w:r>
      <w:r w:rsidR="000805D1">
        <w:rPr>
          <w:lang w:eastAsia="en-AU"/>
        </w:rPr>
        <w:t xml:space="preserve"> c</w:t>
      </w:r>
      <w:r w:rsidR="00F51A0E">
        <w:rPr>
          <w:lang w:eastAsia="en-AU"/>
        </w:rPr>
        <w:t>hildren and adolescents who are physically active have better mental, cardio-metabolic and musculoskeletal health and are less likely to gain weight</w:t>
      </w:r>
      <w:r w:rsidR="00784E3C">
        <w:rPr>
          <w:lang w:eastAsia="en-AU"/>
        </w:rPr>
        <w:t>, the latter being a risk factor for developing cancer later in life.</w:t>
      </w:r>
    </w:p>
    <w:p w14:paraId="6177A3D2" w14:textId="2C8899EC" w:rsidR="00784A70" w:rsidRPr="00D34318" w:rsidRDefault="00FE006F" w:rsidP="00D34318">
      <w:pPr>
        <w:pStyle w:val="DHHSbody"/>
        <w:rPr>
          <w:rStyle w:val="Heading2Char"/>
          <w:lang w:eastAsia="en-AU"/>
        </w:rPr>
      </w:pPr>
      <w:r w:rsidRPr="00D34318">
        <w:rPr>
          <w:rStyle w:val="DHHSbodyChar"/>
        </w:rPr>
        <w:t>A target has not been set for this measure</w:t>
      </w:r>
      <w:r w:rsidR="00A81AB6" w:rsidRPr="00D34318">
        <w:rPr>
          <w:rStyle w:val="DHHSbodyChar"/>
        </w:rPr>
        <w:t>;</w:t>
      </w:r>
      <w:r w:rsidRPr="00D34318">
        <w:rPr>
          <w:rStyle w:val="DHHSbodyChar"/>
        </w:rPr>
        <w:t xml:space="preserve"> however, n</w:t>
      </w:r>
      <w:r w:rsidR="008928CA" w:rsidRPr="00D34318">
        <w:rPr>
          <w:rStyle w:val="DHHSbodyChar"/>
        </w:rPr>
        <w:t>early 4</w:t>
      </w:r>
      <w:r w:rsidR="00FE18EE" w:rsidRPr="00D34318">
        <w:rPr>
          <w:rStyle w:val="DHHSbodyChar"/>
        </w:rPr>
        <w:t>0 per cent of children are in</w:t>
      </w:r>
      <w:r w:rsidR="00F51A0E" w:rsidRPr="00D34318">
        <w:rPr>
          <w:rStyle w:val="DHHSbodyChar"/>
        </w:rPr>
        <w:t>sufficiently physically active according to the most recent data</w:t>
      </w:r>
      <w:r w:rsidR="00FE6785" w:rsidRPr="00D34318">
        <w:rPr>
          <w:rStyle w:val="DHHSbodyChar"/>
        </w:rPr>
        <w:t xml:space="preserve"> (2017)</w:t>
      </w:r>
      <w:r w:rsidR="00633950" w:rsidRPr="00D34318">
        <w:rPr>
          <w:rStyle w:val="DHHSbodyChar"/>
        </w:rPr>
        <w:t xml:space="preserve"> (Figure 7.11</w:t>
      </w:r>
      <w:r w:rsidR="00F95FC6">
        <w:rPr>
          <w:rStyle w:val="DHHSbodyChar"/>
        </w:rPr>
        <w:t xml:space="preserve"> and Table 7.11</w:t>
      </w:r>
      <w:r w:rsidR="00633950" w:rsidRPr="00D34318">
        <w:rPr>
          <w:rStyle w:val="DHHSbodyChar"/>
        </w:rPr>
        <w:t>)</w:t>
      </w:r>
      <w:r w:rsidR="00F51A0E" w:rsidRPr="00D34318">
        <w:rPr>
          <w:rStyle w:val="DHHSbodyChar"/>
        </w:rPr>
        <w:t>.</w:t>
      </w:r>
      <w:r w:rsidR="00952FC7" w:rsidRPr="0091523F">
        <w:rPr>
          <w:lang w:eastAsia="en-AU"/>
        </w:rPr>
        <w:t xml:space="preserve"> </w:t>
      </w:r>
      <w:r w:rsidR="008E768B">
        <w:rPr>
          <w:lang w:eastAsia="en-AU"/>
        </w:rPr>
        <w:br w:type="page"/>
      </w:r>
      <w:r w:rsidR="0028681D" w:rsidRPr="00D34318">
        <w:rPr>
          <w:rStyle w:val="Heading2Char"/>
        </w:rPr>
        <w:lastRenderedPageBreak/>
        <w:t>Key result: Decrease obesity</w:t>
      </w:r>
    </w:p>
    <w:p w14:paraId="45D48D2D" w14:textId="77777777" w:rsidR="00AF17C0" w:rsidRDefault="0028681D" w:rsidP="00E43803">
      <w:pPr>
        <w:pStyle w:val="Heading3"/>
        <w:rPr>
          <w:noProof/>
          <w:lang w:eastAsia="en-AU"/>
        </w:rPr>
      </w:pPr>
      <w:bookmarkStart w:id="498" w:name="_Measure_8.1_–"/>
      <w:bookmarkStart w:id="499" w:name="_Toc19008084"/>
      <w:bookmarkEnd w:id="498"/>
      <w:r>
        <w:rPr>
          <w:lang w:eastAsia="en-AU"/>
        </w:rPr>
        <w:t>Measure 8.1 –</w:t>
      </w:r>
      <w:r w:rsidR="005940FC">
        <w:rPr>
          <w:lang w:eastAsia="en-AU"/>
        </w:rPr>
        <w:t xml:space="preserve"> Proportion of adults who are overweight or obese (measured)</w:t>
      </w:r>
      <w:bookmarkEnd w:id="499"/>
      <w:r w:rsidR="009C23A9" w:rsidRPr="009C23A9">
        <w:rPr>
          <w:noProof/>
          <w:lang w:eastAsia="en-AU"/>
        </w:rPr>
        <w:t xml:space="preserve"> </w:t>
      </w:r>
    </w:p>
    <w:p w14:paraId="115E7B9A" w14:textId="0DEF2C98" w:rsidR="001A2E70" w:rsidRDefault="005760EB" w:rsidP="001A2E70">
      <w:pPr>
        <w:pStyle w:val="DHHSfigurecaption"/>
        <w:rPr>
          <w:noProof/>
        </w:rPr>
      </w:pPr>
      <w:bookmarkStart w:id="500" w:name="_Toc19008085"/>
      <w:bookmarkStart w:id="501" w:name="_Toc19008317"/>
      <w:bookmarkStart w:id="502" w:name="_Toc19008464"/>
      <w:bookmarkStart w:id="503" w:name="_Toc19008611"/>
      <w:bookmarkStart w:id="504" w:name="_Toc27414319"/>
      <w:r>
        <w:t>Figure 8.1</w:t>
      </w:r>
      <w:r w:rsidR="00CA2AD7">
        <w:t>:</w:t>
      </w:r>
      <w:r>
        <w:t xml:space="preserve"> </w:t>
      </w:r>
      <w:r w:rsidR="009357A5">
        <w:t>Proportion of o</w:t>
      </w:r>
      <w:r>
        <w:t>verweight inclu</w:t>
      </w:r>
      <w:r w:rsidR="004272A6">
        <w:t>ding obesity among OECD adults</w:t>
      </w:r>
      <w:r w:rsidR="0015670E">
        <w:t xml:space="preserve"> (aged 15 </w:t>
      </w:r>
      <w:r w:rsidR="00CA2AD7">
        <w:t>or older</w:t>
      </w:r>
      <w:r w:rsidR="0015670E">
        <w:t>)</w:t>
      </w:r>
      <w:r w:rsidR="004272A6">
        <w:t>, 2015 (or nearest year)</w:t>
      </w:r>
      <w:r w:rsidR="004272A6">
        <w:rPr>
          <w:rStyle w:val="FootnoteReference"/>
          <w:b w:val="0"/>
          <w:lang w:eastAsia="en-AU"/>
        </w:rPr>
        <w:footnoteReference w:id="84"/>
      </w:r>
      <w:bookmarkEnd w:id="500"/>
      <w:bookmarkEnd w:id="501"/>
      <w:bookmarkEnd w:id="502"/>
      <w:bookmarkEnd w:id="503"/>
      <w:bookmarkEnd w:id="504"/>
      <w:r w:rsidR="004151B2" w:rsidRPr="004151B2">
        <w:rPr>
          <w:noProof/>
        </w:rPr>
        <w:t xml:space="preserve"> </w:t>
      </w:r>
    </w:p>
    <w:p w14:paraId="71032B7C" w14:textId="4E76A710" w:rsidR="005C3C42" w:rsidRPr="005C3C42" w:rsidRDefault="00563CC6" w:rsidP="001A2E70">
      <w:pPr>
        <w:pStyle w:val="DHHSbody"/>
      </w:pPr>
      <w:r>
        <w:rPr>
          <w:noProof/>
        </w:rPr>
        <w:drawing>
          <wp:inline distT="0" distB="0" distL="0" distR="0" wp14:anchorId="048F0107" wp14:editId="56B6F824">
            <wp:extent cx="6755130" cy="3310255"/>
            <wp:effectExtent l="0" t="0" r="7620" b="4445"/>
            <wp:docPr id="361" name="Picture 361" descr="This figure sits under the section 'Measure 8.1 - Proportion of adults who are overweight or obese (measured)' and shows the proportion of overweight (including obesity) adult population (15 years and over) of OECD countries by gender for 2015.  The data is available from the OECD website: https://doi.org/10.1787/health_glance-2017-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755130" cy="3310255"/>
                    </a:xfrm>
                    <a:prstGeom prst="rect">
                      <a:avLst/>
                    </a:prstGeom>
                    <a:noFill/>
                  </pic:spPr>
                </pic:pic>
              </a:graphicData>
            </a:graphic>
          </wp:inline>
        </w:drawing>
      </w:r>
    </w:p>
    <w:p w14:paraId="11A9F4B7" w14:textId="3EEE15DA" w:rsidR="00963A2F" w:rsidRPr="00CA4060" w:rsidRDefault="005760EB" w:rsidP="00660649">
      <w:pPr>
        <w:pStyle w:val="DHHStablefigurenote"/>
      </w:pPr>
      <w:r w:rsidRPr="00CA4060">
        <w:t>Source: OECD Health Statistics 2017</w:t>
      </w:r>
    </w:p>
    <w:p w14:paraId="02C19C33" w14:textId="00C7F0A8" w:rsidR="005760EB" w:rsidRDefault="00BF4243" w:rsidP="00660649">
      <w:pPr>
        <w:pStyle w:val="DHHStablefigurenote"/>
      </w:pPr>
      <w:r>
        <w:t>OECD34 = average of the 34 OECD countries</w:t>
      </w:r>
    </w:p>
    <w:p w14:paraId="68A8D095" w14:textId="25364E19" w:rsidR="00EA20FF" w:rsidRDefault="00E83E45" w:rsidP="00542C63">
      <w:pPr>
        <w:pStyle w:val="DHHSfigurecaption"/>
      </w:pPr>
      <w:bookmarkStart w:id="505" w:name="_Toc19008086"/>
      <w:bookmarkStart w:id="506" w:name="_Toc19008318"/>
      <w:bookmarkStart w:id="507" w:name="_Toc19008465"/>
      <w:bookmarkStart w:id="508" w:name="_Toc19008612"/>
      <w:bookmarkStart w:id="509" w:name="_Toc27414320"/>
      <w:r>
        <w:t>Figure 8.</w:t>
      </w:r>
      <w:r w:rsidR="007C0438">
        <w:t>1.1</w:t>
      </w:r>
      <w:r w:rsidR="00CA2AD7">
        <w:t>:</w:t>
      </w:r>
      <w:r>
        <w:t xml:space="preserve"> </w:t>
      </w:r>
      <w:r w:rsidR="002D1563">
        <w:t>Proportion of overweight/obesity (measured) in Australian adults</w:t>
      </w:r>
      <w:r w:rsidR="004917EF">
        <w:t>,</w:t>
      </w:r>
      <w:r w:rsidR="002D1563">
        <w:t xml:space="preserve"> by state and territory, </w:t>
      </w:r>
      <w:r w:rsidR="009D5704">
        <w:t>2011</w:t>
      </w:r>
      <w:r w:rsidR="00CA2AD7">
        <w:t>–</w:t>
      </w:r>
      <w:r w:rsidR="009D5704">
        <w:t xml:space="preserve">12 and </w:t>
      </w:r>
      <w:r w:rsidR="002D1563">
        <w:t>2014</w:t>
      </w:r>
      <w:r w:rsidR="00CA2AD7">
        <w:t>–</w:t>
      </w:r>
      <w:r w:rsidR="002D1563">
        <w:t>15</w:t>
      </w:r>
      <w:bookmarkEnd w:id="505"/>
      <w:bookmarkEnd w:id="506"/>
      <w:bookmarkEnd w:id="507"/>
      <w:bookmarkEnd w:id="508"/>
      <w:bookmarkEnd w:id="509"/>
    </w:p>
    <w:p w14:paraId="339C4163" w14:textId="507A4DF4" w:rsidR="00EA20FF" w:rsidRDefault="00563CC6" w:rsidP="00F4713C">
      <w:pPr>
        <w:pStyle w:val="DHHSbody"/>
        <w:rPr>
          <w:b/>
          <w:lang w:eastAsia="en-AU"/>
        </w:rPr>
      </w:pPr>
      <w:r>
        <w:rPr>
          <w:b/>
          <w:noProof/>
          <w:lang w:eastAsia="en-AU"/>
        </w:rPr>
        <w:drawing>
          <wp:inline distT="0" distB="0" distL="0" distR="0" wp14:anchorId="19535B30" wp14:editId="54ACEC3B">
            <wp:extent cx="6724650" cy="2920365"/>
            <wp:effectExtent l="0" t="0" r="0" b="0"/>
            <wp:docPr id="362" name="Picture 362" descr="This figure sits under the section specific to 'Measure 8.1 – Proportion of adults who are overweight or obese (measured)'. It shows data of the proportion of overweight/obesity (measured) in Australian adults, by state and territory, 2011–12 and 2014–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724650" cy="2920365"/>
                    </a:xfrm>
                    <a:prstGeom prst="rect">
                      <a:avLst/>
                    </a:prstGeom>
                    <a:noFill/>
                  </pic:spPr>
                </pic:pic>
              </a:graphicData>
            </a:graphic>
          </wp:inline>
        </w:drawing>
      </w:r>
    </w:p>
    <w:p w14:paraId="70FFEB15" w14:textId="2FCD4BCC" w:rsidR="00EA20FF" w:rsidRPr="00676EB9" w:rsidRDefault="00043FC4" w:rsidP="00660649">
      <w:pPr>
        <w:pStyle w:val="DHHStablefigurenote"/>
        <w:rPr>
          <w:lang w:eastAsia="en-AU"/>
        </w:rPr>
      </w:pPr>
      <w:r w:rsidRPr="00D667B9">
        <w:rPr>
          <w:lang w:eastAsia="en-AU"/>
        </w:rPr>
        <w:t>Source</w:t>
      </w:r>
      <w:r w:rsidRPr="00676EB9">
        <w:rPr>
          <w:lang w:eastAsia="en-AU"/>
        </w:rPr>
        <w:t xml:space="preserve">: </w:t>
      </w:r>
      <w:r w:rsidR="00781191">
        <w:rPr>
          <w:lang w:val="en"/>
        </w:rPr>
        <w:t>ABS</w:t>
      </w:r>
      <w:r w:rsidRPr="007D4610">
        <w:rPr>
          <w:lang w:val="en"/>
        </w:rPr>
        <w:t xml:space="preserve"> Australian Health Survey 2014</w:t>
      </w:r>
      <w:r w:rsidR="00A81AB6">
        <w:rPr>
          <w:lang w:val="en"/>
        </w:rPr>
        <w:t>–</w:t>
      </w:r>
      <w:r w:rsidRPr="007D4610">
        <w:rPr>
          <w:lang w:val="en"/>
        </w:rPr>
        <w:t>15 (4364.0)</w:t>
      </w:r>
    </w:p>
    <w:p w14:paraId="7FBD9299" w14:textId="2013B923" w:rsidR="007E62EB" w:rsidRPr="00312EC7" w:rsidRDefault="007E62EB" w:rsidP="006A0AC1">
      <w:pPr>
        <w:pStyle w:val="DHHSfigurecaption"/>
      </w:pPr>
      <w:bookmarkStart w:id="510" w:name="_Toc19008087"/>
      <w:bookmarkStart w:id="511" w:name="_Toc19008319"/>
      <w:bookmarkStart w:id="512" w:name="_Toc19008466"/>
      <w:bookmarkStart w:id="513" w:name="_Toc19008613"/>
      <w:bookmarkStart w:id="514" w:name="_Toc27414321"/>
      <w:r w:rsidRPr="00312EC7">
        <w:lastRenderedPageBreak/>
        <w:t>Figure 8.</w:t>
      </w:r>
      <w:r w:rsidR="007C0438">
        <w:t>1.2</w:t>
      </w:r>
      <w:r w:rsidR="00CA2AD7">
        <w:t>:</w:t>
      </w:r>
      <w:r w:rsidRPr="00312EC7">
        <w:t xml:space="preserve"> Proportion of overweight including obesity </w:t>
      </w:r>
      <w:r w:rsidR="007F214D">
        <w:t xml:space="preserve">(measured) </w:t>
      </w:r>
      <w:r w:rsidRPr="00312EC7">
        <w:t xml:space="preserve">among Victorian adults (aged 18 </w:t>
      </w:r>
      <w:r w:rsidR="00CA2AD7">
        <w:t>or older</w:t>
      </w:r>
      <w:r w:rsidRPr="00312EC7">
        <w:t>)</w:t>
      </w:r>
      <w:r w:rsidR="004917EF">
        <w:t>,</w:t>
      </w:r>
      <w:r w:rsidRPr="00312EC7">
        <w:t xml:space="preserve"> by year</w:t>
      </w:r>
      <w:r w:rsidR="00963A2F">
        <w:t>,</w:t>
      </w:r>
      <w:r w:rsidR="000A3605" w:rsidRPr="00312EC7">
        <w:t xml:space="preserve"> 2011</w:t>
      </w:r>
      <w:r w:rsidR="00CA2AD7">
        <w:t>–</w:t>
      </w:r>
      <w:r w:rsidR="000A3605" w:rsidRPr="00312EC7">
        <w:t>12</w:t>
      </w:r>
      <w:r w:rsidR="00CA2AD7">
        <w:t xml:space="preserve"> to </w:t>
      </w:r>
      <w:r w:rsidR="000A3605" w:rsidRPr="00312EC7">
        <w:t>2014</w:t>
      </w:r>
      <w:r w:rsidR="00CA2AD7">
        <w:t>–</w:t>
      </w:r>
      <w:r w:rsidR="000A3605" w:rsidRPr="00312EC7">
        <w:t>15</w:t>
      </w:r>
      <w:bookmarkEnd w:id="510"/>
      <w:bookmarkEnd w:id="511"/>
      <w:bookmarkEnd w:id="512"/>
      <w:bookmarkEnd w:id="513"/>
      <w:bookmarkEnd w:id="514"/>
    </w:p>
    <w:p w14:paraId="63F02A26" w14:textId="3203C4BD" w:rsidR="005263F3" w:rsidRPr="005263F3" w:rsidRDefault="00563CC6" w:rsidP="007E62EB">
      <w:pPr>
        <w:pStyle w:val="DHHSbody"/>
        <w:rPr>
          <w:lang w:eastAsia="en-AU"/>
        </w:rPr>
      </w:pPr>
      <w:r>
        <w:rPr>
          <w:noProof/>
          <w:lang w:eastAsia="en-AU"/>
        </w:rPr>
        <w:drawing>
          <wp:inline distT="0" distB="0" distL="0" distR="0" wp14:anchorId="37B555D9" wp14:editId="2E3D38CE">
            <wp:extent cx="6724650" cy="2505710"/>
            <wp:effectExtent l="0" t="0" r="0" b="8890"/>
            <wp:docPr id="363" name="Picture 363" descr="This figure presents data under the 'Measure 8.1 - Proportion of adults who are overweight or obese '.  Specifically this figure shows the proportion of overweight including obesity (measured) among Victorian adults (aged 18 or older), by year, 2011–12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724650" cy="2505710"/>
                    </a:xfrm>
                    <a:prstGeom prst="rect">
                      <a:avLst/>
                    </a:prstGeom>
                    <a:noFill/>
                  </pic:spPr>
                </pic:pic>
              </a:graphicData>
            </a:graphic>
          </wp:inline>
        </w:drawing>
      </w:r>
    </w:p>
    <w:p w14:paraId="4997823F" w14:textId="30B7534A" w:rsidR="0067181A" w:rsidRPr="00A10297" w:rsidRDefault="00B136A6" w:rsidP="00A10297">
      <w:pPr>
        <w:pStyle w:val="DHHStablefigurenote"/>
        <w:rPr>
          <w:szCs w:val="18"/>
        </w:rPr>
      </w:pPr>
      <w:r w:rsidRPr="00A35137">
        <w:t xml:space="preserve">Source: </w:t>
      </w:r>
      <w:r w:rsidR="00781191">
        <w:rPr>
          <w:lang w:val="en"/>
        </w:rPr>
        <w:t>ABS</w:t>
      </w:r>
      <w:r w:rsidR="00914DD8" w:rsidRPr="00A35137">
        <w:rPr>
          <w:lang w:val="en"/>
        </w:rPr>
        <w:t xml:space="preserve"> Australian Health Surveys 2011</w:t>
      </w:r>
      <w:r w:rsidR="00690CD3">
        <w:rPr>
          <w:lang w:val="en"/>
        </w:rPr>
        <w:t>–1</w:t>
      </w:r>
      <w:r w:rsidR="00914DD8" w:rsidRPr="00A35137">
        <w:rPr>
          <w:lang w:val="en"/>
        </w:rPr>
        <w:t xml:space="preserve">2 </w:t>
      </w:r>
      <w:r w:rsidR="00914DD8" w:rsidRPr="00A35137">
        <w:t>(</w:t>
      </w:r>
      <w:r w:rsidR="00914DD8" w:rsidRPr="00A35137">
        <w:rPr>
          <w:bCs/>
        </w:rPr>
        <w:t>4364.0.55.001)</w:t>
      </w:r>
      <w:r w:rsidR="00914DD8" w:rsidRPr="00A35137">
        <w:rPr>
          <w:lang w:val="en"/>
        </w:rPr>
        <w:t xml:space="preserve"> and 2014</w:t>
      </w:r>
      <w:r w:rsidR="00781191">
        <w:rPr>
          <w:lang w:val="en"/>
        </w:rPr>
        <w:t>–</w:t>
      </w:r>
      <w:r w:rsidR="00914DD8" w:rsidRPr="00A35137">
        <w:rPr>
          <w:lang w:val="en"/>
        </w:rPr>
        <w:t>15 (4364.0)</w:t>
      </w:r>
      <w:r w:rsidR="00914DD8" w:rsidRPr="00A35137">
        <w:rPr>
          <w:szCs w:val="18"/>
        </w:rPr>
        <w:t xml:space="preserve"> </w:t>
      </w:r>
    </w:p>
    <w:p w14:paraId="0302794C" w14:textId="0A60CFEE" w:rsidR="0067181A" w:rsidRPr="005609AD" w:rsidRDefault="00EA6E37" w:rsidP="005609AD">
      <w:pPr>
        <w:pStyle w:val="Heading4"/>
      </w:pPr>
      <w:r w:rsidRPr="0067181A">
        <w:t>Measure assessment</w:t>
      </w:r>
    </w:p>
    <w:p w14:paraId="0020C4B3" w14:textId="3F15A4F1" w:rsidR="00EA6E37" w:rsidRPr="005609AD" w:rsidRDefault="00EA6E37" w:rsidP="005609AD">
      <w:pPr>
        <w:autoSpaceDE w:val="0"/>
        <w:autoSpaceDN w:val="0"/>
        <w:adjustRightInd w:val="0"/>
        <w:spacing w:after="120" w:line="270" w:lineRule="atLeast"/>
        <w:rPr>
          <w:rFonts w:ascii="Arial" w:hAnsi="Arial" w:cs="Arial"/>
          <w:color w:val="C00000"/>
        </w:rPr>
      </w:pPr>
      <w:r w:rsidRPr="005B389F">
        <w:rPr>
          <w:rFonts w:ascii="Arial" w:hAnsi="Arial" w:cs="Arial"/>
        </w:rPr>
        <w:t xml:space="preserve">Traffic light rating: </w:t>
      </w:r>
      <w:r w:rsidR="00870818" w:rsidRPr="0097280A">
        <w:rPr>
          <w:rFonts w:ascii="Arial" w:hAnsi="Arial" w:cs="Arial"/>
          <w:b/>
          <w:color w:val="C00000"/>
        </w:rPr>
        <w:t>Red</w:t>
      </w:r>
      <w:r w:rsidR="0097280A">
        <w:rPr>
          <w:rFonts w:ascii="Arial" w:hAnsi="Arial" w:cs="Arial"/>
          <w:b/>
          <w:color w:val="C00000"/>
        </w:rPr>
        <w:t xml:space="preserve"> </w:t>
      </w:r>
      <w:r w:rsidR="0097280A">
        <w:rPr>
          <w:rFonts w:ascii="Arial" w:hAnsi="Arial" w:cs="Arial"/>
          <w:color w:val="C00000"/>
        </w:rPr>
        <w:t>(result is of concern)</w:t>
      </w:r>
    </w:p>
    <w:p w14:paraId="5DC7CD49" w14:textId="3C659654" w:rsidR="00EA6E37" w:rsidRPr="005B389F" w:rsidRDefault="00EA6E37" w:rsidP="005609AD">
      <w:pPr>
        <w:autoSpaceDE w:val="0"/>
        <w:autoSpaceDN w:val="0"/>
        <w:adjustRightInd w:val="0"/>
        <w:spacing w:after="120" w:line="270" w:lineRule="atLeast"/>
        <w:rPr>
          <w:rFonts w:ascii="Arial" w:hAnsi="Arial" w:cs="Arial"/>
        </w:rPr>
      </w:pPr>
      <w:r w:rsidRPr="005B389F">
        <w:rPr>
          <w:rFonts w:ascii="Arial" w:hAnsi="Arial" w:cs="Arial"/>
        </w:rPr>
        <w:t xml:space="preserve">Overall trend: </w:t>
      </w:r>
      <w:r w:rsidR="00870818" w:rsidRPr="005B389F">
        <w:rPr>
          <w:rFonts w:ascii="Arial" w:hAnsi="Arial" w:cs="Arial"/>
        </w:rPr>
        <w:t>Not moving in the right direction</w:t>
      </w:r>
    </w:p>
    <w:p w14:paraId="085FD481" w14:textId="0D6ED968" w:rsidR="009A0008" w:rsidRPr="009973DC" w:rsidRDefault="00EA6E37" w:rsidP="005609AD">
      <w:pPr>
        <w:autoSpaceDE w:val="0"/>
        <w:autoSpaceDN w:val="0"/>
        <w:adjustRightInd w:val="0"/>
        <w:spacing w:after="120" w:line="270" w:lineRule="atLeast"/>
        <w:rPr>
          <w:rFonts w:ascii="Arial" w:hAnsi="Arial" w:cs="Arial"/>
          <w:lang w:val="en"/>
        </w:rPr>
      </w:pPr>
      <w:r w:rsidRPr="009973DC">
        <w:rPr>
          <w:rFonts w:ascii="Arial" w:hAnsi="Arial" w:cs="Arial"/>
        </w:rPr>
        <w:t>Commentary:</w:t>
      </w:r>
      <w:r w:rsidR="00E12CFB" w:rsidRPr="009973DC">
        <w:rPr>
          <w:rFonts w:ascii="Arial" w:hAnsi="Arial" w:cs="Arial"/>
        </w:rPr>
        <w:t xml:space="preserve"> Overweight and obesity are major risk factors for many chronic diseases including cancer.</w:t>
      </w:r>
      <w:r w:rsidR="00952FC7">
        <w:rPr>
          <w:rFonts w:ascii="Arial" w:hAnsi="Arial" w:cs="Arial"/>
        </w:rPr>
        <w:t xml:space="preserve"> </w:t>
      </w:r>
      <w:r w:rsidR="00F167D4" w:rsidRPr="009973DC">
        <w:rPr>
          <w:rFonts w:ascii="Arial" w:hAnsi="Arial" w:cs="Arial"/>
        </w:rPr>
        <w:t>For the purposes of this measure</w:t>
      </w:r>
      <w:r w:rsidR="00084AC6">
        <w:rPr>
          <w:rFonts w:ascii="Arial" w:hAnsi="Arial" w:cs="Arial"/>
        </w:rPr>
        <w:t>,</w:t>
      </w:r>
      <w:r w:rsidR="00F167D4" w:rsidRPr="009973DC">
        <w:rPr>
          <w:rFonts w:ascii="Arial" w:hAnsi="Arial" w:cs="Arial"/>
        </w:rPr>
        <w:t xml:space="preserve"> </w:t>
      </w:r>
      <w:r w:rsidR="00F167D4" w:rsidRPr="009973DC">
        <w:rPr>
          <w:rFonts w:ascii="Arial" w:hAnsi="Arial" w:cs="Arial"/>
          <w:lang w:val="en"/>
        </w:rPr>
        <w:t xml:space="preserve">overweight and obesity was calculated using the </w:t>
      </w:r>
      <w:r w:rsidR="00CA2AD7">
        <w:rPr>
          <w:rFonts w:ascii="Arial" w:hAnsi="Arial" w:cs="Arial"/>
          <w:lang w:val="en"/>
        </w:rPr>
        <w:t>b</w:t>
      </w:r>
      <w:r w:rsidR="00F167D4" w:rsidRPr="009973DC">
        <w:rPr>
          <w:rFonts w:ascii="Arial" w:hAnsi="Arial" w:cs="Arial"/>
          <w:lang w:val="en"/>
        </w:rPr>
        <w:t xml:space="preserve">ody </w:t>
      </w:r>
      <w:r w:rsidR="00CA2AD7">
        <w:rPr>
          <w:rFonts w:ascii="Arial" w:hAnsi="Arial" w:cs="Arial"/>
          <w:lang w:val="en"/>
        </w:rPr>
        <w:t>m</w:t>
      </w:r>
      <w:r w:rsidR="00F167D4" w:rsidRPr="009973DC">
        <w:rPr>
          <w:rFonts w:ascii="Arial" w:hAnsi="Arial" w:cs="Arial"/>
          <w:lang w:val="en"/>
        </w:rPr>
        <w:t xml:space="preserve">ass </w:t>
      </w:r>
      <w:r w:rsidR="00CA2AD7">
        <w:rPr>
          <w:rFonts w:ascii="Arial" w:hAnsi="Arial" w:cs="Arial"/>
          <w:lang w:val="en"/>
        </w:rPr>
        <w:t>i</w:t>
      </w:r>
      <w:r w:rsidR="00F167D4" w:rsidRPr="009973DC">
        <w:rPr>
          <w:rFonts w:ascii="Arial" w:hAnsi="Arial" w:cs="Arial"/>
          <w:lang w:val="en"/>
        </w:rPr>
        <w:t>ndex (BMI), a scale based on height and weight commonly used to define if a person is underweight, normal weight, overweight or obese.</w:t>
      </w:r>
      <w:r w:rsidR="00F167D4" w:rsidRPr="009973DC">
        <w:rPr>
          <w:rStyle w:val="FootnoteReference"/>
          <w:rFonts w:cs="Arial"/>
        </w:rPr>
        <w:t xml:space="preserve"> </w:t>
      </w:r>
      <w:r w:rsidR="00F167D4" w:rsidRPr="009973DC">
        <w:rPr>
          <w:rStyle w:val="FootnoteReference"/>
          <w:rFonts w:cs="Arial"/>
        </w:rPr>
        <w:footnoteReference w:id="85"/>
      </w:r>
      <w:r w:rsidR="00F167D4" w:rsidRPr="009973DC">
        <w:rPr>
          <w:rFonts w:ascii="Arial" w:hAnsi="Arial" w:cs="Arial"/>
        </w:rPr>
        <w:t xml:space="preserve"> </w:t>
      </w:r>
      <w:r w:rsidR="00594D89" w:rsidRPr="009973DC">
        <w:rPr>
          <w:rFonts w:ascii="Arial" w:hAnsi="Arial" w:cs="Arial"/>
        </w:rPr>
        <w:t xml:space="preserve">In Australia, </w:t>
      </w:r>
      <w:r w:rsidR="00594D89" w:rsidRPr="009973DC">
        <w:rPr>
          <w:rFonts w:ascii="Arial" w:hAnsi="Arial" w:cs="Arial"/>
          <w:lang w:val="en"/>
        </w:rPr>
        <w:t>of the cancers related to body fatness (</w:t>
      </w:r>
      <w:r w:rsidR="00594D89" w:rsidRPr="006A0AC1">
        <w:rPr>
          <w:rFonts w:ascii="Arial" w:hAnsi="Arial" w:cs="Arial"/>
          <w:i/>
          <w:iCs/>
          <w:lang w:val="en"/>
        </w:rPr>
        <w:t>n</w:t>
      </w:r>
      <w:r w:rsidR="00CA2AD7">
        <w:rPr>
          <w:rFonts w:ascii="Arial" w:hAnsi="Arial" w:cs="Arial"/>
          <w:lang w:val="en"/>
        </w:rPr>
        <w:t xml:space="preserve"> </w:t>
      </w:r>
      <w:r w:rsidR="00594D89" w:rsidRPr="009973DC">
        <w:rPr>
          <w:rFonts w:ascii="Arial" w:hAnsi="Arial" w:cs="Arial"/>
          <w:lang w:val="en"/>
        </w:rPr>
        <w:t>=</w:t>
      </w:r>
      <w:r w:rsidR="00CA2AD7">
        <w:rPr>
          <w:rFonts w:ascii="Arial" w:hAnsi="Arial" w:cs="Arial"/>
          <w:lang w:val="en"/>
        </w:rPr>
        <w:t xml:space="preserve"> </w:t>
      </w:r>
      <w:r w:rsidR="00594D89" w:rsidRPr="009973DC">
        <w:rPr>
          <w:rFonts w:ascii="Arial" w:hAnsi="Arial" w:cs="Arial"/>
          <w:lang w:val="en"/>
        </w:rPr>
        <w:t>9</w:t>
      </w:r>
      <w:r w:rsidR="00CA2AD7">
        <w:rPr>
          <w:rFonts w:ascii="Arial" w:hAnsi="Arial" w:cs="Arial"/>
          <w:lang w:val="en"/>
        </w:rPr>
        <w:t>,</w:t>
      </w:r>
      <w:r w:rsidR="00594D89" w:rsidRPr="009973DC">
        <w:rPr>
          <w:rFonts w:ascii="Arial" w:hAnsi="Arial" w:cs="Arial"/>
          <w:lang w:val="en"/>
        </w:rPr>
        <w:t>258), 13</w:t>
      </w:r>
      <w:r w:rsidR="005142EA">
        <w:rPr>
          <w:rFonts w:ascii="Arial" w:hAnsi="Arial" w:cs="Arial"/>
          <w:lang w:val="en"/>
        </w:rPr>
        <w:t xml:space="preserve"> per cent</w:t>
      </w:r>
      <w:r w:rsidR="00594D89" w:rsidRPr="009973DC">
        <w:rPr>
          <w:rFonts w:ascii="Arial" w:hAnsi="Arial" w:cs="Arial"/>
          <w:lang w:val="en"/>
        </w:rPr>
        <w:t xml:space="preserve"> (95</w:t>
      </w:r>
      <w:r w:rsidR="00963A2F">
        <w:rPr>
          <w:rFonts w:ascii="Arial" w:hAnsi="Arial" w:cs="Arial"/>
          <w:lang w:val="en"/>
        </w:rPr>
        <w:t>% CI,</w:t>
      </w:r>
      <w:r w:rsidR="00C54796">
        <w:rPr>
          <w:rFonts w:ascii="Arial" w:hAnsi="Arial" w:cs="Arial"/>
          <w:lang w:val="en"/>
        </w:rPr>
        <w:t xml:space="preserve"> </w:t>
      </w:r>
      <w:r w:rsidR="00594D89" w:rsidRPr="009973DC">
        <w:rPr>
          <w:rFonts w:ascii="Arial" w:hAnsi="Arial" w:cs="Arial"/>
          <w:lang w:val="en"/>
        </w:rPr>
        <w:t>11</w:t>
      </w:r>
      <w:r w:rsidR="00963A2F">
        <w:rPr>
          <w:rFonts w:ascii="Arial" w:hAnsi="Arial" w:cs="Arial"/>
          <w:lang w:val="en"/>
        </w:rPr>
        <w:t>–</w:t>
      </w:r>
      <w:r w:rsidR="00594D89" w:rsidRPr="009973DC">
        <w:rPr>
          <w:rFonts w:ascii="Arial" w:hAnsi="Arial" w:cs="Arial"/>
          <w:lang w:val="en"/>
        </w:rPr>
        <w:t>16</w:t>
      </w:r>
      <w:r w:rsidR="005142EA">
        <w:rPr>
          <w:rFonts w:ascii="Arial" w:hAnsi="Arial" w:cs="Arial"/>
          <w:lang w:val="en"/>
        </w:rPr>
        <w:t xml:space="preserve"> per cent</w:t>
      </w:r>
      <w:r w:rsidR="00594D89" w:rsidRPr="009973DC">
        <w:rPr>
          <w:rFonts w:ascii="Arial" w:hAnsi="Arial" w:cs="Arial"/>
          <w:lang w:val="en"/>
        </w:rPr>
        <w:t xml:space="preserve">) could be avoided if those currently overweight or obese had </w:t>
      </w:r>
      <w:r w:rsidR="00963A2F">
        <w:rPr>
          <w:rFonts w:ascii="Arial" w:hAnsi="Arial" w:cs="Arial"/>
          <w:lang w:val="en"/>
        </w:rPr>
        <w:t xml:space="preserve">a </w:t>
      </w:r>
      <w:r w:rsidR="00594D89" w:rsidRPr="009973DC">
        <w:rPr>
          <w:rFonts w:ascii="Arial" w:hAnsi="Arial" w:cs="Arial"/>
          <w:lang w:val="en"/>
        </w:rPr>
        <w:t>BMI of 18.5–24.9 kg/m</w:t>
      </w:r>
      <w:r w:rsidR="00594D89" w:rsidRPr="009973DC">
        <w:rPr>
          <w:rFonts w:ascii="Arial" w:hAnsi="Arial" w:cs="Arial"/>
          <w:vertAlign w:val="superscript"/>
          <w:lang w:val="en"/>
        </w:rPr>
        <w:t>2</w:t>
      </w:r>
      <w:r w:rsidR="00594D89" w:rsidRPr="009973DC">
        <w:rPr>
          <w:rFonts w:ascii="Arial" w:hAnsi="Arial" w:cs="Arial"/>
          <w:lang w:val="en"/>
        </w:rPr>
        <w:t xml:space="preserve"> (normal range).</w:t>
      </w:r>
      <w:r w:rsidR="00594D89" w:rsidRPr="009973DC">
        <w:rPr>
          <w:rStyle w:val="FootnoteReference"/>
          <w:rFonts w:cs="Arial"/>
          <w:lang w:val="en"/>
        </w:rPr>
        <w:footnoteReference w:id="86"/>
      </w:r>
      <w:r w:rsidR="00594D89" w:rsidRPr="009973DC">
        <w:rPr>
          <w:rFonts w:ascii="Arial" w:hAnsi="Arial" w:cs="Arial"/>
          <w:lang w:val="en"/>
        </w:rPr>
        <w:t xml:space="preserve"> </w:t>
      </w:r>
    </w:p>
    <w:p w14:paraId="65EE734A" w14:textId="75073634" w:rsidR="0046144E" w:rsidRPr="0067181A" w:rsidRDefault="001D7DF7" w:rsidP="0067181A">
      <w:pPr>
        <w:autoSpaceDE w:val="0"/>
        <w:autoSpaceDN w:val="0"/>
        <w:adjustRightInd w:val="0"/>
        <w:spacing w:after="120" w:line="270" w:lineRule="atLeast"/>
        <w:rPr>
          <w:rFonts w:ascii="Arial" w:hAnsi="Arial" w:cs="Arial"/>
        </w:rPr>
      </w:pPr>
      <w:r w:rsidRPr="009973DC">
        <w:rPr>
          <w:rFonts w:ascii="Arial" w:hAnsi="Arial" w:cs="Arial"/>
        </w:rPr>
        <w:t>Figure 8.1</w:t>
      </w:r>
      <w:r w:rsidR="0015670E" w:rsidRPr="009973DC">
        <w:rPr>
          <w:rFonts w:ascii="Arial" w:hAnsi="Arial" w:cs="Arial"/>
        </w:rPr>
        <w:t xml:space="preserve"> show</w:t>
      </w:r>
      <w:r w:rsidR="00EF6E85" w:rsidRPr="009973DC">
        <w:rPr>
          <w:rFonts w:ascii="Arial" w:hAnsi="Arial" w:cs="Arial"/>
        </w:rPr>
        <w:t>s</w:t>
      </w:r>
      <w:r w:rsidR="0015670E" w:rsidRPr="009973DC">
        <w:rPr>
          <w:rFonts w:ascii="Arial" w:hAnsi="Arial" w:cs="Arial"/>
        </w:rPr>
        <w:t xml:space="preserve"> that</w:t>
      </w:r>
      <w:r w:rsidR="008448C0" w:rsidRPr="009973DC">
        <w:rPr>
          <w:rFonts w:ascii="Arial" w:hAnsi="Arial" w:cs="Arial"/>
        </w:rPr>
        <w:t xml:space="preserve"> </w:t>
      </w:r>
      <w:r w:rsidR="009A0008" w:rsidRPr="009973DC">
        <w:rPr>
          <w:rFonts w:ascii="Arial" w:hAnsi="Arial" w:cs="Arial"/>
        </w:rPr>
        <w:t>the growing prevalence of overweight and obesity is a major public health concern globally.</w:t>
      </w:r>
      <w:r w:rsidR="009A0008" w:rsidRPr="009973DC">
        <w:rPr>
          <w:rStyle w:val="FootnoteReference"/>
          <w:b/>
        </w:rPr>
        <w:footnoteReference w:id="87"/>
      </w:r>
      <w:r w:rsidR="00952FC7">
        <w:rPr>
          <w:rFonts w:ascii="Arial" w:hAnsi="Arial" w:cs="Arial"/>
        </w:rPr>
        <w:t xml:space="preserve"> </w:t>
      </w:r>
      <w:r w:rsidR="008410AE" w:rsidRPr="009973DC">
        <w:rPr>
          <w:rFonts w:ascii="Arial" w:hAnsi="Arial" w:cs="Arial"/>
        </w:rPr>
        <w:t xml:space="preserve">The results show that more than half of adults aged 15 years </w:t>
      </w:r>
      <w:r w:rsidR="001B50BF">
        <w:rPr>
          <w:rFonts w:ascii="Arial" w:hAnsi="Arial" w:cs="Arial"/>
        </w:rPr>
        <w:t>or older</w:t>
      </w:r>
      <w:r w:rsidR="008410AE" w:rsidRPr="009973DC">
        <w:rPr>
          <w:rFonts w:ascii="Arial" w:hAnsi="Arial" w:cs="Arial"/>
        </w:rPr>
        <w:t xml:space="preserve"> in OECD countries are overweight or obese (54 per cent).</w:t>
      </w:r>
      <w:r w:rsidR="00952FC7">
        <w:rPr>
          <w:rFonts w:ascii="Arial" w:hAnsi="Arial" w:cs="Arial"/>
        </w:rPr>
        <w:t xml:space="preserve"> </w:t>
      </w:r>
      <w:r w:rsidR="009B1046">
        <w:rPr>
          <w:rFonts w:ascii="Arial" w:hAnsi="Arial" w:cs="Arial"/>
        </w:rPr>
        <w:t>I</w:t>
      </w:r>
      <w:r w:rsidR="008448C0" w:rsidRPr="009973DC">
        <w:rPr>
          <w:rFonts w:ascii="Arial" w:hAnsi="Arial" w:cs="Arial"/>
        </w:rPr>
        <w:t xml:space="preserve">n 2015 </w:t>
      </w:r>
      <w:r w:rsidR="00E434BC" w:rsidRPr="009973DC">
        <w:rPr>
          <w:rFonts w:ascii="Arial" w:hAnsi="Arial" w:cs="Arial"/>
        </w:rPr>
        <w:t>most,</w:t>
      </w:r>
      <w:r w:rsidR="008448C0" w:rsidRPr="009973DC">
        <w:rPr>
          <w:rFonts w:ascii="Arial" w:hAnsi="Arial" w:cs="Arial"/>
        </w:rPr>
        <w:t xml:space="preserve"> Australian adults (63.4 per cent</w:t>
      </w:r>
      <w:r w:rsidR="00DA0E18" w:rsidRPr="009973DC">
        <w:rPr>
          <w:rFonts w:ascii="Arial" w:hAnsi="Arial" w:cs="Arial"/>
        </w:rPr>
        <w:t xml:space="preserve"> </w:t>
      </w:r>
      <w:r w:rsidR="008B6BFD">
        <w:rPr>
          <w:rFonts w:ascii="Arial" w:hAnsi="Arial" w:cs="Arial"/>
        </w:rPr>
        <w:t>–</w:t>
      </w:r>
      <w:r w:rsidR="00DA0E18" w:rsidRPr="009973DC">
        <w:rPr>
          <w:rFonts w:ascii="Arial" w:hAnsi="Arial" w:cs="Arial"/>
        </w:rPr>
        <w:t xml:space="preserve"> 28</w:t>
      </w:r>
      <w:r w:rsidR="008B6BFD">
        <w:rPr>
          <w:rFonts w:ascii="Arial" w:hAnsi="Arial" w:cs="Arial"/>
        </w:rPr>
        <w:t xml:space="preserve"> per cent</w:t>
      </w:r>
      <w:r w:rsidR="00DA0E18" w:rsidRPr="009973DC">
        <w:rPr>
          <w:rFonts w:ascii="Arial" w:hAnsi="Arial" w:cs="Arial"/>
        </w:rPr>
        <w:t xml:space="preserve"> of the population aged 15 </w:t>
      </w:r>
      <w:r w:rsidR="001B50BF">
        <w:rPr>
          <w:rFonts w:ascii="Arial" w:hAnsi="Arial" w:cs="Arial"/>
        </w:rPr>
        <w:t>or older</w:t>
      </w:r>
      <w:r w:rsidR="008448C0" w:rsidRPr="009973DC">
        <w:rPr>
          <w:rFonts w:ascii="Arial" w:hAnsi="Arial" w:cs="Arial"/>
        </w:rPr>
        <w:t>) were overweight or obese</w:t>
      </w:r>
      <w:r w:rsidR="00F167D4" w:rsidRPr="009973DC">
        <w:rPr>
          <w:rFonts w:ascii="Arial" w:hAnsi="Arial" w:cs="Arial"/>
        </w:rPr>
        <w:t>,</w:t>
      </w:r>
      <w:r w:rsidR="008448C0" w:rsidRPr="009973DC">
        <w:rPr>
          <w:rFonts w:ascii="Arial" w:hAnsi="Arial" w:cs="Arial"/>
        </w:rPr>
        <w:t xml:space="preserve"> the fifth highest proportion in the OECD behind Mexico, the United States, New Zealand and Finland</w:t>
      </w:r>
      <w:r w:rsidR="00A10297">
        <w:rPr>
          <w:rFonts w:ascii="Arial" w:hAnsi="Arial" w:cs="Arial"/>
        </w:rPr>
        <w:t xml:space="preserve"> (Figure 8.1)</w:t>
      </w:r>
      <w:r w:rsidR="005D5918" w:rsidRPr="009973DC">
        <w:rPr>
          <w:rFonts w:ascii="Arial" w:hAnsi="Arial" w:cs="Arial"/>
        </w:rPr>
        <w:t>.</w:t>
      </w:r>
      <w:r w:rsidR="00952FC7">
        <w:rPr>
          <w:rFonts w:ascii="Arial" w:hAnsi="Arial" w:cs="Arial"/>
        </w:rPr>
        <w:t xml:space="preserve"> </w:t>
      </w:r>
      <w:r w:rsidR="00596F5A">
        <w:rPr>
          <w:rFonts w:ascii="Arial" w:hAnsi="Arial" w:cs="Arial"/>
        </w:rPr>
        <w:t>Take caution w</w:t>
      </w:r>
      <w:r w:rsidR="00DA0E18" w:rsidRPr="009973DC">
        <w:rPr>
          <w:rFonts w:ascii="Arial" w:hAnsi="Arial" w:cs="Arial"/>
        </w:rPr>
        <w:t xml:space="preserve">hen comparing international with national trends </w:t>
      </w:r>
      <w:r w:rsidR="00596F5A">
        <w:rPr>
          <w:rFonts w:ascii="Arial" w:hAnsi="Arial" w:cs="Arial"/>
        </w:rPr>
        <w:t>because</w:t>
      </w:r>
      <w:r w:rsidR="00596F5A" w:rsidRPr="009973DC">
        <w:rPr>
          <w:rFonts w:ascii="Arial" w:hAnsi="Arial" w:cs="Arial"/>
        </w:rPr>
        <w:t xml:space="preserve"> </w:t>
      </w:r>
      <w:r w:rsidR="00DA0E18" w:rsidRPr="009973DC">
        <w:rPr>
          <w:rFonts w:ascii="Arial" w:hAnsi="Arial" w:cs="Arial"/>
        </w:rPr>
        <w:t xml:space="preserve">Australian national data defines adults as aged 18 years </w:t>
      </w:r>
      <w:r w:rsidR="001B50BF">
        <w:rPr>
          <w:rFonts w:ascii="Arial" w:hAnsi="Arial" w:cs="Arial"/>
        </w:rPr>
        <w:t>or older</w:t>
      </w:r>
      <w:r w:rsidR="00596F5A">
        <w:rPr>
          <w:rFonts w:ascii="Arial" w:hAnsi="Arial" w:cs="Arial"/>
        </w:rPr>
        <w:t xml:space="preserve">, affecting the </w:t>
      </w:r>
      <w:r w:rsidR="00596F5A" w:rsidRPr="009973DC">
        <w:rPr>
          <w:rFonts w:ascii="Arial" w:hAnsi="Arial" w:cs="Arial"/>
        </w:rPr>
        <w:t>comparability of data</w:t>
      </w:r>
      <w:r w:rsidR="00DA0E18" w:rsidRPr="009973DC">
        <w:rPr>
          <w:rFonts w:ascii="Arial" w:hAnsi="Arial" w:cs="Arial"/>
        </w:rPr>
        <w:t>.</w:t>
      </w:r>
    </w:p>
    <w:p w14:paraId="61AAC508" w14:textId="77777777" w:rsidR="009B17F6" w:rsidRDefault="0046144E" w:rsidP="001A2A05">
      <w:pPr>
        <w:autoSpaceDE w:val="0"/>
        <w:autoSpaceDN w:val="0"/>
        <w:adjustRightInd w:val="0"/>
        <w:spacing w:after="120" w:line="270" w:lineRule="atLeast"/>
        <w:rPr>
          <w:rFonts w:ascii="Arial" w:hAnsi="Arial" w:cs="Arial"/>
          <w:lang w:val="en"/>
        </w:rPr>
      </w:pPr>
      <w:r w:rsidRPr="009973DC">
        <w:rPr>
          <w:rFonts w:ascii="Arial" w:hAnsi="Arial" w:cs="Arial"/>
        </w:rPr>
        <w:t xml:space="preserve">In Australia, the proportion of men and women aged 18 years </w:t>
      </w:r>
      <w:r w:rsidR="001B50BF">
        <w:rPr>
          <w:rFonts w:ascii="Arial" w:hAnsi="Arial" w:cs="Arial"/>
        </w:rPr>
        <w:t>or older</w:t>
      </w:r>
      <w:r w:rsidRPr="009973DC">
        <w:rPr>
          <w:rFonts w:ascii="Arial" w:hAnsi="Arial" w:cs="Arial"/>
        </w:rPr>
        <w:t xml:space="preserve"> </w:t>
      </w:r>
      <w:r w:rsidR="00596F5A">
        <w:rPr>
          <w:rFonts w:ascii="Arial" w:hAnsi="Arial" w:cs="Arial"/>
        </w:rPr>
        <w:t>who</w:t>
      </w:r>
      <w:r w:rsidR="00596F5A" w:rsidRPr="009973DC">
        <w:rPr>
          <w:rFonts w:ascii="Arial" w:hAnsi="Arial" w:cs="Arial"/>
        </w:rPr>
        <w:t xml:space="preserve"> </w:t>
      </w:r>
      <w:r w:rsidR="00945A00">
        <w:rPr>
          <w:rFonts w:ascii="Arial" w:hAnsi="Arial" w:cs="Arial"/>
        </w:rPr>
        <w:t>are</w:t>
      </w:r>
      <w:r w:rsidRPr="009973DC">
        <w:rPr>
          <w:rFonts w:ascii="Arial" w:hAnsi="Arial" w:cs="Arial"/>
        </w:rPr>
        <w:t xml:space="preserve"> overweight or obese has</w:t>
      </w:r>
      <w:r w:rsidR="00A526F2" w:rsidRPr="009973DC">
        <w:rPr>
          <w:rFonts w:ascii="Arial" w:hAnsi="Arial" w:cs="Arial"/>
        </w:rPr>
        <w:t xml:space="preserve"> generally remained static between 2011 and 2015 across all states </w:t>
      </w:r>
      <w:r w:rsidR="00C44BDC" w:rsidRPr="009973DC">
        <w:rPr>
          <w:rFonts w:ascii="Arial" w:hAnsi="Arial" w:cs="Arial"/>
        </w:rPr>
        <w:t xml:space="preserve">except </w:t>
      </w:r>
      <w:r w:rsidR="00A526F2" w:rsidRPr="009973DC">
        <w:rPr>
          <w:rFonts w:ascii="Arial" w:hAnsi="Arial" w:cs="Arial"/>
        </w:rPr>
        <w:t>Western Australia</w:t>
      </w:r>
      <w:r w:rsidR="00596F5A">
        <w:rPr>
          <w:rFonts w:ascii="Arial" w:hAnsi="Arial" w:cs="Arial"/>
        </w:rPr>
        <w:t>,</w:t>
      </w:r>
      <w:r w:rsidR="00A526F2" w:rsidRPr="009973DC">
        <w:rPr>
          <w:rFonts w:ascii="Arial" w:hAnsi="Arial" w:cs="Arial"/>
        </w:rPr>
        <w:t xml:space="preserve"> which dropped by 4.7 per cent (Figure 8.</w:t>
      </w:r>
      <w:r w:rsidR="00D605E6" w:rsidRPr="009973DC">
        <w:rPr>
          <w:rFonts w:ascii="Arial" w:hAnsi="Arial" w:cs="Arial"/>
        </w:rPr>
        <w:t>1.1</w:t>
      </w:r>
      <w:r w:rsidR="00A526F2" w:rsidRPr="009973DC">
        <w:rPr>
          <w:rFonts w:ascii="Arial" w:hAnsi="Arial" w:cs="Arial"/>
        </w:rPr>
        <w:t>)</w:t>
      </w:r>
      <w:r w:rsidR="007C291C">
        <w:rPr>
          <w:rFonts w:ascii="Arial" w:hAnsi="Arial" w:cs="Arial"/>
        </w:rPr>
        <w:t xml:space="preserve"> possibly in response to the </w:t>
      </w:r>
      <w:r w:rsidR="00596F5A">
        <w:rPr>
          <w:rFonts w:ascii="Arial" w:hAnsi="Arial" w:cs="Arial"/>
        </w:rPr>
        <w:t>s</w:t>
      </w:r>
      <w:r w:rsidR="007C291C">
        <w:rPr>
          <w:rFonts w:ascii="Arial" w:hAnsi="Arial" w:cs="Arial"/>
        </w:rPr>
        <w:t xml:space="preserve">tate’s </w:t>
      </w:r>
      <w:r w:rsidR="007C291C" w:rsidRPr="00F23C71">
        <w:rPr>
          <w:rFonts w:ascii="Arial" w:hAnsi="Arial" w:cs="Arial"/>
          <w:i/>
        </w:rPr>
        <w:t>LiveLighter campaign</w:t>
      </w:r>
      <w:r w:rsidR="007C291C">
        <w:rPr>
          <w:rStyle w:val="FootnoteReference"/>
          <w:rFonts w:cs="Arial"/>
        </w:rPr>
        <w:footnoteReference w:id="88"/>
      </w:r>
      <w:r w:rsidR="007C291C">
        <w:rPr>
          <w:rFonts w:ascii="Arial" w:hAnsi="Arial" w:cs="Arial"/>
        </w:rPr>
        <w:t xml:space="preserve"> (2011</w:t>
      </w:r>
      <w:r w:rsidR="00CA2AD7">
        <w:rPr>
          <w:rFonts w:ascii="Arial" w:hAnsi="Arial" w:cs="Arial"/>
        </w:rPr>
        <w:t>–</w:t>
      </w:r>
      <w:r w:rsidR="007C291C">
        <w:rPr>
          <w:rFonts w:ascii="Arial" w:hAnsi="Arial" w:cs="Arial"/>
        </w:rPr>
        <w:t>2018)</w:t>
      </w:r>
      <w:r w:rsidR="00A526F2" w:rsidRPr="009973DC">
        <w:rPr>
          <w:rFonts w:ascii="Arial" w:hAnsi="Arial" w:cs="Arial"/>
        </w:rPr>
        <w:t xml:space="preserve">. </w:t>
      </w:r>
      <w:r w:rsidR="00D605E6" w:rsidRPr="009973DC">
        <w:rPr>
          <w:rFonts w:ascii="Arial" w:hAnsi="Arial" w:cs="Arial"/>
        </w:rPr>
        <w:t>In Victoria</w:t>
      </w:r>
      <w:r w:rsidR="00596F5A">
        <w:rPr>
          <w:rFonts w:ascii="Arial" w:hAnsi="Arial" w:cs="Arial"/>
        </w:rPr>
        <w:t>,</w:t>
      </w:r>
      <w:r w:rsidR="00D605E6" w:rsidRPr="009973DC">
        <w:rPr>
          <w:rFonts w:ascii="Arial" w:hAnsi="Arial" w:cs="Arial"/>
        </w:rPr>
        <w:t xml:space="preserve"> Figure 8.1.2 shows that the proportions of overweight or obese adults between 2011</w:t>
      </w:r>
      <w:r w:rsidR="00690CD3">
        <w:rPr>
          <w:rFonts w:ascii="Arial" w:hAnsi="Arial" w:cs="Arial"/>
        </w:rPr>
        <w:t>–1</w:t>
      </w:r>
      <w:r w:rsidR="00D605E6" w:rsidRPr="009973DC">
        <w:rPr>
          <w:rFonts w:ascii="Arial" w:hAnsi="Arial" w:cs="Arial"/>
        </w:rPr>
        <w:t>2 and 2014</w:t>
      </w:r>
      <w:r w:rsidR="00CA2AD7">
        <w:rPr>
          <w:rFonts w:ascii="Arial" w:hAnsi="Arial" w:cs="Arial"/>
        </w:rPr>
        <w:t>–</w:t>
      </w:r>
      <w:r w:rsidR="00D605E6" w:rsidRPr="009973DC">
        <w:rPr>
          <w:rFonts w:ascii="Arial" w:hAnsi="Arial" w:cs="Arial"/>
        </w:rPr>
        <w:t>15 were similar.</w:t>
      </w:r>
      <w:r w:rsidR="00952FC7">
        <w:rPr>
          <w:rFonts w:ascii="Arial" w:hAnsi="Arial" w:cs="Arial"/>
        </w:rPr>
        <w:t xml:space="preserve"> </w:t>
      </w:r>
      <w:r w:rsidR="00870818" w:rsidRPr="009973DC">
        <w:rPr>
          <w:rFonts w:ascii="Arial" w:hAnsi="Arial" w:cs="Arial"/>
          <w:lang w:val="en"/>
        </w:rPr>
        <w:t xml:space="preserve">The </w:t>
      </w:r>
      <w:r w:rsidR="00870818" w:rsidRPr="009973DC">
        <w:rPr>
          <w:rFonts w:ascii="Arial" w:hAnsi="Arial" w:cs="Arial"/>
          <w:i/>
          <w:lang w:val="en"/>
        </w:rPr>
        <w:t xml:space="preserve">Victorian </w:t>
      </w:r>
      <w:r w:rsidR="00CA2AD7">
        <w:rPr>
          <w:rFonts w:ascii="Arial" w:hAnsi="Arial" w:cs="Arial"/>
          <w:i/>
          <w:lang w:val="en"/>
        </w:rPr>
        <w:t>p</w:t>
      </w:r>
      <w:r w:rsidR="00870818" w:rsidRPr="009973DC">
        <w:rPr>
          <w:rFonts w:ascii="Arial" w:hAnsi="Arial" w:cs="Arial"/>
          <w:i/>
          <w:lang w:val="en"/>
        </w:rPr>
        <w:t xml:space="preserve">ublic </w:t>
      </w:r>
      <w:r w:rsidR="00CA2AD7">
        <w:rPr>
          <w:rFonts w:ascii="Arial" w:hAnsi="Arial" w:cs="Arial"/>
          <w:i/>
          <w:lang w:val="en"/>
        </w:rPr>
        <w:t>h</w:t>
      </w:r>
      <w:r w:rsidR="00870818" w:rsidRPr="009973DC">
        <w:rPr>
          <w:rFonts w:ascii="Arial" w:hAnsi="Arial" w:cs="Arial"/>
          <w:i/>
          <w:lang w:val="en"/>
        </w:rPr>
        <w:t xml:space="preserve">ealth and </w:t>
      </w:r>
      <w:r w:rsidR="00CA2AD7">
        <w:rPr>
          <w:rFonts w:ascii="Arial" w:hAnsi="Arial" w:cs="Arial"/>
          <w:i/>
          <w:lang w:val="en"/>
        </w:rPr>
        <w:t>w</w:t>
      </w:r>
      <w:r w:rsidR="00870818" w:rsidRPr="009973DC">
        <w:rPr>
          <w:rFonts w:ascii="Arial" w:hAnsi="Arial" w:cs="Arial"/>
          <w:i/>
          <w:lang w:val="en"/>
        </w:rPr>
        <w:t xml:space="preserve">ellbeing </w:t>
      </w:r>
      <w:r w:rsidR="00CA2AD7">
        <w:rPr>
          <w:rFonts w:ascii="Arial" w:hAnsi="Arial" w:cs="Arial"/>
          <w:i/>
          <w:lang w:val="en"/>
        </w:rPr>
        <w:t>o</w:t>
      </w:r>
      <w:r w:rsidR="00870818" w:rsidRPr="009973DC">
        <w:rPr>
          <w:rFonts w:ascii="Arial" w:hAnsi="Arial" w:cs="Arial"/>
          <w:i/>
          <w:lang w:val="en"/>
        </w:rPr>
        <w:t xml:space="preserve">utcomes </w:t>
      </w:r>
      <w:r w:rsidR="00CA2AD7">
        <w:rPr>
          <w:rFonts w:ascii="Arial" w:hAnsi="Arial" w:cs="Arial"/>
          <w:i/>
          <w:lang w:val="en"/>
        </w:rPr>
        <w:t>f</w:t>
      </w:r>
      <w:r w:rsidR="00870818" w:rsidRPr="009973DC">
        <w:rPr>
          <w:rFonts w:ascii="Arial" w:hAnsi="Arial" w:cs="Arial"/>
          <w:i/>
          <w:lang w:val="en"/>
        </w:rPr>
        <w:t>ramework</w:t>
      </w:r>
      <w:r w:rsidR="00870818" w:rsidRPr="009973DC">
        <w:rPr>
          <w:rFonts w:ascii="Arial" w:hAnsi="Arial" w:cs="Arial"/>
          <w:lang w:val="en"/>
        </w:rPr>
        <w:t xml:space="preserve"> has a target of a </w:t>
      </w:r>
      <w:r w:rsidR="00596F5A">
        <w:rPr>
          <w:rFonts w:ascii="Arial" w:hAnsi="Arial" w:cs="Arial"/>
          <w:lang w:val="en"/>
        </w:rPr>
        <w:t>five</w:t>
      </w:r>
      <w:r w:rsidR="00870818" w:rsidRPr="009973DC">
        <w:rPr>
          <w:rFonts w:ascii="Arial" w:hAnsi="Arial" w:cs="Arial"/>
          <w:lang w:val="en"/>
        </w:rPr>
        <w:t xml:space="preserve"> per cent decrease in prevalence of overweight or obese adults</w:t>
      </w:r>
      <w:r w:rsidR="002420AB" w:rsidRPr="009973DC">
        <w:rPr>
          <w:rFonts w:ascii="Arial" w:hAnsi="Arial" w:cs="Arial"/>
          <w:lang w:val="en"/>
        </w:rPr>
        <w:t xml:space="preserve"> aged 18 years or older</w:t>
      </w:r>
      <w:r w:rsidR="00870818" w:rsidRPr="009973DC">
        <w:rPr>
          <w:rFonts w:ascii="Arial" w:hAnsi="Arial" w:cs="Arial"/>
          <w:lang w:val="en"/>
        </w:rPr>
        <w:t xml:space="preserve"> by 2025, from the 2011</w:t>
      </w:r>
      <w:r w:rsidR="00CA2AD7">
        <w:rPr>
          <w:rFonts w:ascii="Arial" w:hAnsi="Arial" w:cs="Arial"/>
          <w:lang w:val="en"/>
        </w:rPr>
        <w:t>–</w:t>
      </w:r>
      <w:r w:rsidR="00870818" w:rsidRPr="009973DC">
        <w:rPr>
          <w:rFonts w:ascii="Arial" w:hAnsi="Arial" w:cs="Arial"/>
          <w:lang w:val="en"/>
        </w:rPr>
        <w:t xml:space="preserve">12 baseline of </w:t>
      </w:r>
      <w:r w:rsidR="00870818" w:rsidRPr="005B389F">
        <w:rPr>
          <w:rFonts w:ascii="Arial" w:hAnsi="Arial" w:cs="Arial"/>
          <w:lang w:val="en"/>
        </w:rPr>
        <w:t>61 per cent.</w:t>
      </w:r>
      <w:r w:rsidR="00952FC7">
        <w:rPr>
          <w:rFonts w:ascii="Arial" w:hAnsi="Arial" w:cs="Arial"/>
          <w:lang w:val="en"/>
        </w:rPr>
        <w:t xml:space="preserve"> </w:t>
      </w:r>
      <w:r w:rsidR="00870818" w:rsidRPr="005B389F">
        <w:rPr>
          <w:rFonts w:ascii="Arial" w:hAnsi="Arial" w:cs="Arial"/>
          <w:lang w:val="en"/>
        </w:rPr>
        <w:t xml:space="preserve">Currently, </w:t>
      </w:r>
      <w:r w:rsidR="00BD7A5C">
        <w:rPr>
          <w:rFonts w:ascii="Arial" w:hAnsi="Arial" w:cs="Arial"/>
          <w:lang w:val="en"/>
        </w:rPr>
        <w:t xml:space="preserve">Victoria is </w:t>
      </w:r>
      <w:r w:rsidR="00870818" w:rsidRPr="005B389F">
        <w:rPr>
          <w:rFonts w:ascii="Arial" w:hAnsi="Arial" w:cs="Arial"/>
          <w:b/>
          <w:lang w:val="en"/>
        </w:rPr>
        <w:t>not on track</w:t>
      </w:r>
      <w:r w:rsidR="00870818" w:rsidRPr="005B389F">
        <w:rPr>
          <w:rFonts w:ascii="Arial" w:hAnsi="Arial" w:cs="Arial"/>
          <w:lang w:val="en"/>
        </w:rPr>
        <w:t xml:space="preserve"> to meet the 2025 target of 58 per cent, with 63.3 per cent of adults overweight or obese in 2014</w:t>
      </w:r>
      <w:r w:rsidR="00CA2AD7">
        <w:rPr>
          <w:rFonts w:ascii="Arial" w:hAnsi="Arial" w:cs="Arial"/>
          <w:lang w:val="en"/>
        </w:rPr>
        <w:t>–</w:t>
      </w:r>
      <w:r w:rsidR="00870818" w:rsidRPr="005B389F">
        <w:rPr>
          <w:rFonts w:ascii="Arial" w:hAnsi="Arial" w:cs="Arial"/>
          <w:lang w:val="en"/>
        </w:rPr>
        <w:t>15</w:t>
      </w:r>
      <w:r w:rsidR="00A526F2">
        <w:rPr>
          <w:rFonts w:ascii="Arial" w:hAnsi="Arial" w:cs="Arial"/>
          <w:lang w:val="en"/>
        </w:rPr>
        <w:t xml:space="preserve"> (Figure 8.</w:t>
      </w:r>
      <w:r w:rsidR="007C0438">
        <w:rPr>
          <w:rFonts w:ascii="Arial" w:hAnsi="Arial" w:cs="Arial"/>
          <w:lang w:val="en"/>
        </w:rPr>
        <w:t>1.2</w:t>
      </w:r>
      <w:r w:rsidR="00A526F2">
        <w:rPr>
          <w:rFonts w:ascii="Arial" w:hAnsi="Arial" w:cs="Arial"/>
          <w:lang w:val="en"/>
        </w:rPr>
        <w:t>).</w:t>
      </w:r>
    </w:p>
    <w:p w14:paraId="45FB52BE" w14:textId="77777777" w:rsidR="009B17F6" w:rsidRDefault="009B17F6">
      <w:pPr>
        <w:rPr>
          <w:rStyle w:val="Heading3Char"/>
        </w:rPr>
      </w:pPr>
      <w:r>
        <w:rPr>
          <w:rStyle w:val="Heading3Char"/>
        </w:rPr>
        <w:br w:type="page"/>
      </w:r>
    </w:p>
    <w:p w14:paraId="32846D04" w14:textId="6F55B485" w:rsidR="0028681D" w:rsidRPr="009B17F6" w:rsidRDefault="0028681D" w:rsidP="009B17F6">
      <w:pPr>
        <w:pStyle w:val="Heading3"/>
        <w:rPr>
          <w:rStyle w:val="Heading3Char"/>
          <w:b/>
          <w:bCs/>
        </w:rPr>
      </w:pPr>
      <w:bookmarkStart w:id="515" w:name="_Measure_8.2_–"/>
      <w:bookmarkEnd w:id="515"/>
      <w:r w:rsidRPr="009B17F6">
        <w:rPr>
          <w:rStyle w:val="Heading3Char"/>
          <w:b/>
          <w:bCs/>
        </w:rPr>
        <w:lastRenderedPageBreak/>
        <w:t xml:space="preserve">Measure 8.2 – </w:t>
      </w:r>
      <w:r w:rsidR="005940FC" w:rsidRPr="009B17F6">
        <w:rPr>
          <w:rStyle w:val="Heading3Char"/>
          <w:b/>
          <w:bCs/>
        </w:rPr>
        <w:t>Proportion of adults who are overweight or obese (self-report)</w:t>
      </w:r>
    </w:p>
    <w:p w14:paraId="1D56F6DD" w14:textId="633E1D4C" w:rsidR="007D4442" w:rsidRDefault="007D4442" w:rsidP="00542C63">
      <w:pPr>
        <w:pStyle w:val="DHHSfigurecaption"/>
      </w:pPr>
      <w:bookmarkStart w:id="516" w:name="_Toc19008088"/>
      <w:bookmarkStart w:id="517" w:name="_Toc19008320"/>
      <w:bookmarkStart w:id="518" w:name="_Toc19008467"/>
      <w:bookmarkStart w:id="519" w:name="_Toc19008614"/>
      <w:bookmarkStart w:id="520" w:name="_Toc27414322"/>
      <w:r w:rsidRPr="00FC7273">
        <w:t>Figure 8.2</w:t>
      </w:r>
      <w:r w:rsidR="00CA2AD7">
        <w:t>:</w:t>
      </w:r>
      <w:r w:rsidRPr="00FC7273">
        <w:t xml:space="preserve"> Proportion of </w:t>
      </w:r>
      <w:r w:rsidR="00D83EB5">
        <w:t xml:space="preserve">Victorian </w:t>
      </w:r>
      <w:r w:rsidRPr="00FC7273">
        <w:t xml:space="preserve">adults </w:t>
      </w:r>
      <w:r w:rsidR="002B1898">
        <w:t xml:space="preserve">(aged 18 years or older) </w:t>
      </w:r>
      <w:r w:rsidRPr="00FC7273">
        <w:t xml:space="preserve">who are overweight or </w:t>
      </w:r>
      <w:r w:rsidR="00FC7273" w:rsidRPr="00FC7273">
        <w:t>o</w:t>
      </w:r>
      <w:r w:rsidRPr="00FC7273">
        <w:t>bese (self-report)</w:t>
      </w:r>
      <w:r w:rsidR="004917EF">
        <w:t>,</w:t>
      </w:r>
      <w:r w:rsidR="000858D8">
        <w:t xml:space="preserve"> by year, 201</w:t>
      </w:r>
      <w:r w:rsidR="002A5C96">
        <w:t>5</w:t>
      </w:r>
      <w:r w:rsidR="00CA2AD7">
        <w:t>–</w:t>
      </w:r>
      <w:r w:rsidR="000858D8">
        <w:t>201</w:t>
      </w:r>
      <w:bookmarkEnd w:id="516"/>
      <w:bookmarkEnd w:id="517"/>
      <w:bookmarkEnd w:id="518"/>
      <w:bookmarkEnd w:id="519"/>
      <w:r w:rsidR="004263E1">
        <w:t>7</w:t>
      </w:r>
      <w:bookmarkEnd w:id="520"/>
    </w:p>
    <w:p w14:paraId="2C494FE8" w14:textId="5A083938" w:rsidR="00B35ED2" w:rsidRPr="00F36DDA" w:rsidRDefault="006E11F0" w:rsidP="00475558">
      <w:pPr>
        <w:pStyle w:val="DHHSbody"/>
        <w:rPr>
          <w:b/>
          <w:lang w:eastAsia="en-AU"/>
        </w:rPr>
      </w:pPr>
      <w:r>
        <w:rPr>
          <w:b/>
          <w:noProof/>
          <w:lang w:eastAsia="en-AU"/>
        </w:rPr>
        <w:drawing>
          <wp:inline distT="0" distB="0" distL="0" distR="0" wp14:anchorId="5903FA96" wp14:editId="5AEA1700">
            <wp:extent cx="6712585" cy="4322445"/>
            <wp:effectExtent l="0" t="0" r="0" b="1905"/>
            <wp:docPr id="364" name="Picture 364" descr="This figure presents data under the 'Measure 8.2 - Proportion of adults who are overweight or obese (self-report)'.  The data for this figure for 2015 to 2017 is available in this section - refer to Table 8.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712585" cy="4322445"/>
                    </a:xfrm>
                    <a:prstGeom prst="rect">
                      <a:avLst/>
                    </a:prstGeom>
                    <a:noFill/>
                  </pic:spPr>
                </pic:pic>
              </a:graphicData>
            </a:graphic>
          </wp:inline>
        </w:drawing>
      </w:r>
    </w:p>
    <w:p w14:paraId="6D7C14E2" w14:textId="2659D305" w:rsidR="002E73A7" w:rsidRPr="002E73A7" w:rsidRDefault="002E73A7" w:rsidP="008C38C6">
      <w:pPr>
        <w:pStyle w:val="DHHStablecaption"/>
      </w:pPr>
      <w:bookmarkStart w:id="521" w:name="_Toc18908738"/>
      <w:bookmarkStart w:id="522" w:name="_Toc27414418"/>
      <w:r w:rsidRPr="002E73A7">
        <w:t>Table 8.2</w:t>
      </w:r>
      <w:r w:rsidR="00690CD3">
        <w:t>:</w:t>
      </w:r>
      <w:r>
        <w:t xml:space="preserve"> </w:t>
      </w:r>
      <w:r w:rsidRPr="00FC7273">
        <w:t xml:space="preserve">Proportion of </w:t>
      </w:r>
      <w:r>
        <w:t xml:space="preserve">Victorian </w:t>
      </w:r>
      <w:r w:rsidRPr="00FC7273">
        <w:t>adults</w:t>
      </w:r>
      <w:r w:rsidR="002B1898">
        <w:t xml:space="preserve"> (aged 18 years or older)</w:t>
      </w:r>
      <w:r w:rsidRPr="00FC7273">
        <w:t xml:space="preserve"> who are overweight or obese (self-report)</w:t>
      </w:r>
      <w:r w:rsidR="004917EF">
        <w:t>,</w:t>
      </w:r>
      <w:r>
        <w:t xml:space="preserve"> by year, 201</w:t>
      </w:r>
      <w:r w:rsidR="002A5C96">
        <w:t>5</w:t>
      </w:r>
      <w:r w:rsidR="00690CD3">
        <w:t>–</w:t>
      </w:r>
      <w:r>
        <w:t>201</w:t>
      </w:r>
      <w:bookmarkEnd w:id="521"/>
      <w:r w:rsidR="009521B1">
        <w:t>7</w:t>
      </w:r>
      <w:bookmarkEnd w:id="522"/>
    </w:p>
    <w:tbl>
      <w:tblPr>
        <w:tblW w:w="10396" w:type="dxa"/>
        <w:tblInd w:w="-5" w:type="dxa"/>
        <w:tblBorders>
          <w:bottom w:val="single" w:sz="4" w:space="0" w:color="C00000"/>
          <w:insideH w:val="single" w:sz="4" w:space="0" w:color="C00000"/>
        </w:tblBorders>
        <w:shd w:val="clear" w:color="auto" w:fill="EDCDCF"/>
        <w:tblLook w:val="04A0" w:firstRow="1" w:lastRow="0" w:firstColumn="1" w:lastColumn="0" w:noHBand="0" w:noVBand="1"/>
      </w:tblPr>
      <w:tblGrid>
        <w:gridCol w:w="2579"/>
        <w:gridCol w:w="2743"/>
        <w:gridCol w:w="2537"/>
        <w:gridCol w:w="2537"/>
      </w:tblGrid>
      <w:tr w:rsidR="0055499D" w14:paraId="021CD760" w14:textId="1D92436B" w:rsidTr="0055499D">
        <w:trPr>
          <w:trHeight w:val="344"/>
        </w:trPr>
        <w:tc>
          <w:tcPr>
            <w:tcW w:w="2579" w:type="dxa"/>
            <w:tcBorders>
              <w:bottom w:val="single" w:sz="4" w:space="0" w:color="C00000"/>
            </w:tcBorders>
            <w:shd w:val="clear" w:color="auto" w:fill="EDCDCF"/>
          </w:tcPr>
          <w:p w14:paraId="138B4609" w14:textId="77777777" w:rsidR="0055499D" w:rsidRPr="00DB4F90" w:rsidRDefault="0055499D" w:rsidP="00F30280">
            <w:pPr>
              <w:pStyle w:val="DHHStablecolhead"/>
            </w:pPr>
            <w:r w:rsidRPr="00DB4F90">
              <w:t>Year</w:t>
            </w:r>
          </w:p>
        </w:tc>
        <w:tc>
          <w:tcPr>
            <w:tcW w:w="2743" w:type="dxa"/>
            <w:tcBorders>
              <w:bottom w:val="single" w:sz="4" w:space="0" w:color="C00000"/>
            </w:tcBorders>
            <w:shd w:val="clear" w:color="auto" w:fill="EDCDCF"/>
          </w:tcPr>
          <w:p w14:paraId="6BDC24A0" w14:textId="77777777" w:rsidR="0055499D" w:rsidRPr="00DB4F90" w:rsidRDefault="0055499D" w:rsidP="00F30280">
            <w:pPr>
              <w:pStyle w:val="DHHStablecolhead"/>
            </w:pPr>
            <w:r w:rsidRPr="00DB4F90">
              <w:t>2015</w:t>
            </w:r>
          </w:p>
        </w:tc>
        <w:tc>
          <w:tcPr>
            <w:tcW w:w="2537" w:type="dxa"/>
            <w:tcBorders>
              <w:bottom w:val="single" w:sz="4" w:space="0" w:color="C00000"/>
            </w:tcBorders>
            <w:shd w:val="clear" w:color="auto" w:fill="EDCDCF"/>
          </w:tcPr>
          <w:p w14:paraId="7775ED48" w14:textId="77777777" w:rsidR="0055499D" w:rsidRPr="00DB4F90" w:rsidRDefault="0055499D" w:rsidP="00F30280">
            <w:pPr>
              <w:pStyle w:val="DHHStablecolhead"/>
            </w:pPr>
            <w:r w:rsidRPr="00DB4F90">
              <w:t>2016</w:t>
            </w:r>
          </w:p>
        </w:tc>
        <w:tc>
          <w:tcPr>
            <w:tcW w:w="2537" w:type="dxa"/>
            <w:tcBorders>
              <w:bottom w:val="single" w:sz="4" w:space="0" w:color="C00000"/>
            </w:tcBorders>
            <w:shd w:val="clear" w:color="auto" w:fill="EDCDCF"/>
          </w:tcPr>
          <w:p w14:paraId="0F311021" w14:textId="4D916E17" w:rsidR="0055499D" w:rsidRPr="00DB4F90" w:rsidRDefault="0055499D" w:rsidP="00F30280">
            <w:pPr>
              <w:pStyle w:val="DHHStablecolhead"/>
            </w:pPr>
            <w:r>
              <w:t>2017</w:t>
            </w:r>
          </w:p>
        </w:tc>
      </w:tr>
      <w:tr w:rsidR="0055499D" w14:paraId="34AC8AB4" w14:textId="68447490" w:rsidTr="0055499D">
        <w:trPr>
          <w:trHeight w:val="339"/>
        </w:trPr>
        <w:tc>
          <w:tcPr>
            <w:tcW w:w="2579" w:type="dxa"/>
            <w:tcBorders>
              <w:top w:val="single" w:sz="4" w:space="0" w:color="C00000"/>
            </w:tcBorders>
            <w:shd w:val="clear" w:color="auto" w:fill="auto"/>
          </w:tcPr>
          <w:p w14:paraId="277F26DD" w14:textId="77777777" w:rsidR="0055499D" w:rsidRPr="00104043" w:rsidRDefault="0055499D" w:rsidP="00F30280">
            <w:pPr>
              <w:pStyle w:val="DHHStabletext"/>
              <w:rPr>
                <w:b/>
              </w:rPr>
            </w:pPr>
            <w:r>
              <w:t>Per cent</w:t>
            </w:r>
          </w:p>
        </w:tc>
        <w:tc>
          <w:tcPr>
            <w:tcW w:w="2743" w:type="dxa"/>
            <w:tcBorders>
              <w:top w:val="single" w:sz="4" w:space="0" w:color="C00000"/>
            </w:tcBorders>
            <w:shd w:val="clear" w:color="auto" w:fill="auto"/>
          </w:tcPr>
          <w:p w14:paraId="181E54AD" w14:textId="77777777" w:rsidR="0055499D" w:rsidRPr="008070AF" w:rsidRDefault="0055499D" w:rsidP="00F30280">
            <w:pPr>
              <w:pStyle w:val="DHHStabletext"/>
            </w:pPr>
            <w:r>
              <w:t>50.8</w:t>
            </w:r>
          </w:p>
        </w:tc>
        <w:tc>
          <w:tcPr>
            <w:tcW w:w="2537" w:type="dxa"/>
            <w:tcBorders>
              <w:top w:val="single" w:sz="4" w:space="0" w:color="C00000"/>
            </w:tcBorders>
            <w:shd w:val="clear" w:color="auto" w:fill="auto"/>
          </w:tcPr>
          <w:p w14:paraId="5EA32AC4" w14:textId="77777777" w:rsidR="0055499D" w:rsidRPr="008070AF" w:rsidRDefault="0055499D" w:rsidP="00F30280">
            <w:pPr>
              <w:pStyle w:val="DHHStabletext"/>
            </w:pPr>
            <w:r w:rsidRPr="00464B1D">
              <w:t>49.7</w:t>
            </w:r>
          </w:p>
        </w:tc>
        <w:tc>
          <w:tcPr>
            <w:tcW w:w="2537" w:type="dxa"/>
            <w:tcBorders>
              <w:top w:val="single" w:sz="4" w:space="0" w:color="C00000"/>
            </w:tcBorders>
          </w:tcPr>
          <w:p w14:paraId="2538A975" w14:textId="338B439E" w:rsidR="0055499D" w:rsidRPr="00464B1D" w:rsidRDefault="0055499D" w:rsidP="00F30280">
            <w:pPr>
              <w:pStyle w:val="DHHStabletext"/>
            </w:pPr>
            <w:r>
              <w:t>50.8</w:t>
            </w:r>
          </w:p>
        </w:tc>
      </w:tr>
      <w:tr w:rsidR="0055499D" w14:paraId="16000A17" w14:textId="09C9ABA0" w:rsidTr="0055499D">
        <w:trPr>
          <w:trHeight w:val="368"/>
        </w:trPr>
        <w:tc>
          <w:tcPr>
            <w:tcW w:w="2579" w:type="dxa"/>
            <w:tcBorders>
              <w:top w:val="single" w:sz="4" w:space="0" w:color="C00000"/>
            </w:tcBorders>
            <w:shd w:val="clear" w:color="auto" w:fill="auto"/>
          </w:tcPr>
          <w:p w14:paraId="5A51EBA3" w14:textId="3A432003" w:rsidR="0055499D" w:rsidRDefault="0055499D" w:rsidP="00F30280">
            <w:pPr>
              <w:pStyle w:val="DHHStabletext"/>
            </w:pPr>
            <w:r>
              <w:t>(95% CI)</w:t>
            </w:r>
          </w:p>
        </w:tc>
        <w:tc>
          <w:tcPr>
            <w:tcW w:w="2743" w:type="dxa"/>
            <w:tcBorders>
              <w:top w:val="single" w:sz="4" w:space="0" w:color="C00000"/>
            </w:tcBorders>
            <w:shd w:val="clear" w:color="auto" w:fill="auto"/>
          </w:tcPr>
          <w:p w14:paraId="214BDC9A" w14:textId="542337F4" w:rsidR="0055499D" w:rsidRDefault="0055499D" w:rsidP="00F30280">
            <w:pPr>
              <w:pStyle w:val="DHHStabletext"/>
            </w:pPr>
            <w:r>
              <w:t>(47.7–49.2)</w:t>
            </w:r>
          </w:p>
        </w:tc>
        <w:tc>
          <w:tcPr>
            <w:tcW w:w="2537" w:type="dxa"/>
            <w:tcBorders>
              <w:top w:val="single" w:sz="4" w:space="0" w:color="C00000"/>
            </w:tcBorders>
            <w:shd w:val="clear" w:color="auto" w:fill="auto"/>
          </w:tcPr>
          <w:p w14:paraId="765AD73C" w14:textId="66266F12" w:rsidR="0055499D" w:rsidRDefault="0055499D" w:rsidP="00F30280">
            <w:pPr>
              <w:pStyle w:val="DHHStabletext"/>
            </w:pPr>
            <w:r>
              <w:t>(48.2–51.2)</w:t>
            </w:r>
          </w:p>
        </w:tc>
        <w:tc>
          <w:tcPr>
            <w:tcW w:w="2537" w:type="dxa"/>
            <w:tcBorders>
              <w:top w:val="single" w:sz="4" w:space="0" w:color="C00000"/>
            </w:tcBorders>
          </w:tcPr>
          <w:p w14:paraId="18C9BC7E" w14:textId="2124666C" w:rsidR="0055499D" w:rsidRDefault="0055499D" w:rsidP="00F30280">
            <w:pPr>
              <w:pStyle w:val="DHHStabletext"/>
            </w:pPr>
            <w:r>
              <w:t>(49.9–51.7)</w:t>
            </w:r>
          </w:p>
        </w:tc>
      </w:tr>
    </w:tbl>
    <w:p w14:paraId="1A8FE069" w14:textId="53CFE523" w:rsidR="009C1061" w:rsidRPr="00DD60BB" w:rsidRDefault="00527E45" w:rsidP="00E434BC">
      <w:pPr>
        <w:pStyle w:val="DHHStablefigurenote"/>
      </w:pPr>
      <w:r w:rsidRPr="00DD60BB">
        <w:t>Source: Victorian Population Health Survey</w:t>
      </w:r>
      <w:r w:rsidR="00AC1118" w:rsidRPr="00DD60BB">
        <w:t>s</w:t>
      </w:r>
      <w:r w:rsidRPr="00DD60BB">
        <w:t xml:space="preserve"> 201</w:t>
      </w:r>
      <w:r w:rsidR="0055499D">
        <w:t>5</w:t>
      </w:r>
      <w:r w:rsidR="00690CD3">
        <w:t>–</w:t>
      </w:r>
      <w:r w:rsidRPr="00DD60BB">
        <w:t>201</w:t>
      </w:r>
      <w:r w:rsidR="00A61936">
        <w:t>7</w:t>
      </w:r>
    </w:p>
    <w:p w14:paraId="1CA0DDA2" w14:textId="77777777" w:rsidR="00475558" w:rsidRPr="00203EDE" w:rsidRDefault="00475558" w:rsidP="005609AD">
      <w:pPr>
        <w:pStyle w:val="Heading4"/>
        <w:spacing w:before="0" w:line="270" w:lineRule="atLeast"/>
      </w:pPr>
      <w:r w:rsidRPr="00475558">
        <w:t>Measure assessment</w:t>
      </w:r>
    </w:p>
    <w:p w14:paraId="544399C0" w14:textId="460598EC" w:rsidR="00EA3932" w:rsidRPr="005609AD" w:rsidRDefault="00475558" w:rsidP="005609AD">
      <w:pPr>
        <w:autoSpaceDE w:val="0"/>
        <w:autoSpaceDN w:val="0"/>
        <w:adjustRightInd w:val="0"/>
        <w:spacing w:after="120" w:line="270" w:lineRule="atLeast"/>
        <w:rPr>
          <w:rFonts w:ascii="Arial" w:hAnsi="Arial" w:cs="Arial"/>
          <w:color w:val="C5511A"/>
        </w:rPr>
      </w:pPr>
      <w:r w:rsidRPr="00EA3932">
        <w:rPr>
          <w:rFonts w:ascii="Arial" w:hAnsi="Arial" w:cs="Arial"/>
        </w:rPr>
        <w:t>Traffic light rating:</w:t>
      </w:r>
      <w:r w:rsidR="00952FC7" w:rsidRPr="00EA3932">
        <w:rPr>
          <w:rFonts w:ascii="Arial" w:hAnsi="Arial" w:cs="Arial"/>
        </w:rPr>
        <w:t xml:space="preserve"> </w:t>
      </w:r>
      <w:r w:rsidR="00B362F3" w:rsidRPr="00EA3932">
        <w:rPr>
          <w:rFonts w:ascii="Arial" w:hAnsi="Arial" w:cs="Arial"/>
          <w:b/>
          <w:color w:val="C5511A"/>
        </w:rPr>
        <w:t>Amber</w:t>
      </w:r>
      <w:r w:rsidR="00EA3932" w:rsidRPr="00EA3932">
        <w:rPr>
          <w:rFonts w:ascii="Arial" w:hAnsi="Arial" w:cs="Arial"/>
          <w:b/>
          <w:color w:val="C5511A"/>
        </w:rPr>
        <w:t xml:space="preserve"> </w:t>
      </w:r>
      <w:r w:rsidR="00EA3932" w:rsidRPr="00EA3932">
        <w:rPr>
          <w:rFonts w:ascii="Arial" w:hAnsi="Arial" w:cs="Arial"/>
          <w:color w:val="C5511A"/>
        </w:rPr>
        <w:t>(desired result not yet evident)</w:t>
      </w:r>
    </w:p>
    <w:p w14:paraId="19704D45" w14:textId="19B60E58" w:rsidR="00475558" w:rsidRDefault="00475558" w:rsidP="005609AD">
      <w:pPr>
        <w:pStyle w:val="DHHSbody"/>
        <w:rPr>
          <w:lang w:eastAsia="en-AU"/>
        </w:rPr>
      </w:pPr>
      <w:r>
        <w:rPr>
          <w:lang w:eastAsia="en-AU"/>
        </w:rPr>
        <w:t>Overall trend:</w:t>
      </w:r>
      <w:r w:rsidR="00952FC7">
        <w:rPr>
          <w:lang w:eastAsia="en-AU"/>
        </w:rPr>
        <w:t xml:space="preserve"> </w:t>
      </w:r>
      <w:r>
        <w:rPr>
          <w:lang w:eastAsia="en-AU"/>
        </w:rPr>
        <w:t>Static or unchanging</w:t>
      </w:r>
    </w:p>
    <w:p w14:paraId="329E8497" w14:textId="77777777" w:rsidR="009B17F6" w:rsidRDefault="00475558" w:rsidP="005609AD">
      <w:pPr>
        <w:pStyle w:val="DHHSbody"/>
        <w:rPr>
          <w:lang w:eastAsia="en-AU"/>
        </w:rPr>
      </w:pPr>
      <w:r>
        <w:rPr>
          <w:lang w:eastAsia="en-AU"/>
        </w:rPr>
        <w:t xml:space="preserve">Commentary: </w:t>
      </w:r>
      <w:r w:rsidR="00E25C6D">
        <w:rPr>
          <w:lang w:eastAsia="en-AU"/>
        </w:rPr>
        <w:t>A target has not been set for this measure; however,</w:t>
      </w:r>
      <w:r w:rsidR="00203EDE">
        <w:rPr>
          <w:lang w:eastAsia="en-AU"/>
        </w:rPr>
        <w:t xml:space="preserve"> </w:t>
      </w:r>
      <w:r w:rsidR="00E25C6D">
        <w:rPr>
          <w:lang w:eastAsia="en-AU"/>
        </w:rPr>
        <w:t>t</w:t>
      </w:r>
      <w:r w:rsidR="00203EDE">
        <w:rPr>
          <w:lang w:eastAsia="en-AU"/>
        </w:rPr>
        <w:t xml:space="preserve">he lack of reduction in the proportion of adults </w:t>
      </w:r>
      <w:r w:rsidR="00596F5A">
        <w:rPr>
          <w:lang w:eastAsia="en-AU"/>
        </w:rPr>
        <w:t xml:space="preserve">who </w:t>
      </w:r>
      <w:r w:rsidR="00203EDE">
        <w:rPr>
          <w:lang w:eastAsia="en-AU"/>
        </w:rPr>
        <w:t>self-report being overweight and obese is of major concern given the significant risks that this poses to individual health and the burden across the health and social care systems</w:t>
      </w:r>
      <w:r w:rsidR="002B025B">
        <w:rPr>
          <w:lang w:eastAsia="en-AU"/>
        </w:rPr>
        <w:t xml:space="preserve">. </w:t>
      </w:r>
      <w:r w:rsidR="002A5C96">
        <w:rPr>
          <w:lang w:eastAsia="en-AU"/>
        </w:rPr>
        <w:t>Figure and Table 8.2 show the proportion of Victorian adults who were overweight or obese was 50.8 per cent in 2015 which was identical in 2017</w:t>
      </w:r>
      <w:r w:rsidR="002B025B">
        <w:rPr>
          <w:lang w:eastAsia="en-AU"/>
        </w:rPr>
        <w:t xml:space="preserve">. To add further cause for </w:t>
      </w:r>
      <w:r w:rsidR="00B77C80">
        <w:rPr>
          <w:lang w:eastAsia="en-AU"/>
        </w:rPr>
        <w:t>concern</w:t>
      </w:r>
      <w:r w:rsidR="002B025B">
        <w:rPr>
          <w:lang w:eastAsia="en-AU"/>
        </w:rPr>
        <w:t>, it is known that self-reported measures significantly under</w:t>
      </w:r>
      <w:r w:rsidR="00B77C80">
        <w:rPr>
          <w:lang w:eastAsia="en-AU"/>
        </w:rPr>
        <w:t>estimate the prevalence of obesity</w:t>
      </w:r>
      <w:r w:rsidR="008D3D4D">
        <w:rPr>
          <w:rStyle w:val="FootnoteReference"/>
          <w:lang w:eastAsia="en-AU"/>
        </w:rPr>
        <w:footnoteReference w:id="89"/>
      </w:r>
      <w:r w:rsidR="00656FE9">
        <w:rPr>
          <w:lang w:eastAsia="en-AU"/>
        </w:rPr>
        <w:t xml:space="preserve"> (refer to the data reported under Measure 8.1).</w:t>
      </w:r>
    </w:p>
    <w:p w14:paraId="36041A82" w14:textId="492885B6" w:rsidR="0028681D" w:rsidRPr="009B17F6" w:rsidRDefault="0028681D" w:rsidP="009B17F6">
      <w:pPr>
        <w:pStyle w:val="Heading3"/>
        <w:rPr>
          <w:rStyle w:val="Heading3Char"/>
          <w:b/>
          <w:bCs/>
        </w:rPr>
      </w:pPr>
      <w:bookmarkStart w:id="523" w:name="_Measure_8.3_–"/>
      <w:bookmarkEnd w:id="523"/>
      <w:r w:rsidRPr="009B17F6">
        <w:rPr>
          <w:rStyle w:val="Heading3Char"/>
          <w:b/>
          <w:bCs/>
        </w:rPr>
        <w:lastRenderedPageBreak/>
        <w:t>Measure 8.3 –</w:t>
      </w:r>
      <w:r w:rsidR="005940FC" w:rsidRPr="009B17F6">
        <w:rPr>
          <w:rStyle w:val="Heading3Char"/>
          <w:b/>
          <w:bCs/>
        </w:rPr>
        <w:t xml:space="preserve"> Proportion of children 5</w:t>
      </w:r>
      <w:r w:rsidR="00CA2AD7" w:rsidRPr="009B17F6">
        <w:rPr>
          <w:rStyle w:val="Heading3Char"/>
          <w:b/>
          <w:bCs/>
        </w:rPr>
        <w:t>–</w:t>
      </w:r>
      <w:r w:rsidR="005940FC" w:rsidRPr="009B17F6">
        <w:rPr>
          <w:rStyle w:val="Heading3Char"/>
          <w:b/>
          <w:bCs/>
        </w:rPr>
        <w:t>17 years who are overweight or obese (measured)</w:t>
      </w:r>
    </w:p>
    <w:p w14:paraId="042A7A3E" w14:textId="385089E6" w:rsidR="00002B0A" w:rsidRDefault="000858D8" w:rsidP="00542C63">
      <w:pPr>
        <w:pStyle w:val="DHHSfigurecaption"/>
      </w:pPr>
      <w:bookmarkStart w:id="524" w:name="_Toc19008089"/>
      <w:bookmarkStart w:id="525" w:name="_Toc19008321"/>
      <w:bookmarkStart w:id="526" w:name="_Toc19008468"/>
      <w:bookmarkStart w:id="527" w:name="_Toc19008615"/>
      <w:bookmarkStart w:id="528" w:name="_Toc27414323"/>
      <w:r>
        <w:t>Figure 8.3</w:t>
      </w:r>
      <w:r w:rsidR="00CA2AD7">
        <w:t>:</w:t>
      </w:r>
      <w:r>
        <w:t xml:space="preserve"> Proportion of Australian children </w:t>
      </w:r>
      <w:r w:rsidR="004917EF">
        <w:t xml:space="preserve">aged </w:t>
      </w:r>
      <w:r>
        <w:t>5</w:t>
      </w:r>
      <w:r w:rsidR="00CA2AD7">
        <w:t>–</w:t>
      </w:r>
      <w:r>
        <w:t>17 years who are overweight or obese (measured)</w:t>
      </w:r>
      <w:r w:rsidR="004917EF">
        <w:t>,</w:t>
      </w:r>
      <w:r>
        <w:t xml:space="preserve"> by year, 1995</w:t>
      </w:r>
      <w:r w:rsidR="00D25B12">
        <w:t xml:space="preserve"> to </w:t>
      </w:r>
      <w:r>
        <w:t>2014</w:t>
      </w:r>
      <w:r w:rsidR="00CA2AD7">
        <w:t>–</w:t>
      </w:r>
      <w:r>
        <w:t>15</w:t>
      </w:r>
      <w:bookmarkEnd w:id="524"/>
      <w:bookmarkEnd w:id="525"/>
      <w:bookmarkEnd w:id="526"/>
      <w:bookmarkEnd w:id="527"/>
      <w:bookmarkEnd w:id="528"/>
    </w:p>
    <w:p w14:paraId="5F184B6D" w14:textId="6AEDC0BB" w:rsidR="00002B0A" w:rsidRDefault="00002B0A" w:rsidP="003A4D0A">
      <w:pPr>
        <w:pStyle w:val="DHHSbody"/>
        <w:ind w:hanging="426"/>
        <w:jc w:val="center"/>
        <w:rPr>
          <w:b/>
          <w:lang w:eastAsia="en-AU"/>
        </w:rPr>
      </w:pPr>
      <w:r w:rsidRPr="00002B0A">
        <w:rPr>
          <w:b/>
          <w:noProof/>
          <w:lang w:val="en-NZ" w:eastAsia="en-NZ"/>
        </w:rPr>
        <w:drawing>
          <wp:inline distT="0" distB="0" distL="0" distR="0" wp14:anchorId="200325F3" wp14:editId="4751D441">
            <wp:extent cx="6353175" cy="3683661"/>
            <wp:effectExtent l="0" t="0" r="0" b="0"/>
            <wp:docPr id="27" name="Picture 27" descr="This figure sits under the heading 'Measure 8.3 - Proportion of children 5–17 years who are overweight or obese (measured)'.  Its presents data on the proportion of Australian children aged 5–17 years who are overweight or obese (measured), by year, 1995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64599" cy="3690285"/>
                    </a:xfrm>
                    <a:prstGeom prst="rect">
                      <a:avLst/>
                    </a:prstGeom>
                    <a:noFill/>
                    <a:ln>
                      <a:noFill/>
                    </a:ln>
                  </pic:spPr>
                </pic:pic>
              </a:graphicData>
            </a:graphic>
          </wp:inline>
        </w:drawing>
      </w:r>
    </w:p>
    <w:p w14:paraId="3979E88D" w14:textId="4EC92DFA" w:rsidR="006133D8" w:rsidRPr="00660649" w:rsidRDefault="000858D8" w:rsidP="00660649">
      <w:pPr>
        <w:pStyle w:val="DHHStablefigurenote"/>
      </w:pPr>
      <w:r w:rsidRPr="00CB1053">
        <w:t>Source:</w:t>
      </w:r>
      <w:r w:rsidR="006133D8" w:rsidRPr="00CB1053">
        <w:t xml:space="preserve"> Australian Institute of Health and Welfare 2017. A picture of overweight and obesity in Australia 2017. Cat. no.PHE 216. AIHW</w:t>
      </w:r>
      <w:r w:rsidR="004A3E67">
        <w:t>, Canberra.</w:t>
      </w:r>
    </w:p>
    <w:p w14:paraId="306CA417" w14:textId="4513BB88" w:rsidR="00062B22" w:rsidRDefault="00FC7273" w:rsidP="00542C63">
      <w:pPr>
        <w:pStyle w:val="DHHSfigurecaption"/>
      </w:pPr>
      <w:bookmarkStart w:id="529" w:name="_Toc19008090"/>
      <w:bookmarkStart w:id="530" w:name="_Toc19008322"/>
      <w:bookmarkStart w:id="531" w:name="_Toc19008469"/>
      <w:bookmarkStart w:id="532" w:name="_Toc19008616"/>
      <w:bookmarkStart w:id="533" w:name="_Toc27414324"/>
      <w:r w:rsidRPr="00FC7273">
        <w:t>Figure 8.3</w:t>
      </w:r>
      <w:r w:rsidR="000858D8">
        <w:t>.1</w:t>
      </w:r>
      <w:r w:rsidR="00CA2AD7">
        <w:t>:</w:t>
      </w:r>
      <w:r w:rsidRPr="00FC7273">
        <w:t xml:space="preserve"> Proportion of </w:t>
      </w:r>
      <w:r w:rsidR="00002B0A">
        <w:t xml:space="preserve">Victorian </w:t>
      </w:r>
      <w:r w:rsidRPr="00FC7273">
        <w:t xml:space="preserve">children </w:t>
      </w:r>
      <w:r w:rsidR="00596F5A">
        <w:t xml:space="preserve">aged </w:t>
      </w:r>
      <w:r w:rsidRPr="00FC7273">
        <w:t>5</w:t>
      </w:r>
      <w:r w:rsidR="00CA2AD7">
        <w:t>–</w:t>
      </w:r>
      <w:r w:rsidRPr="00FC7273">
        <w:t>17 years who are overweight or obese (measured)</w:t>
      </w:r>
      <w:r w:rsidR="00596F5A">
        <w:t>,</w:t>
      </w:r>
      <w:r w:rsidR="000858D8">
        <w:t xml:space="preserve"> by year</w:t>
      </w:r>
      <w:r w:rsidR="00596F5A">
        <w:t>,</w:t>
      </w:r>
      <w:r w:rsidR="00942682">
        <w:t xml:space="preserve"> 2011</w:t>
      </w:r>
      <w:r w:rsidR="00CA2AD7">
        <w:t>–</w:t>
      </w:r>
      <w:r w:rsidR="00ED63C9">
        <w:t>12 and 2014</w:t>
      </w:r>
      <w:r w:rsidR="00CA2AD7">
        <w:t>–</w:t>
      </w:r>
      <w:r w:rsidR="00942682">
        <w:t>15</w:t>
      </w:r>
      <w:bookmarkEnd w:id="529"/>
      <w:bookmarkEnd w:id="530"/>
      <w:bookmarkEnd w:id="531"/>
      <w:bookmarkEnd w:id="532"/>
      <w:bookmarkEnd w:id="533"/>
    </w:p>
    <w:p w14:paraId="7A2AEC01" w14:textId="1A224C52" w:rsidR="00B20A97" w:rsidRPr="00FC7273" w:rsidRDefault="006E11F0" w:rsidP="00FC7273">
      <w:pPr>
        <w:pStyle w:val="DHHSbody"/>
        <w:rPr>
          <w:b/>
          <w:lang w:eastAsia="en-AU"/>
        </w:rPr>
      </w:pPr>
      <w:r>
        <w:rPr>
          <w:b/>
          <w:noProof/>
          <w:lang w:eastAsia="en-AU"/>
        </w:rPr>
        <w:drawing>
          <wp:inline distT="0" distB="0" distL="0" distR="0" wp14:anchorId="2C7A3765" wp14:editId="2BEE351E">
            <wp:extent cx="6718300" cy="3054350"/>
            <wp:effectExtent l="0" t="0" r="6350" b="0"/>
            <wp:docPr id="366" name="Picture 366" descr="This figure presents data under the 'Measure 8.3 - Proportion of children 5–17 years who are overweight or obese (measured)'.  Specifically this figure shows the proportion of Victorian children aged 5–17 years who are overweight or obese (measured), by year, 2011–12 and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718300" cy="3054350"/>
                    </a:xfrm>
                    <a:prstGeom prst="rect">
                      <a:avLst/>
                    </a:prstGeom>
                    <a:noFill/>
                  </pic:spPr>
                </pic:pic>
              </a:graphicData>
            </a:graphic>
          </wp:inline>
        </w:drawing>
      </w:r>
    </w:p>
    <w:p w14:paraId="4BEC7A92" w14:textId="07D906DA" w:rsidR="00D65E88" w:rsidRPr="00A35137" w:rsidRDefault="00A35137" w:rsidP="00E434BC">
      <w:pPr>
        <w:pStyle w:val="DHHStablefigurenote"/>
      </w:pPr>
      <w:r w:rsidRPr="00A35137">
        <w:t xml:space="preserve">Source: </w:t>
      </w:r>
      <w:r w:rsidR="00781191">
        <w:rPr>
          <w:lang w:val="en"/>
        </w:rPr>
        <w:t>ABS</w:t>
      </w:r>
      <w:r w:rsidRPr="00A35137">
        <w:rPr>
          <w:lang w:val="en"/>
        </w:rPr>
        <w:t xml:space="preserve"> Australian Health Surveys 2011</w:t>
      </w:r>
      <w:r w:rsidR="00690CD3">
        <w:rPr>
          <w:lang w:val="en"/>
        </w:rPr>
        <w:t>–1</w:t>
      </w:r>
      <w:r w:rsidRPr="00A35137">
        <w:rPr>
          <w:lang w:val="en"/>
        </w:rPr>
        <w:t xml:space="preserve">2 </w:t>
      </w:r>
      <w:r w:rsidRPr="00A35137">
        <w:t>(</w:t>
      </w:r>
      <w:r w:rsidRPr="00A35137">
        <w:rPr>
          <w:bCs/>
        </w:rPr>
        <w:t>4364.0.55.001)</w:t>
      </w:r>
      <w:r w:rsidRPr="00A35137">
        <w:rPr>
          <w:lang w:val="en"/>
        </w:rPr>
        <w:t xml:space="preserve"> and 2014</w:t>
      </w:r>
      <w:r w:rsidR="00781191">
        <w:rPr>
          <w:lang w:val="en"/>
        </w:rPr>
        <w:t>–</w:t>
      </w:r>
      <w:r w:rsidRPr="00A35137">
        <w:rPr>
          <w:lang w:val="en"/>
        </w:rPr>
        <w:t>15 (4364.0)</w:t>
      </w:r>
      <w:r w:rsidRPr="00A35137">
        <w:rPr>
          <w:szCs w:val="18"/>
        </w:rPr>
        <w:t xml:space="preserve"> </w:t>
      </w:r>
    </w:p>
    <w:p w14:paraId="7BE90986" w14:textId="77777777" w:rsidR="001C7617" w:rsidRDefault="001C7617" w:rsidP="00D52C6C">
      <w:pPr>
        <w:pStyle w:val="DHHSbody"/>
        <w:rPr>
          <w:b/>
          <w:lang w:eastAsia="en-AU"/>
        </w:rPr>
      </w:pPr>
    </w:p>
    <w:p w14:paraId="4A271725" w14:textId="77FB00C6" w:rsidR="00D52C6C" w:rsidRPr="00D52C6C" w:rsidRDefault="00D52C6C" w:rsidP="005609AD">
      <w:pPr>
        <w:pStyle w:val="Heading4"/>
        <w:spacing w:before="0" w:line="270" w:lineRule="atLeast"/>
      </w:pPr>
      <w:r w:rsidRPr="00D52C6C">
        <w:lastRenderedPageBreak/>
        <w:t>Measure assessment</w:t>
      </w:r>
    </w:p>
    <w:p w14:paraId="3E7633E8" w14:textId="204225C0" w:rsidR="0097280A" w:rsidRPr="005609AD" w:rsidRDefault="00D52C6C" w:rsidP="005609AD">
      <w:pPr>
        <w:autoSpaceDE w:val="0"/>
        <w:autoSpaceDN w:val="0"/>
        <w:adjustRightInd w:val="0"/>
        <w:spacing w:after="120" w:line="270" w:lineRule="atLeast"/>
        <w:rPr>
          <w:rFonts w:ascii="Arial" w:hAnsi="Arial" w:cs="Arial"/>
          <w:color w:val="C00000"/>
        </w:rPr>
      </w:pPr>
      <w:r w:rsidRPr="0097280A">
        <w:rPr>
          <w:rFonts w:ascii="Arial" w:hAnsi="Arial" w:cs="Arial"/>
        </w:rPr>
        <w:t>Traffic light rating:</w:t>
      </w:r>
      <w:r w:rsidR="00952FC7" w:rsidRPr="0097280A">
        <w:rPr>
          <w:rFonts w:ascii="Arial" w:hAnsi="Arial" w:cs="Arial"/>
        </w:rPr>
        <w:t xml:space="preserve"> </w:t>
      </w:r>
      <w:r w:rsidRPr="005609AD">
        <w:rPr>
          <w:rFonts w:ascii="Arial" w:hAnsi="Arial" w:cs="Arial"/>
          <w:b/>
          <w:color w:val="C00000"/>
        </w:rPr>
        <w:t>Red</w:t>
      </w:r>
      <w:r w:rsidR="0097280A" w:rsidRPr="005609AD">
        <w:rPr>
          <w:rFonts w:ascii="Arial" w:hAnsi="Arial" w:cs="Arial"/>
          <w:b/>
          <w:color w:val="C00000"/>
        </w:rPr>
        <w:t xml:space="preserve"> </w:t>
      </w:r>
      <w:r w:rsidR="0097280A" w:rsidRPr="005609AD">
        <w:rPr>
          <w:rFonts w:ascii="Arial" w:hAnsi="Arial" w:cs="Arial"/>
          <w:color w:val="C00000"/>
        </w:rPr>
        <w:t>(result is of concern)</w:t>
      </w:r>
    </w:p>
    <w:p w14:paraId="678D718E" w14:textId="2DE828E9" w:rsidR="00D52C6C" w:rsidRDefault="00D52C6C" w:rsidP="005609AD">
      <w:pPr>
        <w:pStyle w:val="DHHSbody"/>
        <w:rPr>
          <w:lang w:eastAsia="en-AU"/>
        </w:rPr>
      </w:pPr>
      <w:r>
        <w:rPr>
          <w:lang w:eastAsia="en-AU"/>
        </w:rPr>
        <w:t>Overall trend:</w:t>
      </w:r>
      <w:r w:rsidR="00952FC7">
        <w:rPr>
          <w:lang w:eastAsia="en-AU"/>
        </w:rPr>
        <w:t xml:space="preserve"> </w:t>
      </w:r>
      <w:r>
        <w:rPr>
          <w:lang w:eastAsia="en-AU"/>
        </w:rPr>
        <w:t>Moving in the wrong direction</w:t>
      </w:r>
    </w:p>
    <w:p w14:paraId="21013555" w14:textId="01ECA6CD" w:rsidR="005940FC" w:rsidRPr="006053E7" w:rsidRDefault="00D52C6C" w:rsidP="005609AD">
      <w:pPr>
        <w:pStyle w:val="DHHSbody"/>
      </w:pPr>
      <w:r>
        <w:t xml:space="preserve">Commentary: The </w:t>
      </w:r>
      <w:r w:rsidR="002B1931">
        <w:t>rate</w:t>
      </w:r>
      <w:r>
        <w:t xml:space="preserve"> of overweight and obesity in children is of significant concern now and for the future, given the lifelong implications</w:t>
      </w:r>
      <w:r w:rsidR="002B1931">
        <w:t xml:space="preserve"> including increased risk of obesity-related cancers. </w:t>
      </w:r>
      <w:r w:rsidR="000858D8">
        <w:t>At a national leve</w:t>
      </w:r>
      <w:r w:rsidR="00297031">
        <w:t>l</w:t>
      </w:r>
      <w:r w:rsidR="00AD6EEF">
        <w:t>,</w:t>
      </w:r>
      <w:r w:rsidR="000858D8">
        <w:t xml:space="preserve"> information dating back to 1995</w:t>
      </w:r>
      <w:r w:rsidR="00297031">
        <w:t xml:space="preserve"> (Figure 8.3) shows the prevalence of overweight and obesity has risen from 21</w:t>
      </w:r>
      <w:r w:rsidR="00B86AE5">
        <w:t xml:space="preserve"> per cent</w:t>
      </w:r>
      <w:r w:rsidR="00297031">
        <w:t xml:space="preserve"> in 1995 to 27</w:t>
      </w:r>
      <w:r w:rsidR="00B86AE5">
        <w:t xml:space="preserve"> per cent</w:t>
      </w:r>
      <w:r w:rsidR="00297031">
        <w:t xml:space="preserve"> in 2014</w:t>
      </w:r>
      <w:r w:rsidR="00CA2AD7">
        <w:t>–</w:t>
      </w:r>
      <w:r w:rsidR="00297031">
        <w:t>15.</w:t>
      </w:r>
      <w:r w:rsidR="00297031">
        <w:rPr>
          <w:rStyle w:val="FootnoteReference"/>
          <w:lang w:eastAsia="en-AU"/>
        </w:rPr>
        <w:footnoteReference w:id="90"/>
      </w:r>
      <w:r w:rsidR="00297031">
        <w:t xml:space="preserve"> </w:t>
      </w:r>
      <w:r w:rsidR="003A4C42">
        <w:t>Figure 8.3</w:t>
      </w:r>
      <w:r w:rsidR="000858D8">
        <w:t>.1</w:t>
      </w:r>
      <w:r w:rsidR="002B1931">
        <w:t xml:space="preserve"> shows that the childhood rates</w:t>
      </w:r>
      <w:r w:rsidR="00172AF2">
        <w:t xml:space="preserve"> of overweight </w:t>
      </w:r>
      <w:r w:rsidR="00E909F6">
        <w:t>and obesity</w:t>
      </w:r>
      <w:r w:rsidR="00172AF2">
        <w:t xml:space="preserve"> in Victoria jumped from 23.1</w:t>
      </w:r>
      <w:r w:rsidR="00B86AE5">
        <w:t xml:space="preserve"> per cent</w:t>
      </w:r>
      <w:r w:rsidR="00172AF2">
        <w:t xml:space="preserve"> in 2012 to</w:t>
      </w:r>
      <w:r w:rsidR="001032F2">
        <w:t xml:space="preserve"> </w:t>
      </w:r>
      <w:r w:rsidR="00172AF2">
        <w:t>30.9</w:t>
      </w:r>
      <w:r w:rsidR="00B86AE5">
        <w:t xml:space="preserve"> per cent</w:t>
      </w:r>
      <w:r w:rsidR="00172AF2">
        <w:t xml:space="preserve"> in 2015, </w:t>
      </w:r>
      <w:r w:rsidR="00083EAB">
        <w:t xml:space="preserve">which is well above the </w:t>
      </w:r>
      <w:r w:rsidR="00C35810">
        <w:t xml:space="preserve">current 2018 </w:t>
      </w:r>
      <w:r w:rsidR="00083EAB">
        <w:t>national average of 24.9</w:t>
      </w:r>
      <w:r w:rsidR="00B86AE5">
        <w:t xml:space="preserve"> per cent</w:t>
      </w:r>
      <w:r w:rsidR="00083EAB">
        <w:t xml:space="preserve"> published by the </w:t>
      </w:r>
      <w:r w:rsidR="00781191">
        <w:t>ABS</w:t>
      </w:r>
      <w:r w:rsidR="00FE1D8D">
        <w:t>.</w:t>
      </w:r>
      <w:r w:rsidR="00083EAB">
        <w:rPr>
          <w:rStyle w:val="FootnoteReference"/>
          <w:lang w:val="en"/>
        </w:rPr>
        <w:footnoteReference w:id="91"/>
      </w:r>
      <w:r w:rsidR="00C35810">
        <w:t xml:space="preserve"> </w:t>
      </w:r>
      <w:r w:rsidR="00227E82">
        <w:t xml:space="preserve">There is a target in the </w:t>
      </w:r>
      <w:r w:rsidR="00227E82" w:rsidRPr="00227E82">
        <w:rPr>
          <w:i/>
        </w:rPr>
        <w:t xml:space="preserve">Victorian </w:t>
      </w:r>
      <w:r w:rsidR="00CA2AD7">
        <w:rPr>
          <w:i/>
        </w:rPr>
        <w:t>p</w:t>
      </w:r>
      <w:r w:rsidR="00227E82" w:rsidRPr="00227E82">
        <w:rPr>
          <w:i/>
        </w:rPr>
        <w:t xml:space="preserve">ublic </w:t>
      </w:r>
      <w:r w:rsidR="00CA2AD7">
        <w:rPr>
          <w:i/>
        </w:rPr>
        <w:t>h</w:t>
      </w:r>
      <w:r w:rsidR="00227E82" w:rsidRPr="00227E82">
        <w:rPr>
          <w:i/>
        </w:rPr>
        <w:t xml:space="preserve">ealth and </w:t>
      </w:r>
      <w:r w:rsidR="00CA2AD7">
        <w:rPr>
          <w:i/>
        </w:rPr>
        <w:t>w</w:t>
      </w:r>
      <w:r w:rsidR="00227E82" w:rsidRPr="00227E82">
        <w:rPr>
          <w:i/>
        </w:rPr>
        <w:t xml:space="preserve">ellbeing </w:t>
      </w:r>
      <w:r w:rsidR="00CA2AD7">
        <w:rPr>
          <w:i/>
        </w:rPr>
        <w:t>o</w:t>
      </w:r>
      <w:r w:rsidR="00227E82" w:rsidRPr="00227E82">
        <w:rPr>
          <w:i/>
        </w:rPr>
        <w:t xml:space="preserve">utcomes </w:t>
      </w:r>
      <w:r w:rsidR="00CA2AD7">
        <w:rPr>
          <w:i/>
        </w:rPr>
        <w:t>f</w:t>
      </w:r>
      <w:r w:rsidR="00227E82" w:rsidRPr="00227E82">
        <w:rPr>
          <w:i/>
        </w:rPr>
        <w:t>ramework</w:t>
      </w:r>
      <w:r w:rsidR="00227E82">
        <w:t xml:space="preserve"> to reduce the prevalence of overweight and obesity in children and adults by </w:t>
      </w:r>
      <w:r w:rsidR="00AD6EEF">
        <w:t>five</w:t>
      </w:r>
      <w:r w:rsidR="00227E82">
        <w:t xml:space="preserve"> per cent from the 2011</w:t>
      </w:r>
      <w:r w:rsidR="00690CD3">
        <w:t>–1</w:t>
      </w:r>
      <w:r w:rsidR="00227E82">
        <w:t>2 baseline year by 2025</w:t>
      </w:r>
      <w:r w:rsidR="008A7EA3">
        <w:t>.</w:t>
      </w:r>
      <w:r w:rsidR="00952FC7">
        <w:t xml:space="preserve"> </w:t>
      </w:r>
      <w:r w:rsidR="00D83EB5">
        <w:t>Currently</w:t>
      </w:r>
      <w:r w:rsidR="00303EE5">
        <w:t>,</w:t>
      </w:r>
      <w:r w:rsidR="00D83EB5">
        <w:t xml:space="preserve"> Victoria is </w:t>
      </w:r>
      <w:r w:rsidR="00D83EB5" w:rsidRPr="003C145C">
        <w:rPr>
          <w:rFonts w:cs="Arial"/>
          <w:b/>
        </w:rPr>
        <w:t>not on track</w:t>
      </w:r>
      <w:r w:rsidR="00D83EB5" w:rsidRPr="003C145C">
        <w:rPr>
          <w:rFonts w:cs="Arial"/>
        </w:rPr>
        <w:t xml:space="preserve"> to meet the 2025 target of </w:t>
      </w:r>
      <w:r w:rsidR="00E25C6D">
        <w:rPr>
          <w:rFonts w:cs="Arial"/>
        </w:rPr>
        <w:t>21.9</w:t>
      </w:r>
      <w:r w:rsidR="00B86AE5">
        <w:rPr>
          <w:rFonts w:cs="Arial"/>
        </w:rPr>
        <w:t xml:space="preserve"> per cent</w:t>
      </w:r>
      <w:r w:rsidR="00D83EB5">
        <w:rPr>
          <w:rFonts w:cs="Arial"/>
        </w:rPr>
        <w:t>.</w:t>
      </w:r>
      <w:r w:rsidR="009330EB">
        <w:rPr>
          <w:rFonts w:cs="Arial"/>
        </w:rPr>
        <w:t xml:space="preserve"> </w:t>
      </w:r>
      <w:r w:rsidR="00681240">
        <w:br w:type="page"/>
      </w:r>
      <w:r w:rsidR="0028681D" w:rsidRPr="00542C63">
        <w:rPr>
          <w:rStyle w:val="Heading2Char"/>
        </w:rPr>
        <w:lastRenderedPageBreak/>
        <w:t>Key result: Decrease UV exposure</w:t>
      </w:r>
    </w:p>
    <w:p w14:paraId="69C6CBE8" w14:textId="48499F62" w:rsidR="00F636D4" w:rsidRPr="00C55846" w:rsidRDefault="00F636D4" w:rsidP="003D589F">
      <w:pPr>
        <w:pStyle w:val="Heading3"/>
      </w:pPr>
      <w:bookmarkStart w:id="534" w:name="_Measure_9.1_–"/>
      <w:bookmarkEnd w:id="534"/>
      <w:r w:rsidRPr="00C55846">
        <w:t xml:space="preserve">Measure 9.1 – Proportion of </w:t>
      </w:r>
      <w:r w:rsidR="0063097D" w:rsidRPr="00C55846">
        <w:t>18</w:t>
      </w:r>
      <w:r w:rsidR="00CA2AD7">
        <w:t>–</w:t>
      </w:r>
      <w:r w:rsidR="0063097D" w:rsidRPr="00C55846">
        <w:t>69</w:t>
      </w:r>
      <w:r w:rsidR="00D24CD5">
        <w:t>-year-olds</w:t>
      </w:r>
      <w:r w:rsidRPr="00C55846">
        <w:t xml:space="preserve"> who report getting sunburnt on the weekend</w:t>
      </w:r>
    </w:p>
    <w:p w14:paraId="0A8963CB" w14:textId="3D601B3A" w:rsidR="00F636D4" w:rsidRDefault="00542C63" w:rsidP="00542C63">
      <w:pPr>
        <w:pStyle w:val="DHHSfigurecaption"/>
      </w:pPr>
      <w:bookmarkStart w:id="535" w:name="_Toc19008091"/>
      <w:bookmarkStart w:id="536" w:name="_Toc19008323"/>
      <w:bookmarkStart w:id="537" w:name="_Toc19008470"/>
      <w:bookmarkStart w:id="538" w:name="_Toc19008617"/>
      <w:bookmarkStart w:id="539" w:name="_Toc27414325"/>
      <w:r>
        <w:t>Figure</w:t>
      </w:r>
      <w:r w:rsidR="00F636D4" w:rsidRPr="00830344">
        <w:t xml:space="preserve"> 9.1</w:t>
      </w:r>
      <w:r w:rsidR="00CA2AD7">
        <w:t>:</w:t>
      </w:r>
      <w:r w:rsidR="00F636D4" w:rsidRPr="00830344">
        <w:t xml:space="preserve"> </w:t>
      </w:r>
      <w:r w:rsidR="00FB30B4">
        <w:t>A</w:t>
      </w:r>
      <w:r w:rsidR="00F636D4" w:rsidRPr="00830344">
        <w:t xml:space="preserve">djusted prevalence estimates for </w:t>
      </w:r>
      <w:r w:rsidR="00850ADF">
        <w:t xml:space="preserve">weekend </w:t>
      </w:r>
      <w:r w:rsidR="00F636D4" w:rsidRPr="00830344">
        <w:t>sunburn incidence among Victorian adults (18</w:t>
      </w:r>
      <w:r w:rsidR="00CA2AD7">
        <w:t>–</w:t>
      </w:r>
      <w:r w:rsidR="00F636D4" w:rsidRPr="00830344">
        <w:t>69 years) in summers</w:t>
      </w:r>
      <w:r w:rsidR="00AD6EEF">
        <w:t>,</w:t>
      </w:r>
      <w:r w:rsidR="00F636D4" w:rsidRPr="00830344">
        <w:t xml:space="preserve"> 2013</w:t>
      </w:r>
      <w:r w:rsidR="00CA2AD7">
        <w:t>–</w:t>
      </w:r>
      <w:r w:rsidR="00F636D4" w:rsidRPr="00830344">
        <w:t>14 and 2016</w:t>
      </w:r>
      <w:r w:rsidR="00CA2AD7">
        <w:t>–</w:t>
      </w:r>
      <w:r w:rsidR="00F636D4" w:rsidRPr="00830344">
        <w:t>17</w:t>
      </w:r>
      <w:bookmarkEnd w:id="535"/>
      <w:bookmarkEnd w:id="536"/>
      <w:bookmarkEnd w:id="537"/>
      <w:bookmarkEnd w:id="538"/>
      <w:bookmarkEnd w:id="539"/>
    </w:p>
    <w:p w14:paraId="248A1EBE" w14:textId="6806633A" w:rsidR="00905F68" w:rsidRDefault="006E11F0" w:rsidP="00F636D4">
      <w:pPr>
        <w:pStyle w:val="DHHSbody"/>
        <w:ind w:right="-312"/>
        <w:rPr>
          <w:b/>
          <w:lang w:eastAsia="en-AU"/>
        </w:rPr>
      </w:pPr>
      <w:r>
        <w:rPr>
          <w:b/>
          <w:noProof/>
          <w:lang w:eastAsia="en-AU"/>
        </w:rPr>
        <w:drawing>
          <wp:inline distT="0" distB="0" distL="0" distR="0" wp14:anchorId="18452F86" wp14:editId="2C61D57B">
            <wp:extent cx="6663690" cy="3834765"/>
            <wp:effectExtent l="0" t="0" r="3810" b="0"/>
            <wp:docPr id="367" name="Picture 367" descr="This figure shows a data summary of 'Measure 9.1 – Proportion of 18–69-year-olds who report getting sunburnt on the weekend' in summers 2013-14 and 2016-17. The data set is available under 'Measure 9.1 - Proportion of 18–69-year-olds who report getting sunburnt on the weekend'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663690" cy="3834765"/>
                    </a:xfrm>
                    <a:prstGeom prst="rect">
                      <a:avLst/>
                    </a:prstGeom>
                    <a:noFill/>
                  </pic:spPr>
                </pic:pic>
              </a:graphicData>
            </a:graphic>
          </wp:inline>
        </w:drawing>
      </w:r>
    </w:p>
    <w:p w14:paraId="23442FF3" w14:textId="57BF4ED0" w:rsidR="00850ADF" w:rsidRPr="00850ADF" w:rsidRDefault="00F636D4" w:rsidP="00660649">
      <w:pPr>
        <w:pStyle w:val="DHHStablefigurenote"/>
      </w:pPr>
      <w:r w:rsidRPr="00C72A48">
        <w:rPr>
          <w:lang w:eastAsia="en-AU"/>
        </w:rPr>
        <w:t xml:space="preserve">Note: </w:t>
      </w:r>
      <w:r w:rsidR="00850ADF">
        <w:rPr>
          <w:lang w:eastAsia="en-AU"/>
        </w:rPr>
        <w:t xml:space="preserve">These data were derived from wave 4 (2013-14) and wave 5 (2016-17) of the National Sun Protection Survey, </w:t>
      </w:r>
      <w:r w:rsidR="00850ADF" w:rsidRPr="004C2F0B">
        <w:t>a national cross</w:t>
      </w:r>
      <w:r w:rsidR="00850ADF">
        <w:t>–</w:t>
      </w:r>
      <w:r w:rsidR="00850ADF" w:rsidRPr="004C2F0B">
        <w:t xml:space="preserve">sectional survey </w:t>
      </w:r>
      <w:r w:rsidR="00850ADF">
        <w:t xml:space="preserve">including a </w:t>
      </w:r>
      <w:r w:rsidR="00850ADF" w:rsidRPr="004C2F0B">
        <w:t>representative sample of Victorian</w:t>
      </w:r>
      <w:r w:rsidR="00850ADF">
        <w:t>s</w:t>
      </w:r>
      <w:r w:rsidR="00850ADF" w:rsidRPr="004C2F0B">
        <w:t xml:space="preserve"> (12</w:t>
      </w:r>
      <w:r w:rsidR="00850ADF">
        <w:t>–</w:t>
      </w:r>
      <w:r w:rsidR="00850ADF" w:rsidRPr="004C2F0B">
        <w:t>69 years)</w:t>
      </w:r>
      <w:r w:rsidR="00850ADF">
        <w:t>. Respondents</w:t>
      </w:r>
      <w:r w:rsidR="00850ADF" w:rsidRPr="004C2F0B">
        <w:t xml:space="preserve"> were interviewed weekly via the telephone (landline or mobile) </w:t>
      </w:r>
      <w:r w:rsidR="00850ADF">
        <w:t xml:space="preserve">about their sun-related attitudes and behaviours </w:t>
      </w:r>
      <w:r w:rsidR="00850ADF" w:rsidRPr="004C2F0B">
        <w:t>during summer. In 2016</w:t>
      </w:r>
      <w:r w:rsidR="00850ADF">
        <w:t>–</w:t>
      </w:r>
      <w:r w:rsidR="00850ADF" w:rsidRPr="004C2F0B">
        <w:t xml:space="preserve">17, respondents were interviewed over </w:t>
      </w:r>
      <w:r w:rsidR="00850ADF">
        <w:t>13</w:t>
      </w:r>
      <w:r w:rsidR="00850ADF" w:rsidRPr="004C2F0B">
        <w:t xml:space="preserve"> weeks of summer from December to February.</w:t>
      </w:r>
      <w:r w:rsidR="00850ADF">
        <w:t xml:space="preserve"> </w:t>
      </w:r>
      <w:r w:rsidR="00850ADF" w:rsidRPr="004C2F0B">
        <w:t>However, in 2013</w:t>
      </w:r>
      <w:r w:rsidR="00850ADF">
        <w:t>–</w:t>
      </w:r>
      <w:r w:rsidR="00850ADF" w:rsidRPr="004C2F0B">
        <w:t>14, February interviews were not conducted due to budget constraints.</w:t>
      </w:r>
    </w:p>
    <w:p w14:paraId="30E9174C" w14:textId="79C774AD" w:rsidR="00F636D4" w:rsidRDefault="00F636D4" w:rsidP="00660649">
      <w:pPr>
        <w:pStyle w:val="DHHStablefigurenote"/>
      </w:pPr>
      <w:r>
        <w:t xml:space="preserve">Adjusted prevalence figures for sunburn are estimated from multivariable models adjusting </w:t>
      </w:r>
      <w:r w:rsidRPr="00C72A48">
        <w:t xml:space="preserve">for age, sex, skin sensitivity and mean UV </w:t>
      </w:r>
      <w:r w:rsidR="00AD6EEF">
        <w:t>i</w:t>
      </w:r>
      <w:r w:rsidRPr="00C72A48">
        <w:t>ndex on summer weekends among city residents indoors and outdoors in Melbourne in 2013</w:t>
      </w:r>
      <w:r w:rsidR="00CA2AD7">
        <w:t>–</w:t>
      </w:r>
      <w:r w:rsidRPr="00C72A48">
        <w:t>14 (25 November 2013 to 30 January 2014) and 2016</w:t>
      </w:r>
      <w:r w:rsidR="00CA2AD7">
        <w:t>–</w:t>
      </w:r>
      <w:r w:rsidRPr="00C72A48">
        <w:t xml:space="preserve">17 (28 November 2016 to 31 January 2017). </w:t>
      </w:r>
      <w:r w:rsidR="007C61CE" w:rsidRPr="007C61CE">
        <w:rPr>
          <w:lang w:eastAsia="en-AU"/>
        </w:rPr>
        <w:t>Table 9.1 in Appendix 2 provides the unadjusted prevalence estimates for the proportion of Victorian adults (18</w:t>
      </w:r>
      <w:r w:rsidR="00CA2AD7">
        <w:rPr>
          <w:lang w:eastAsia="en-AU"/>
        </w:rPr>
        <w:t>–</w:t>
      </w:r>
      <w:r w:rsidR="007C61CE" w:rsidRPr="007C61CE">
        <w:rPr>
          <w:lang w:eastAsia="en-AU"/>
        </w:rPr>
        <w:t>69 years) who reported getting sunburnt on summer weekends in 2013</w:t>
      </w:r>
      <w:r w:rsidR="00CA2AD7">
        <w:rPr>
          <w:lang w:eastAsia="en-AU"/>
        </w:rPr>
        <w:t>–</w:t>
      </w:r>
      <w:r w:rsidR="007C61CE" w:rsidRPr="007C61CE">
        <w:rPr>
          <w:lang w:eastAsia="en-AU"/>
        </w:rPr>
        <w:t>14 and 2016</w:t>
      </w:r>
      <w:r w:rsidR="00CA2AD7">
        <w:rPr>
          <w:lang w:eastAsia="en-AU"/>
        </w:rPr>
        <w:t>–</w:t>
      </w:r>
      <w:r w:rsidR="007C61CE" w:rsidRPr="007C61CE">
        <w:rPr>
          <w:lang w:eastAsia="en-AU"/>
        </w:rPr>
        <w:t>17.</w:t>
      </w:r>
    </w:p>
    <w:p w14:paraId="792F82B7" w14:textId="77777777" w:rsidR="00F636D4" w:rsidRPr="00BF2EF3" w:rsidRDefault="00F636D4" w:rsidP="00660649">
      <w:pPr>
        <w:pStyle w:val="DHHStablefigurenote"/>
      </w:pPr>
      <w:r>
        <w:t xml:space="preserve">It is important to note that the prevalence figures by state/territory reported nationally are weighted to the </w:t>
      </w:r>
      <w:r w:rsidR="00781191">
        <w:t xml:space="preserve">ERP </w:t>
      </w:r>
      <w:r>
        <w:t xml:space="preserve">determined by the </w:t>
      </w:r>
      <w:r w:rsidR="00781191">
        <w:t>ABS</w:t>
      </w:r>
      <w:r>
        <w:t xml:space="preserve"> in June 2013 for respondents surveyed in 2013</w:t>
      </w:r>
      <w:r w:rsidR="00CA2AD7">
        <w:t>–</w:t>
      </w:r>
      <w:r>
        <w:t>14 and 2016 for respondents surveyed in 2016</w:t>
      </w:r>
      <w:r w:rsidR="00CA2AD7">
        <w:t>–</w:t>
      </w:r>
      <w:r>
        <w:t>17 and therefore are not comparable to the figures shown above</w:t>
      </w:r>
      <w:r w:rsidR="00CA2AD7">
        <w:t>,</w:t>
      </w:r>
      <w:r>
        <w:t xml:space="preserve"> which are reflective of the Victorian population.</w:t>
      </w:r>
    </w:p>
    <w:p w14:paraId="2EB6AAF4" w14:textId="77777777" w:rsidR="00F636D4" w:rsidRPr="0015028D" w:rsidRDefault="00F636D4" w:rsidP="005609AD">
      <w:pPr>
        <w:pStyle w:val="Heading4"/>
        <w:spacing w:before="0" w:line="270" w:lineRule="atLeast"/>
      </w:pPr>
      <w:r w:rsidRPr="00F62096">
        <w:t>Measure assessment</w:t>
      </w:r>
    </w:p>
    <w:p w14:paraId="4C4215A0" w14:textId="61727F5C" w:rsidR="0097280A" w:rsidRPr="005609AD" w:rsidRDefault="00F636D4" w:rsidP="005609AD">
      <w:pPr>
        <w:autoSpaceDE w:val="0"/>
        <w:autoSpaceDN w:val="0"/>
        <w:adjustRightInd w:val="0"/>
        <w:spacing w:after="120" w:line="270" w:lineRule="atLeast"/>
        <w:rPr>
          <w:rFonts w:ascii="Arial" w:hAnsi="Arial" w:cs="Arial"/>
          <w:color w:val="C00000"/>
        </w:rPr>
      </w:pPr>
      <w:r w:rsidRPr="0064536D">
        <w:rPr>
          <w:rFonts w:ascii="Arial" w:hAnsi="Arial" w:cs="Arial"/>
        </w:rPr>
        <w:t>Traffic light rating:</w:t>
      </w:r>
      <w:r>
        <w:rPr>
          <w:rFonts w:ascii="Arial" w:hAnsi="Arial" w:cs="Arial"/>
        </w:rPr>
        <w:t xml:space="preserve"> </w:t>
      </w:r>
      <w:r w:rsidRPr="0097280A">
        <w:rPr>
          <w:rFonts w:ascii="Arial" w:hAnsi="Arial" w:cs="Arial"/>
          <w:b/>
          <w:color w:val="C00000"/>
        </w:rPr>
        <w:t>Red</w:t>
      </w:r>
      <w:r w:rsidR="0097280A">
        <w:rPr>
          <w:rFonts w:ascii="Arial" w:hAnsi="Arial" w:cs="Arial"/>
          <w:b/>
          <w:color w:val="C00000"/>
        </w:rPr>
        <w:t xml:space="preserve"> </w:t>
      </w:r>
      <w:r w:rsidR="0097280A">
        <w:rPr>
          <w:rFonts w:ascii="Arial" w:hAnsi="Arial" w:cs="Arial"/>
          <w:color w:val="C00000"/>
        </w:rPr>
        <w:t>(result is of concern)</w:t>
      </w:r>
    </w:p>
    <w:p w14:paraId="318B330C" w14:textId="7C4EF365" w:rsidR="00F636D4" w:rsidRPr="00780B3A" w:rsidRDefault="00F636D4" w:rsidP="005609AD">
      <w:pPr>
        <w:spacing w:after="120" w:line="270" w:lineRule="atLeast"/>
        <w:rPr>
          <w:rFonts w:ascii="Arial" w:hAnsi="Arial" w:cs="Arial"/>
        </w:rPr>
      </w:pPr>
      <w:r w:rsidRPr="0064536D">
        <w:rPr>
          <w:rFonts w:ascii="Arial" w:hAnsi="Arial" w:cs="Arial"/>
        </w:rPr>
        <w:t xml:space="preserve">Overall trend: </w:t>
      </w:r>
      <w:r w:rsidR="00D070C6">
        <w:rPr>
          <w:rFonts w:ascii="Arial" w:hAnsi="Arial" w:cs="Arial"/>
        </w:rPr>
        <w:t>M</w:t>
      </w:r>
      <w:r>
        <w:rPr>
          <w:rFonts w:ascii="Arial" w:hAnsi="Arial" w:cs="Arial"/>
        </w:rPr>
        <w:t xml:space="preserve">oving in the </w:t>
      </w:r>
      <w:r w:rsidR="00D070C6">
        <w:rPr>
          <w:rFonts w:ascii="Arial" w:hAnsi="Arial" w:cs="Arial"/>
        </w:rPr>
        <w:t>wrong</w:t>
      </w:r>
      <w:r>
        <w:rPr>
          <w:rFonts w:ascii="Arial" w:hAnsi="Arial" w:cs="Arial"/>
        </w:rPr>
        <w:t xml:space="preserve"> direction.</w:t>
      </w:r>
      <w:r w:rsidR="00952FC7">
        <w:rPr>
          <w:rFonts w:ascii="Arial" w:hAnsi="Arial" w:cs="Arial"/>
        </w:rPr>
        <w:t xml:space="preserve"> </w:t>
      </w:r>
      <w:r>
        <w:rPr>
          <w:rFonts w:ascii="Arial" w:hAnsi="Arial" w:cs="Arial"/>
        </w:rPr>
        <w:t xml:space="preserve">However, it is important to note that an assessment of future trends will possibly necessitate a new baseline, due to the National Sun Protection Survey </w:t>
      </w:r>
      <w:r w:rsidR="00AD6EEF">
        <w:rPr>
          <w:rFonts w:ascii="Arial" w:hAnsi="Arial" w:cs="Arial"/>
        </w:rPr>
        <w:t xml:space="preserve">terminating </w:t>
      </w:r>
      <w:r>
        <w:rPr>
          <w:rFonts w:ascii="Arial" w:hAnsi="Arial" w:cs="Arial"/>
        </w:rPr>
        <w:t>and other methodologies for monitoring sun protection behaviour</w:t>
      </w:r>
      <w:r w:rsidR="00AD6EEF">
        <w:rPr>
          <w:rFonts w:ascii="Arial" w:hAnsi="Arial" w:cs="Arial"/>
        </w:rPr>
        <w:t xml:space="preserve"> being developed</w:t>
      </w:r>
      <w:r>
        <w:rPr>
          <w:rFonts w:ascii="Arial" w:hAnsi="Arial" w:cs="Arial"/>
        </w:rPr>
        <w:t xml:space="preserve">. </w:t>
      </w:r>
    </w:p>
    <w:p w14:paraId="1E562970" w14:textId="77777777" w:rsidR="00A16D42" w:rsidRDefault="00F636D4" w:rsidP="001A2A05">
      <w:pPr>
        <w:pStyle w:val="DHHSbody"/>
      </w:pPr>
      <w:r w:rsidRPr="0064536D">
        <w:rPr>
          <w:rFonts w:cs="Arial"/>
        </w:rPr>
        <w:t xml:space="preserve">Commentary: </w:t>
      </w:r>
      <w:r>
        <w:rPr>
          <w:rFonts w:cs="Arial"/>
        </w:rPr>
        <w:t>Sunburn is the skin’s reaction to UV radiation from the sun.</w:t>
      </w:r>
      <w:r>
        <w:rPr>
          <w:rStyle w:val="FootnoteReference"/>
          <w:rFonts w:cs="Arial"/>
        </w:rPr>
        <w:footnoteReference w:id="92"/>
      </w:r>
      <w:r w:rsidR="00952FC7">
        <w:rPr>
          <w:rFonts w:cs="Arial"/>
        </w:rPr>
        <w:t xml:space="preserve"> </w:t>
      </w:r>
      <w:r>
        <w:rPr>
          <w:rFonts w:cs="Arial"/>
        </w:rPr>
        <w:t>The long-term effects of repeated bouts of sunburn include an increased risk of skin cancer, including melanoma (the most dangerous type of skin cancer).</w:t>
      </w:r>
      <w:r>
        <w:rPr>
          <w:rStyle w:val="FootnoteReference"/>
          <w:rFonts w:cs="Arial"/>
        </w:rPr>
        <w:footnoteReference w:id="93"/>
      </w:r>
      <w:r>
        <w:rPr>
          <w:rFonts w:cs="Arial"/>
        </w:rPr>
        <w:t xml:space="preserve"> </w:t>
      </w:r>
      <w:r w:rsidR="00C33D4B">
        <w:rPr>
          <w:rFonts w:cs="Arial"/>
        </w:rPr>
        <w:lastRenderedPageBreak/>
        <w:t>Figure</w:t>
      </w:r>
      <w:r>
        <w:rPr>
          <w:rFonts w:cs="Arial"/>
        </w:rPr>
        <w:t xml:space="preserve"> 9.1 shows that overall there was an increase in the proportion of Victorian adults 18</w:t>
      </w:r>
      <w:r w:rsidR="00CA2AD7">
        <w:rPr>
          <w:rFonts w:cs="Arial"/>
        </w:rPr>
        <w:t>–</w:t>
      </w:r>
      <w:r>
        <w:rPr>
          <w:rFonts w:cs="Arial"/>
        </w:rPr>
        <w:t>69</w:t>
      </w:r>
      <w:r w:rsidR="00D24CD5">
        <w:rPr>
          <w:rFonts w:cs="Arial"/>
        </w:rPr>
        <w:t>-year-olds</w:t>
      </w:r>
      <w:r>
        <w:rPr>
          <w:rFonts w:cs="Arial"/>
        </w:rPr>
        <w:t xml:space="preserve"> who reported getting sunburnt on the weekend from 9.4 per cent in 2013</w:t>
      </w:r>
      <w:r w:rsidR="00CA2AD7">
        <w:rPr>
          <w:rFonts w:cs="Arial"/>
        </w:rPr>
        <w:t>–</w:t>
      </w:r>
      <w:r>
        <w:rPr>
          <w:rFonts w:cs="Arial"/>
        </w:rPr>
        <w:t>14 to 14.3 per cent in 2016</w:t>
      </w:r>
      <w:r w:rsidR="00CA2AD7">
        <w:rPr>
          <w:rFonts w:cs="Arial"/>
        </w:rPr>
        <w:t>–</w:t>
      </w:r>
      <w:r>
        <w:rPr>
          <w:rFonts w:cs="Arial"/>
        </w:rPr>
        <w:t>17.</w:t>
      </w:r>
      <w:r w:rsidR="00952FC7">
        <w:rPr>
          <w:rFonts w:cs="Arial"/>
        </w:rPr>
        <w:t xml:space="preserve"> </w:t>
      </w:r>
      <w:r>
        <w:rPr>
          <w:rFonts w:cs="Arial"/>
        </w:rPr>
        <w:t xml:space="preserve">Males in particular were more likely to report getting sunburnt on the weekend compared </w:t>
      </w:r>
      <w:r w:rsidR="001B50BF">
        <w:rPr>
          <w:rFonts w:cs="Arial"/>
        </w:rPr>
        <w:t xml:space="preserve">with </w:t>
      </w:r>
      <w:r>
        <w:rPr>
          <w:rFonts w:cs="Arial"/>
        </w:rPr>
        <w:t>females from 11.9 per cent in 2013</w:t>
      </w:r>
      <w:r w:rsidR="00CA2AD7">
        <w:rPr>
          <w:rFonts w:cs="Arial"/>
        </w:rPr>
        <w:t>–</w:t>
      </w:r>
      <w:r>
        <w:rPr>
          <w:rFonts w:cs="Arial"/>
        </w:rPr>
        <w:t>14 to 19.3 per cent in 2016</w:t>
      </w:r>
      <w:r w:rsidR="00CA2AD7">
        <w:rPr>
          <w:rFonts w:cs="Arial"/>
        </w:rPr>
        <w:t>–</w:t>
      </w:r>
      <w:r>
        <w:rPr>
          <w:rFonts w:cs="Arial"/>
        </w:rPr>
        <w:t>17. While no target has been set for this measure</w:t>
      </w:r>
      <w:r w:rsidR="00AD6EEF">
        <w:rPr>
          <w:rFonts w:cs="Arial"/>
        </w:rPr>
        <w:t>,</w:t>
      </w:r>
      <w:r>
        <w:rPr>
          <w:rFonts w:cs="Arial"/>
        </w:rPr>
        <w:t xml:space="preserve"> the increase </w:t>
      </w:r>
      <w:r w:rsidRPr="00E04EF2">
        <w:rPr>
          <w:rFonts w:cs="Arial"/>
        </w:rPr>
        <w:t>in the proportion of 18</w:t>
      </w:r>
      <w:r w:rsidR="00CA2AD7">
        <w:rPr>
          <w:rFonts w:cs="Arial"/>
        </w:rPr>
        <w:t>–</w:t>
      </w:r>
      <w:r w:rsidRPr="00E04EF2">
        <w:rPr>
          <w:rFonts w:cs="Arial"/>
        </w:rPr>
        <w:t>69</w:t>
      </w:r>
      <w:r w:rsidR="00D24CD5">
        <w:rPr>
          <w:rFonts w:cs="Arial"/>
        </w:rPr>
        <w:t>-year-olds</w:t>
      </w:r>
      <w:r w:rsidRPr="00E04EF2">
        <w:rPr>
          <w:rFonts w:cs="Arial"/>
        </w:rPr>
        <w:t xml:space="preserve"> who reported getting sunburnt on the weekend may be </w:t>
      </w:r>
      <w:r w:rsidRPr="00E04EF2">
        <w:t xml:space="preserve">in part related to </w:t>
      </w:r>
      <w:r w:rsidR="00D2539B">
        <w:t xml:space="preserve">low or ineffective use of </w:t>
      </w:r>
      <w:r w:rsidRPr="00E04EF2">
        <w:t xml:space="preserve">sun protection </w:t>
      </w:r>
      <w:r w:rsidR="00E04EF2" w:rsidRPr="00E04EF2">
        <w:t>(</w:t>
      </w:r>
      <w:r w:rsidR="00E04EF2" w:rsidRPr="00E04EF2">
        <w:rPr>
          <w:rFonts w:cs="Arial"/>
        </w:rPr>
        <w:t>application of sunscreen, using shade and wearing a hat, long</w:t>
      </w:r>
      <w:r w:rsidR="002B0958">
        <w:rPr>
          <w:rFonts w:cs="Arial"/>
        </w:rPr>
        <w:t>-</w:t>
      </w:r>
      <w:r w:rsidR="00E04EF2" w:rsidRPr="00E04EF2">
        <w:rPr>
          <w:rFonts w:cs="Arial"/>
        </w:rPr>
        <w:t xml:space="preserve">sleeved clothing and sunglasses) </w:t>
      </w:r>
      <w:r w:rsidRPr="00E04EF2">
        <w:t xml:space="preserve">and </w:t>
      </w:r>
      <w:r w:rsidR="00D2539B">
        <w:t xml:space="preserve">inadequate application of </w:t>
      </w:r>
      <w:r w:rsidRPr="00E04EF2">
        <w:t>sunscree</w:t>
      </w:r>
      <w:r w:rsidR="00D2539B">
        <w:t>n</w:t>
      </w:r>
      <w:r w:rsidRPr="00E04EF2">
        <w:t>.</w:t>
      </w:r>
    </w:p>
    <w:p w14:paraId="5BC8A6A9" w14:textId="77777777" w:rsidR="00A16D42" w:rsidRDefault="00A16D42">
      <w:pPr>
        <w:rPr>
          <w:rFonts w:ascii="Arial" w:eastAsia="Times" w:hAnsi="Arial"/>
          <w:lang w:eastAsia="en-US"/>
        </w:rPr>
      </w:pPr>
      <w:r>
        <w:br w:type="page"/>
      </w:r>
    </w:p>
    <w:p w14:paraId="69D9EA49" w14:textId="6A806C53" w:rsidR="00665EED" w:rsidRPr="00A16D42" w:rsidRDefault="00665EED" w:rsidP="00A16D42">
      <w:pPr>
        <w:pStyle w:val="Heading3"/>
        <w:rPr>
          <w:rStyle w:val="Heading3Char"/>
          <w:b/>
          <w:bCs/>
        </w:rPr>
      </w:pPr>
      <w:bookmarkStart w:id="540" w:name="_Measure_9.2_–"/>
      <w:bookmarkEnd w:id="540"/>
      <w:r w:rsidRPr="00A16D42">
        <w:rPr>
          <w:rStyle w:val="Heading3Char"/>
          <w:b/>
          <w:bCs/>
        </w:rPr>
        <w:lastRenderedPageBreak/>
        <w:t xml:space="preserve">Measure 9.2 – Proportion of </w:t>
      </w:r>
      <w:r w:rsidR="008E5430" w:rsidRPr="00A16D42">
        <w:rPr>
          <w:rStyle w:val="Heading3Char"/>
          <w:b/>
          <w:bCs/>
        </w:rPr>
        <w:t>18</w:t>
      </w:r>
      <w:r w:rsidR="00CA2AD7" w:rsidRPr="00A16D42">
        <w:rPr>
          <w:rStyle w:val="Heading3Char"/>
          <w:b/>
          <w:bCs/>
        </w:rPr>
        <w:t>–</w:t>
      </w:r>
      <w:r w:rsidR="008E5430" w:rsidRPr="00A16D42">
        <w:rPr>
          <w:rStyle w:val="Heading3Char"/>
          <w:b/>
          <w:bCs/>
        </w:rPr>
        <w:t>69</w:t>
      </w:r>
      <w:r w:rsidR="00D24CD5" w:rsidRPr="00A16D42">
        <w:rPr>
          <w:rStyle w:val="Heading3Char"/>
          <w:b/>
          <w:bCs/>
        </w:rPr>
        <w:t>-</w:t>
      </w:r>
      <w:r w:rsidR="008E5430" w:rsidRPr="00A16D42">
        <w:rPr>
          <w:rStyle w:val="Heading3Char"/>
          <w:b/>
          <w:bCs/>
        </w:rPr>
        <w:t>year</w:t>
      </w:r>
      <w:r w:rsidR="00D24CD5" w:rsidRPr="00A16D42">
        <w:rPr>
          <w:rStyle w:val="Heading3Char"/>
          <w:b/>
          <w:bCs/>
        </w:rPr>
        <w:t>-</w:t>
      </w:r>
      <w:r w:rsidRPr="00A16D42">
        <w:rPr>
          <w:rStyle w:val="Heading3Char"/>
          <w:b/>
          <w:bCs/>
        </w:rPr>
        <w:t>olds wearing a combination of hats and/or sunscreen with one other key sun protective behaviour</w:t>
      </w:r>
      <w:r w:rsidRPr="00A16D42">
        <w:rPr>
          <w:rStyle w:val="Heading3Char"/>
          <w:b/>
          <w:bCs/>
        </w:rPr>
        <w:footnoteReference w:id="94"/>
      </w:r>
    </w:p>
    <w:p w14:paraId="20D4A17B" w14:textId="2D58D4B8" w:rsidR="006054F2" w:rsidRDefault="006054F2" w:rsidP="006054F2">
      <w:pPr>
        <w:pStyle w:val="DHHSbody"/>
        <w:ind w:right="-454"/>
        <w:rPr>
          <w:b/>
          <w:lang w:eastAsia="en-AU"/>
        </w:rPr>
      </w:pPr>
      <w:r w:rsidRPr="006054F2">
        <w:rPr>
          <w:b/>
          <w:lang w:eastAsia="en-AU"/>
        </w:rPr>
        <w:t>Figure 9.2</w:t>
      </w:r>
      <w:r w:rsidR="00CA2AD7">
        <w:rPr>
          <w:b/>
          <w:lang w:eastAsia="en-AU"/>
        </w:rPr>
        <w:t>:</w:t>
      </w:r>
      <w:r>
        <w:rPr>
          <w:lang w:eastAsia="en-AU"/>
        </w:rPr>
        <w:t xml:space="preserve"> </w:t>
      </w:r>
      <w:r>
        <w:rPr>
          <w:b/>
          <w:lang w:eastAsia="en-AU"/>
        </w:rPr>
        <w:t>A</w:t>
      </w:r>
      <w:r w:rsidRPr="00830344">
        <w:rPr>
          <w:b/>
          <w:lang w:eastAsia="en-AU"/>
        </w:rPr>
        <w:t>djusted prevalence estimates of two or more sun protective behaviours among Victorian adults (18</w:t>
      </w:r>
      <w:r w:rsidR="00CA2AD7">
        <w:rPr>
          <w:b/>
          <w:lang w:eastAsia="en-AU"/>
        </w:rPr>
        <w:t>–</w:t>
      </w:r>
      <w:r w:rsidRPr="00830344">
        <w:rPr>
          <w:b/>
          <w:lang w:eastAsia="en-AU"/>
        </w:rPr>
        <w:t>69 years) in summers</w:t>
      </w:r>
      <w:r w:rsidR="002B0958">
        <w:rPr>
          <w:b/>
          <w:lang w:eastAsia="en-AU"/>
        </w:rPr>
        <w:t>,</w:t>
      </w:r>
      <w:r w:rsidRPr="00830344">
        <w:rPr>
          <w:b/>
          <w:lang w:eastAsia="en-AU"/>
        </w:rPr>
        <w:t xml:space="preserve"> 2013</w:t>
      </w:r>
      <w:r w:rsidR="00CA2AD7">
        <w:rPr>
          <w:b/>
          <w:lang w:eastAsia="en-AU"/>
        </w:rPr>
        <w:t>–</w:t>
      </w:r>
      <w:r w:rsidRPr="00830344">
        <w:rPr>
          <w:b/>
          <w:lang w:eastAsia="en-AU"/>
        </w:rPr>
        <w:t>14 and 2016</w:t>
      </w:r>
      <w:r w:rsidR="00CA2AD7">
        <w:rPr>
          <w:b/>
          <w:lang w:eastAsia="en-AU"/>
        </w:rPr>
        <w:t>–</w:t>
      </w:r>
      <w:r w:rsidRPr="00830344">
        <w:rPr>
          <w:b/>
          <w:lang w:eastAsia="en-AU"/>
        </w:rPr>
        <w:t>17</w:t>
      </w:r>
    </w:p>
    <w:p w14:paraId="43E55B8E" w14:textId="1254B266" w:rsidR="00216BFF" w:rsidRPr="006054F2" w:rsidRDefault="006E11F0" w:rsidP="006054F2">
      <w:pPr>
        <w:pStyle w:val="DHHSbody"/>
        <w:ind w:right="-454"/>
        <w:rPr>
          <w:b/>
          <w:lang w:eastAsia="en-AU"/>
        </w:rPr>
      </w:pPr>
      <w:r>
        <w:rPr>
          <w:b/>
          <w:noProof/>
          <w:lang w:eastAsia="en-AU"/>
        </w:rPr>
        <w:drawing>
          <wp:inline distT="0" distB="0" distL="0" distR="0" wp14:anchorId="09CF7E0D" wp14:editId="4C3B0901">
            <wp:extent cx="6925945" cy="3542030"/>
            <wp:effectExtent l="0" t="0" r="8255" b="1270"/>
            <wp:docPr id="368" name="Picture 368" descr="This figure shows a data summary of 'Measure 9.2 – Proportion of 18–69-year-olds wearing a combination of hats and/or sunscreen with one other key sun protective behaviour' in summers 2013-14 and 2016-17. The data set is available under 'Measure 9.2 – Proportion of 18–69-year-olds wearing a combination of hats and/or sunscreen with one other key sun protective behaviou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925945" cy="3542030"/>
                    </a:xfrm>
                    <a:prstGeom prst="rect">
                      <a:avLst/>
                    </a:prstGeom>
                    <a:noFill/>
                  </pic:spPr>
                </pic:pic>
              </a:graphicData>
            </a:graphic>
          </wp:inline>
        </w:drawing>
      </w:r>
    </w:p>
    <w:p w14:paraId="67FDCF94" w14:textId="5EF30961" w:rsidR="00665EED" w:rsidRPr="005A7A72" w:rsidRDefault="00665EED" w:rsidP="005A7A72">
      <w:pPr>
        <w:pStyle w:val="DHHSbody"/>
        <w:rPr>
          <w:lang w:eastAsia="en-AU"/>
        </w:rPr>
      </w:pPr>
    </w:p>
    <w:p w14:paraId="0E47D132" w14:textId="52D607CA" w:rsidR="00665EED" w:rsidRDefault="00665EED" w:rsidP="004A0195">
      <w:pPr>
        <w:pStyle w:val="DHHStablefigurenote"/>
      </w:pPr>
      <w:r w:rsidRPr="00F537B6">
        <w:rPr>
          <w:lang w:eastAsia="en-AU"/>
        </w:rPr>
        <w:t xml:space="preserve">Note: </w:t>
      </w:r>
      <w:r w:rsidR="00D070C6">
        <w:rPr>
          <w:szCs w:val="18"/>
          <w:lang w:eastAsia="en-AU"/>
        </w:rPr>
        <w:t xml:space="preserve">These data were derived from wave 4 (2013-14) and wave 5 (2016-17) of the National Sun Protection Survey, </w:t>
      </w:r>
      <w:r w:rsidR="00D070C6" w:rsidRPr="004C2F0B">
        <w:rPr>
          <w:rFonts w:cs="Arial"/>
          <w:szCs w:val="18"/>
        </w:rPr>
        <w:t>a national cross</w:t>
      </w:r>
      <w:r w:rsidR="00D070C6">
        <w:rPr>
          <w:rFonts w:cs="Arial"/>
          <w:szCs w:val="18"/>
        </w:rPr>
        <w:t>–</w:t>
      </w:r>
      <w:r w:rsidR="00D070C6" w:rsidRPr="004C2F0B">
        <w:rPr>
          <w:rFonts w:cs="Arial"/>
          <w:szCs w:val="18"/>
        </w:rPr>
        <w:t xml:space="preserve">sectional survey </w:t>
      </w:r>
      <w:r w:rsidR="00D070C6">
        <w:rPr>
          <w:rFonts w:cs="Arial"/>
          <w:szCs w:val="18"/>
        </w:rPr>
        <w:t xml:space="preserve">including a </w:t>
      </w:r>
      <w:r w:rsidR="00D070C6" w:rsidRPr="004C2F0B">
        <w:rPr>
          <w:rFonts w:cs="Arial"/>
          <w:szCs w:val="18"/>
        </w:rPr>
        <w:t>representative sample of Victorian</w:t>
      </w:r>
      <w:r w:rsidR="00D070C6">
        <w:rPr>
          <w:rFonts w:cs="Arial"/>
          <w:szCs w:val="18"/>
        </w:rPr>
        <w:t>s</w:t>
      </w:r>
      <w:r w:rsidR="00D070C6" w:rsidRPr="004C2F0B">
        <w:rPr>
          <w:rFonts w:cs="Arial"/>
          <w:szCs w:val="18"/>
        </w:rPr>
        <w:t xml:space="preserve"> (12</w:t>
      </w:r>
      <w:r w:rsidR="00D070C6">
        <w:rPr>
          <w:rFonts w:cs="Arial"/>
          <w:szCs w:val="18"/>
        </w:rPr>
        <w:t>–</w:t>
      </w:r>
      <w:r w:rsidR="00D070C6" w:rsidRPr="004C2F0B">
        <w:rPr>
          <w:rFonts w:cs="Arial"/>
          <w:szCs w:val="18"/>
        </w:rPr>
        <w:t>69 years)</w:t>
      </w:r>
      <w:r w:rsidR="00D070C6">
        <w:rPr>
          <w:rFonts w:cs="Arial"/>
          <w:szCs w:val="18"/>
        </w:rPr>
        <w:t>. Respondents</w:t>
      </w:r>
      <w:r w:rsidR="00D070C6" w:rsidRPr="004C2F0B">
        <w:rPr>
          <w:rFonts w:cs="Arial"/>
          <w:szCs w:val="18"/>
        </w:rPr>
        <w:t xml:space="preserve"> were interviewed weekly via the telephone (landline or mobile) </w:t>
      </w:r>
      <w:r w:rsidR="00D070C6">
        <w:rPr>
          <w:rFonts w:cs="Arial"/>
          <w:szCs w:val="18"/>
        </w:rPr>
        <w:t xml:space="preserve">about their sun-related attitudes and behaviours </w:t>
      </w:r>
      <w:r w:rsidR="00D070C6" w:rsidRPr="004C2F0B">
        <w:rPr>
          <w:rFonts w:cs="Arial"/>
          <w:szCs w:val="18"/>
        </w:rPr>
        <w:t>during summer. In 2016</w:t>
      </w:r>
      <w:r w:rsidR="00D070C6">
        <w:rPr>
          <w:rFonts w:cs="Arial"/>
          <w:szCs w:val="18"/>
        </w:rPr>
        <w:t>–</w:t>
      </w:r>
      <w:r w:rsidR="00D070C6" w:rsidRPr="004C2F0B">
        <w:rPr>
          <w:rFonts w:cs="Arial"/>
          <w:szCs w:val="18"/>
        </w:rPr>
        <w:t xml:space="preserve">17, respondents were interviewed over </w:t>
      </w:r>
      <w:r w:rsidR="00D070C6">
        <w:rPr>
          <w:rFonts w:cs="Arial"/>
          <w:szCs w:val="18"/>
        </w:rPr>
        <w:t>13</w:t>
      </w:r>
      <w:r w:rsidR="00D070C6" w:rsidRPr="004C2F0B">
        <w:rPr>
          <w:rFonts w:cs="Arial"/>
          <w:szCs w:val="18"/>
        </w:rPr>
        <w:t xml:space="preserve"> weeks of summer from December to February.</w:t>
      </w:r>
      <w:r w:rsidR="00D070C6">
        <w:rPr>
          <w:rFonts w:cs="Arial"/>
          <w:szCs w:val="18"/>
        </w:rPr>
        <w:t xml:space="preserve"> </w:t>
      </w:r>
      <w:r w:rsidR="00D070C6" w:rsidRPr="004C2F0B">
        <w:rPr>
          <w:rFonts w:cs="Arial"/>
          <w:szCs w:val="18"/>
        </w:rPr>
        <w:t>However, in 2013</w:t>
      </w:r>
      <w:r w:rsidR="00D070C6">
        <w:rPr>
          <w:rFonts w:cs="Arial"/>
          <w:szCs w:val="18"/>
        </w:rPr>
        <w:t>–</w:t>
      </w:r>
      <w:r w:rsidR="00D070C6" w:rsidRPr="004C2F0B">
        <w:rPr>
          <w:rFonts w:cs="Arial"/>
          <w:szCs w:val="18"/>
        </w:rPr>
        <w:t>14, February interviews were not conducted due to budget constraints</w:t>
      </w:r>
      <w:r w:rsidR="00D070C6">
        <w:rPr>
          <w:rFonts w:cs="Arial"/>
          <w:szCs w:val="18"/>
        </w:rPr>
        <w:t>.</w:t>
      </w:r>
    </w:p>
    <w:p w14:paraId="74312681" w14:textId="568BC39E" w:rsidR="00665EED" w:rsidRDefault="00665EED" w:rsidP="00DC2182">
      <w:pPr>
        <w:pStyle w:val="DHHSbody"/>
        <w:ind w:right="-1"/>
        <w:rPr>
          <w:i/>
          <w:sz w:val="18"/>
          <w:szCs w:val="18"/>
        </w:rPr>
      </w:pPr>
      <w:r>
        <w:rPr>
          <w:i/>
          <w:sz w:val="18"/>
          <w:szCs w:val="18"/>
        </w:rPr>
        <w:t xml:space="preserve">It is important to note that the prevalence figures by state/territory reported nationally are weighted to the </w:t>
      </w:r>
      <w:r w:rsidR="00781191">
        <w:rPr>
          <w:i/>
          <w:sz w:val="18"/>
          <w:szCs w:val="18"/>
        </w:rPr>
        <w:t xml:space="preserve">ERP </w:t>
      </w:r>
      <w:r>
        <w:rPr>
          <w:i/>
          <w:sz w:val="18"/>
          <w:szCs w:val="18"/>
        </w:rPr>
        <w:t xml:space="preserve">as determined by the </w:t>
      </w:r>
      <w:r w:rsidR="00781191">
        <w:rPr>
          <w:i/>
          <w:sz w:val="18"/>
          <w:szCs w:val="18"/>
        </w:rPr>
        <w:t>ABS</w:t>
      </w:r>
      <w:r>
        <w:rPr>
          <w:i/>
          <w:sz w:val="18"/>
          <w:szCs w:val="18"/>
        </w:rPr>
        <w:t xml:space="preserve"> in June 2013 for respondents interviewed in 2013</w:t>
      </w:r>
      <w:r w:rsidR="00CA2AD7">
        <w:rPr>
          <w:i/>
          <w:sz w:val="18"/>
          <w:szCs w:val="18"/>
        </w:rPr>
        <w:t>–</w:t>
      </w:r>
      <w:r>
        <w:rPr>
          <w:i/>
          <w:sz w:val="18"/>
          <w:szCs w:val="18"/>
        </w:rPr>
        <w:t>14 and June 2016 for respondents interviewed in June 2016 and therefore are not comparable to the figures shown above</w:t>
      </w:r>
      <w:r w:rsidR="002B0958">
        <w:rPr>
          <w:i/>
          <w:sz w:val="18"/>
          <w:szCs w:val="18"/>
        </w:rPr>
        <w:t>,</w:t>
      </w:r>
      <w:r>
        <w:rPr>
          <w:i/>
          <w:sz w:val="18"/>
          <w:szCs w:val="18"/>
        </w:rPr>
        <w:t xml:space="preserve"> which are reflective of the Victorian population.</w:t>
      </w:r>
    </w:p>
    <w:p w14:paraId="3731A619" w14:textId="51A8E9E9" w:rsidR="005A7A72" w:rsidRPr="005A7A72" w:rsidRDefault="005A7A72" w:rsidP="005A7A72">
      <w:pPr>
        <w:pStyle w:val="DHHSbody"/>
        <w:ind w:right="-454"/>
        <w:rPr>
          <w:b/>
          <w:i/>
          <w:lang w:eastAsia="en-AU"/>
        </w:rPr>
      </w:pPr>
      <w:r w:rsidRPr="005A7A72">
        <w:rPr>
          <w:i/>
          <w:sz w:val="18"/>
          <w:szCs w:val="18"/>
          <w:lang w:eastAsia="en-AU"/>
        </w:rPr>
        <w:t>Table 9.2 in Appendix 2 provides the unadjusted prevalence estimates of two or more sun protective behaviours among Victorian adults (18</w:t>
      </w:r>
      <w:r w:rsidR="00CA2AD7">
        <w:rPr>
          <w:i/>
          <w:sz w:val="18"/>
          <w:szCs w:val="18"/>
          <w:lang w:eastAsia="en-AU"/>
        </w:rPr>
        <w:t>–</w:t>
      </w:r>
      <w:r w:rsidRPr="005A7A72">
        <w:rPr>
          <w:i/>
          <w:sz w:val="18"/>
          <w:szCs w:val="18"/>
          <w:lang w:eastAsia="en-AU"/>
        </w:rPr>
        <w:t>69 years) in summers 2013</w:t>
      </w:r>
      <w:r w:rsidR="00CA2AD7">
        <w:rPr>
          <w:i/>
          <w:sz w:val="18"/>
          <w:szCs w:val="18"/>
          <w:lang w:eastAsia="en-AU"/>
        </w:rPr>
        <w:t>–</w:t>
      </w:r>
      <w:r w:rsidRPr="005A7A72">
        <w:rPr>
          <w:i/>
          <w:sz w:val="18"/>
          <w:szCs w:val="18"/>
          <w:lang w:eastAsia="en-AU"/>
        </w:rPr>
        <w:t>14 and 2016</w:t>
      </w:r>
      <w:r w:rsidR="00CA2AD7">
        <w:rPr>
          <w:i/>
          <w:sz w:val="18"/>
          <w:szCs w:val="18"/>
          <w:lang w:eastAsia="en-AU"/>
        </w:rPr>
        <w:t>–</w:t>
      </w:r>
      <w:r w:rsidRPr="005A7A72">
        <w:rPr>
          <w:i/>
          <w:sz w:val="18"/>
          <w:szCs w:val="18"/>
          <w:lang w:eastAsia="en-AU"/>
        </w:rPr>
        <w:t>17.</w:t>
      </w:r>
    </w:p>
    <w:p w14:paraId="1C9F1DAC" w14:textId="25A05625" w:rsidR="00665EED" w:rsidRPr="0015028D" w:rsidRDefault="00665EED" w:rsidP="004A0195">
      <w:pPr>
        <w:pStyle w:val="Heading4"/>
      </w:pPr>
      <w:r w:rsidRPr="00F62096">
        <w:t>Measure assessment</w:t>
      </w:r>
    </w:p>
    <w:p w14:paraId="1F421E3D" w14:textId="067C3A39" w:rsidR="00665EED" w:rsidRPr="00061321" w:rsidRDefault="00665EED" w:rsidP="00665EED">
      <w:pPr>
        <w:spacing w:after="120" w:line="270" w:lineRule="atLeast"/>
        <w:rPr>
          <w:rFonts w:ascii="Arial" w:hAnsi="Arial" w:cs="Arial"/>
        </w:rPr>
      </w:pPr>
      <w:r w:rsidRPr="00780B3A">
        <w:rPr>
          <w:rFonts w:ascii="Arial" w:hAnsi="Arial" w:cs="Arial"/>
        </w:rPr>
        <w:t>Traffic light rating:</w:t>
      </w:r>
      <w:r>
        <w:rPr>
          <w:rFonts w:ascii="Arial" w:hAnsi="Arial" w:cs="Arial"/>
        </w:rPr>
        <w:t xml:space="preserve"> </w:t>
      </w:r>
      <w:r w:rsidRPr="00061321">
        <w:rPr>
          <w:rFonts w:ascii="Arial" w:hAnsi="Arial" w:cs="Arial"/>
          <w:b/>
          <w:color w:val="007B4B"/>
        </w:rPr>
        <w:t>Green</w:t>
      </w:r>
      <w:r w:rsidR="00061321">
        <w:rPr>
          <w:rFonts w:ascii="Arial" w:hAnsi="Arial" w:cs="Arial"/>
          <w:color w:val="007B4B"/>
        </w:rPr>
        <w:t xml:space="preserve"> (satisfactory result)</w:t>
      </w:r>
    </w:p>
    <w:p w14:paraId="6C810E39" w14:textId="64DB9263" w:rsidR="00665EED" w:rsidRPr="00780B3A" w:rsidRDefault="00665EED" w:rsidP="00665EED">
      <w:pPr>
        <w:spacing w:after="120" w:line="270" w:lineRule="atLeast"/>
        <w:rPr>
          <w:rFonts w:ascii="Arial" w:hAnsi="Arial" w:cs="Arial"/>
        </w:rPr>
      </w:pPr>
      <w:r w:rsidRPr="0064536D">
        <w:rPr>
          <w:rFonts w:ascii="Arial" w:hAnsi="Arial" w:cs="Arial"/>
        </w:rPr>
        <w:t xml:space="preserve">Overall trend: </w:t>
      </w:r>
      <w:r>
        <w:rPr>
          <w:rFonts w:ascii="Arial" w:hAnsi="Arial" w:cs="Arial"/>
        </w:rPr>
        <w:t>Moving in the right direction. However, it is important to note that an assessment of future trends will possibly necessitate a new baseline, due to the National Sun Protection Survey</w:t>
      </w:r>
      <w:r w:rsidR="002B0958">
        <w:rPr>
          <w:rFonts w:ascii="Arial" w:hAnsi="Arial" w:cs="Arial"/>
        </w:rPr>
        <w:t xml:space="preserve"> terminating</w:t>
      </w:r>
      <w:r>
        <w:rPr>
          <w:rFonts w:ascii="Arial" w:hAnsi="Arial" w:cs="Arial"/>
        </w:rPr>
        <w:t xml:space="preserve"> and other methodologies for monitoring sun protection behaviour</w:t>
      </w:r>
      <w:r w:rsidR="002B0958">
        <w:rPr>
          <w:rFonts w:ascii="Arial" w:hAnsi="Arial" w:cs="Arial"/>
        </w:rPr>
        <w:t xml:space="preserve"> being developed</w:t>
      </w:r>
      <w:r>
        <w:rPr>
          <w:rFonts w:ascii="Arial" w:hAnsi="Arial" w:cs="Arial"/>
        </w:rPr>
        <w:t xml:space="preserve">. </w:t>
      </w:r>
    </w:p>
    <w:p w14:paraId="3C8C34FF" w14:textId="11931DCC" w:rsidR="00665EED" w:rsidRPr="001A2A05" w:rsidRDefault="00665EED" w:rsidP="001A2A05">
      <w:pPr>
        <w:pStyle w:val="DHHSbody"/>
      </w:pPr>
      <w:r w:rsidRPr="0064536D">
        <w:rPr>
          <w:rFonts w:cs="Arial"/>
        </w:rPr>
        <w:t xml:space="preserve">Commentary: </w:t>
      </w:r>
      <w:r w:rsidR="006A5AD6">
        <w:t>Figure</w:t>
      </w:r>
      <w:r>
        <w:t xml:space="preserve"> 9.2 shows a pattern of improvement that was evident in the use of two or more sun protective behaviours to reduce exposure to UV radiation over both time periods for Victorian adults. Respondents with highly/moderately sensitive skin more commonly reported using two or more sun protective behaviours in both survey </w:t>
      </w:r>
      <w:r>
        <w:lastRenderedPageBreak/>
        <w:t>years than respondents with skin that is not sensitive. However, there were improvements in use of two or more sun protective behaviours among all demographic groups. This increase in the use of multiple sun-protective behaviours when outdoors suggests that Victorian adults are generally adopting more sun protective measures, while the increase in sunburn prevalence indicates the choice of sun protection (an over-reliance on sunscreen</w:t>
      </w:r>
      <w:r>
        <w:rPr>
          <w:rStyle w:val="FootnoteReference"/>
        </w:rPr>
        <w:footnoteReference w:id="95"/>
      </w:r>
      <w:r>
        <w:t>) is not providing sufficient protection from UV</w:t>
      </w:r>
      <w:r w:rsidR="00A05CCA">
        <w:t xml:space="preserve"> radiation</w:t>
      </w:r>
      <w:r>
        <w:t xml:space="preserve">. </w:t>
      </w:r>
      <w:r w:rsidRPr="004E19C6">
        <w:t>The increase in sun protection may</w:t>
      </w:r>
      <w:r w:rsidR="00B40166">
        <w:t>,</w:t>
      </w:r>
      <w:r w:rsidRPr="004E19C6">
        <w:t xml:space="preserve"> however</w:t>
      </w:r>
      <w:r w:rsidR="00B40166">
        <w:t>,</w:t>
      </w:r>
      <w:r w:rsidRPr="004E19C6">
        <w:t xml:space="preserve"> indicate the benefits of implementing state</w:t>
      </w:r>
      <w:r w:rsidR="002B0958">
        <w:t>-</w:t>
      </w:r>
      <w:r w:rsidRPr="004E19C6">
        <w:t>funded campaigns (such as globally recognised SunSmart</w:t>
      </w:r>
      <w:r w:rsidRPr="004E19C6">
        <w:rPr>
          <w:rStyle w:val="FootnoteReference"/>
        </w:rPr>
        <w:footnoteReference w:id="96"/>
      </w:r>
      <w:r w:rsidRPr="004E19C6">
        <w:t xml:space="preserve"> – one of </w:t>
      </w:r>
      <w:r w:rsidRPr="004E19C6">
        <w:rPr>
          <w:lang w:val="en"/>
        </w:rPr>
        <w:t>Victoria’s longest running and most successful skin cancer prevention programs</w:t>
      </w:r>
      <w:r>
        <w:rPr>
          <w:rStyle w:val="FootnoteReference"/>
          <w:lang w:val="en"/>
        </w:rPr>
        <w:footnoteReference w:id="97"/>
      </w:r>
      <w:r w:rsidRPr="004E19C6">
        <w:rPr>
          <w:lang w:val="en"/>
        </w:rPr>
        <w:t xml:space="preserve">) and the implementation of government policy articulated in the </w:t>
      </w:r>
      <w:r w:rsidRPr="004E19C6">
        <w:rPr>
          <w:i/>
          <w:lang w:val="en"/>
        </w:rPr>
        <w:t xml:space="preserve">Skin </w:t>
      </w:r>
      <w:r w:rsidR="00CA2AD7">
        <w:rPr>
          <w:i/>
          <w:lang w:val="en"/>
        </w:rPr>
        <w:t>c</w:t>
      </w:r>
      <w:r w:rsidRPr="004E19C6">
        <w:rPr>
          <w:i/>
          <w:lang w:val="en"/>
        </w:rPr>
        <w:t xml:space="preserve">ancer </w:t>
      </w:r>
      <w:r w:rsidR="00CA2AD7">
        <w:rPr>
          <w:i/>
          <w:lang w:val="en"/>
        </w:rPr>
        <w:t>p</w:t>
      </w:r>
      <w:r w:rsidRPr="004E19C6">
        <w:rPr>
          <w:i/>
          <w:lang w:val="en"/>
        </w:rPr>
        <w:t xml:space="preserve">revention </w:t>
      </w:r>
      <w:r w:rsidR="00CA2AD7">
        <w:rPr>
          <w:i/>
          <w:lang w:val="en"/>
        </w:rPr>
        <w:t>f</w:t>
      </w:r>
      <w:r w:rsidRPr="004E19C6">
        <w:rPr>
          <w:i/>
          <w:lang w:val="en"/>
        </w:rPr>
        <w:t>ramework 2013</w:t>
      </w:r>
      <w:r w:rsidR="00CA2AD7">
        <w:rPr>
          <w:i/>
          <w:lang w:val="en"/>
        </w:rPr>
        <w:t>–</w:t>
      </w:r>
      <w:r w:rsidRPr="004E19C6">
        <w:rPr>
          <w:i/>
          <w:lang w:val="en"/>
        </w:rPr>
        <w:t>17</w:t>
      </w:r>
      <w:r w:rsidRPr="004E19C6">
        <w:rPr>
          <w:lang w:val="en"/>
        </w:rPr>
        <w:t>.</w:t>
      </w:r>
      <w:r w:rsidRPr="004E19C6">
        <w:rPr>
          <w:rStyle w:val="FootnoteReference"/>
          <w:lang w:val="en"/>
        </w:rPr>
        <w:footnoteReference w:id="98"/>
      </w:r>
      <w:r w:rsidRPr="004E19C6">
        <w:rPr>
          <w:lang w:val="en"/>
        </w:rPr>
        <w:t xml:space="preserve"> </w:t>
      </w:r>
      <w:r>
        <w:rPr>
          <w:lang w:eastAsia="en-AU"/>
        </w:rPr>
        <w:br w:type="page"/>
      </w:r>
    </w:p>
    <w:p w14:paraId="0E797AB0" w14:textId="75A0D4A8" w:rsidR="000C78CC" w:rsidRPr="005F0940" w:rsidRDefault="000C78CC" w:rsidP="006053E7">
      <w:pPr>
        <w:pStyle w:val="Heading2"/>
      </w:pPr>
      <w:bookmarkStart w:id="541" w:name="_Toc1666534"/>
      <w:bookmarkStart w:id="542" w:name="_Toc19008092"/>
      <w:bookmarkStart w:id="543" w:name="_Toc33457073"/>
      <w:r w:rsidRPr="005F0940">
        <w:lastRenderedPageBreak/>
        <w:t xml:space="preserve">Key result: Decrease HPV and viral hepatitis </w:t>
      </w:r>
      <w:r w:rsidRPr="008D225A">
        <w:t>impact</w:t>
      </w:r>
      <w:bookmarkEnd w:id="541"/>
      <w:bookmarkEnd w:id="542"/>
      <w:bookmarkEnd w:id="543"/>
    </w:p>
    <w:p w14:paraId="656459CC" w14:textId="6178F190" w:rsidR="000C78CC" w:rsidRDefault="000C78CC" w:rsidP="000C78CC">
      <w:pPr>
        <w:pStyle w:val="Heading3"/>
        <w:rPr>
          <w:lang w:eastAsia="en-AU"/>
        </w:rPr>
      </w:pPr>
      <w:bookmarkStart w:id="544" w:name="_Measure_10.1_–"/>
      <w:bookmarkStart w:id="545" w:name="_Toc19008093"/>
      <w:bookmarkEnd w:id="544"/>
      <w:r>
        <w:rPr>
          <w:lang w:eastAsia="en-AU"/>
        </w:rPr>
        <w:t>Measure 10.1 – Proportion of adolescents 15 years</w:t>
      </w:r>
      <w:r>
        <w:rPr>
          <w:rStyle w:val="FootnoteReference"/>
          <w:lang w:eastAsia="en-AU"/>
        </w:rPr>
        <w:footnoteReference w:id="99"/>
      </w:r>
      <w:r>
        <w:rPr>
          <w:lang w:eastAsia="en-AU"/>
        </w:rPr>
        <w:t xml:space="preserve"> of age fully vaccinated against HPV</w:t>
      </w:r>
      <w:bookmarkEnd w:id="545"/>
    </w:p>
    <w:p w14:paraId="55D5D939" w14:textId="177D637D" w:rsidR="000C78CC" w:rsidRPr="004661A9" w:rsidRDefault="000C78CC" w:rsidP="00867A76">
      <w:pPr>
        <w:pStyle w:val="DHHSfigurecaption"/>
      </w:pPr>
      <w:bookmarkStart w:id="546" w:name="_Toc19008094"/>
      <w:bookmarkStart w:id="547" w:name="_Toc19008324"/>
      <w:bookmarkStart w:id="548" w:name="_Toc19008471"/>
      <w:bookmarkStart w:id="549" w:name="_Toc19008618"/>
      <w:bookmarkStart w:id="550" w:name="_Toc27414326"/>
      <w:r w:rsidRPr="004661A9">
        <w:t>Figure 10.1</w:t>
      </w:r>
      <w:r w:rsidR="00CA2AD7">
        <w:t>:</w:t>
      </w:r>
      <w:r w:rsidRPr="004661A9">
        <w:t xml:space="preserve"> HPV </w:t>
      </w:r>
      <w:r>
        <w:t>three-</w:t>
      </w:r>
      <w:r w:rsidRPr="004661A9">
        <w:t>dose vaccination coverage for all females tur</w:t>
      </w:r>
      <w:r>
        <w:t>n</w:t>
      </w:r>
      <w:r w:rsidRPr="004661A9">
        <w:t>ing 15 years of age</w:t>
      </w:r>
      <w:r w:rsidR="003E7BB3">
        <w:t>,</w:t>
      </w:r>
      <w:r>
        <w:t xml:space="preserve"> by </w:t>
      </w:r>
      <w:r w:rsidR="003E7BB3">
        <w:t>s</w:t>
      </w:r>
      <w:r>
        <w:t>tate/territory and year</w:t>
      </w:r>
      <w:r w:rsidRPr="004661A9">
        <w:t>, 2013</w:t>
      </w:r>
      <w:r w:rsidR="00CA2AD7">
        <w:t>–</w:t>
      </w:r>
      <w:r>
        <w:t>20</w:t>
      </w:r>
      <w:r w:rsidRPr="004661A9">
        <w:t>17</w:t>
      </w:r>
      <w:bookmarkEnd w:id="546"/>
      <w:bookmarkEnd w:id="547"/>
      <w:bookmarkEnd w:id="548"/>
      <w:bookmarkEnd w:id="549"/>
      <w:bookmarkEnd w:id="550"/>
    </w:p>
    <w:p w14:paraId="07FB520D" w14:textId="5FB67211" w:rsidR="000C78CC" w:rsidRDefault="006E11F0" w:rsidP="006E11F0">
      <w:pPr>
        <w:pStyle w:val="DHHSbody"/>
        <w:ind w:hanging="284"/>
        <w:rPr>
          <w:lang w:eastAsia="en-AU"/>
        </w:rPr>
      </w:pPr>
      <w:r>
        <w:rPr>
          <w:noProof/>
          <w:lang w:eastAsia="en-AU"/>
        </w:rPr>
        <w:drawing>
          <wp:inline distT="0" distB="0" distL="0" distR="0" wp14:anchorId="51A2387A" wp14:editId="4C359F10">
            <wp:extent cx="6724650" cy="2981325"/>
            <wp:effectExtent l="0" t="0" r="0" b="9525"/>
            <wp:docPr id="369" name="Picture 369" descr="This figure provides a summary of Measure 10.1 - Proportion of adolescents 15 years of age fully vaccinated against HPV' for females only for the study period 2013 to 2017.  The data by state-territory (including Victoria) is set out in a table directly below Fig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724650" cy="2981325"/>
                    </a:xfrm>
                    <a:prstGeom prst="rect">
                      <a:avLst/>
                    </a:prstGeom>
                    <a:noFill/>
                  </pic:spPr>
                </pic:pic>
              </a:graphicData>
            </a:graphic>
          </wp:inline>
        </w:drawing>
      </w:r>
    </w:p>
    <w:p w14:paraId="1AF65A0C" w14:textId="2CD7F9F8" w:rsidR="000C78CC" w:rsidRDefault="000C78CC" w:rsidP="008D225A">
      <w:pPr>
        <w:pStyle w:val="DHHStablefigurenote"/>
      </w:pPr>
      <w:r>
        <w:t>S</w:t>
      </w:r>
      <w:r w:rsidRPr="008F1446">
        <w:t>ource: National HPV Vaccination Program Register (</w:t>
      </w:r>
      <w:r w:rsidR="003E7BB3">
        <w:t xml:space="preserve">Available from: </w:t>
      </w:r>
      <w:r w:rsidRPr="008F1446">
        <w:t>http://www.hpvregister.org.au/research)</w:t>
      </w:r>
      <w:r w:rsidR="00952FC7">
        <w:t xml:space="preserve"> </w:t>
      </w:r>
    </w:p>
    <w:p w14:paraId="62FA822B" w14:textId="3C880183" w:rsidR="000C78CC" w:rsidRPr="002A3DC1" w:rsidRDefault="000C78CC" w:rsidP="00D34318">
      <w:pPr>
        <w:pStyle w:val="DHHStablefigurenote"/>
        <w:rPr>
          <w:lang w:val="en"/>
        </w:rPr>
      </w:pPr>
      <w:r w:rsidRPr="008F1446">
        <w:rPr>
          <w:lang w:eastAsia="en-AU"/>
        </w:rPr>
        <w:t xml:space="preserve">Note that </w:t>
      </w:r>
      <w:r w:rsidRPr="008F1446">
        <w:rPr>
          <w:lang w:val="en"/>
        </w:rPr>
        <w:t>from 1 November 2018, the National HPV Vaccination Program Register</w:t>
      </w:r>
      <w:r w:rsidR="003E7BB3">
        <w:rPr>
          <w:lang w:val="en"/>
        </w:rPr>
        <w:t xml:space="preserve"> </w:t>
      </w:r>
      <w:r w:rsidRPr="008F1446">
        <w:rPr>
          <w:lang w:val="en"/>
        </w:rPr>
        <w:t xml:space="preserve">ceased accepting HPV vaccination records. Vaccination providers </w:t>
      </w:r>
      <w:r w:rsidR="00D25427">
        <w:rPr>
          <w:lang w:val="en"/>
        </w:rPr>
        <w:t xml:space="preserve">are </w:t>
      </w:r>
      <w:r w:rsidRPr="008F1446">
        <w:rPr>
          <w:lang w:val="en"/>
        </w:rPr>
        <w:t xml:space="preserve">now </w:t>
      </w:r>
      <w:r w:rsidR="00D25427">
        <w:rPr>
          <w:lang w:val="en"/>
        </w:rPr>
        <w:t xml:space="preserve">requested to </w:t>
      </w:r>
      <w:r w:rsidRPr="008F1446">
        <w:rPr>
          <w:lang w:val="en"/>
        </w:rPr>
        <w:t>submit HPV vaccination records to the Australian Immunisation Register, operated by the Commonwealth Department of Human Services.</w:t>
      </w:r>
    </w:p>
    <w:p w14:paraId="3F60992B" w14:textId="3A2EB4B9" w:rsidR="000C78CC" w:rsidRPr="004E6408" w:rsidRDefault="000C78CC" w:rsidP="00867A76">
      <w:pPr>
        <w:pStyle w:val="DHHSfigurecaption"/>
        <w:rPr>
          <w:lang w:val="en"/>
        </w:rPr>
      </w:pPr>
      <w:bookmarkStart w:id="551" w:name="_Toc19008095"/>
      <w:bookmarkStart w:id="552" w:name="_Toc19008325"/>
      <w:bookmarkStart w:id="553" w:name="_Toc19008472"/>
      <w:bookmarkStart w:id="554" w:name="_Toc19008619"/>
      <w:bookmarkStart w:id="555" w:name="_Toc27414327"/>
      <w:r w:rsidRPr="002A3DC1">
        <w:rPr>
          <w:lang w:val="en"/>
        </w:rPr>
        <w:t>Figure 10.1.1</w:t>
      </w:r>
      <w:r w:rsidR="00CA2AD7">
        <w:rPr>
          <w:lang w:val="en"/>
        </w:rPr>
        <w:t>:</w:t>
      </w:r>
      <w:r>
        <w:rPr>
          <w:lang w:val="en"/>
        </w:rPr>
        <w:t xml:space="preserve"> </w:t>
      </w:r>
      <w:r w:rsidRPr="002A3DC1">
        <w:rPr>
          <w:lang w:val="en"/>
        </w:rPr>
        <w:t>HPV dose vaccination coverage for all males turning 15 years of age</w:t>
      </w:r>
      <w:r w:rsidR="003E7BB3">
        <w:rPr>
          <w:lang w:val="en"/>
        </w:rPr>
        <w:t>,</w:t>
      </w:r>
      <w:r w:rsidRPr="002A3DC1">
        <w:rPr>
          <w:lang w:val="en"/>
        </w:rPr>
        <w:t xml:space="preserve"> by </w:t>
      </w:r>
      <w:r w:rsidR="00CA2AD7">
        <w:rPr>
          <w:lang w:val="en"/>
        </w:rPr>
        <w:t>s</w:t>
      </w:r>
      <w:r w:rsidRPr="002A3DC1">
        <w:rPr>
          <w:lang w:val="en"/>
        </w:rPr>
        <w:t>tate/territory and year, 2013</w:t>
      </w:r>
      <w:r w:rsidR="00CA2AD7">
        <w:rPr>
          <w:lang w:val="en"/>
        </w:rPr>
        <w:t>–</w:t>
      </w:r>
      <w:r w:rsidRPr="002A3DC1">
        <w:rPr>
          <w:lang w:val="en"/>
        </w:rPr>
        <w:t>2017</w:t>
      </w:r>
      <w:bookmarkEnd w:id="551"/>
      <w:bookmarkEnd w:id="552"/>
      <w:bookmarkEnd w:id="553"/>
      <w:bookmarkEnd w:id="554"/>
      <w:bookmarkEnd w:id="555"/>
    </w:p>
    <w:p w14:paraId="50FBC7C9" w14:textId="121897CA" w:rsidR="004E14BB" w:rsidRDefault="006E11F0" w:rsidP="000C78CC">
      <w:pPr>
        <w:pStyle w:val="DHHSbody"/>
        <w:rPr>
          <w:i/>
          <w:sz w:val="16"/>
          <w:szCs w:val="16"/>
          <w:lang w:eastAsia="en-AU"/>
        </w:rPr>
      </w:pPr>
      <w:r>
        <w:rPr>
          <w:i/>
          <w:noProof/>
          <w:sz w:val="16"/>
          <w:szCs w:val="16"/>
          <w:lang w:eastAsia="en-AU"/>
        </w:rPr>
        <w:drawing>
          <wp:inline distT="0" distB="0" distL="0" distR="0" wp14:anchorId="4E6819DA" wp14:editId="08863AAB">
            <wp:extent cx="6718300" cy="2792095"/>
            <wp:effectExtent l="0" t="0" r="6350" b="8255"/>
            <wp:docPr id="375" name="Picture 375" descr="This figure provides a summary of Measure 10.1 - Proportion of adolescents 15 years of age fully vaccinated against HPV' for males only for the study period 2013 to 2017.  The data by state-territory (including Victoria) is set out in a table directly below Fig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718300" cy="2792095"/>
                    </a:xfrm>
                    <a:prstGeom prst="rect">
                      <a:avLst/>
                    </a:prstGeom>
                    <a:noFill/>
                  </pic:spPr>
                </pic:pic>
              </a:graphicData>
            </a:graphic>
          </wp:inline>
        </w:drawing>
      </w:r>
    </w:p>
    <w:p w14:paraId="77E0CF86" w14:textId="704638BE" w:rsidR="000C78CC" w:rsidRPr="004E14BB" w:rsidRDefault="000C78CC" w:rsidP="00660649">
      <w:pPr>
        <w:pStyle w:val="DHHStablefigurenote"/>
        <w:rPr>
          <w:lang w:val="en"/>
        </w:rPr>
      </w:pPr>
      <w:r w:rsidRPr="004E14BB">
        <w:t>Source: National HPV Vaccination Program Register</w:t>
      </w:r>
      <w:r w:rsidR="00587492" w:rsidRPr="004E14BB">
        <w:t xml:space="preserve">. </w:t>
      </w:r>
      <w:r w:rsidR="003E7BB3" w:rsidRPr="004E14BB">
        <w:t>(</w:t>
      </w:r>
      <w:r w:rsidR="00587492" w:rsidRPr="004E14BB">
        <w:t xml:space="preserve">Available from: </w:t>
      </w:r>
      <w:r w:rsidRPr="004E14BB">
        <w:t>http://www.hpvregister.org.au/research</w:t>
      </w:r>
      <w:r w:rsidR="003E7BB3" w:rsidRPr="004E14BB">
        <w:t>)</w:t>
      </w:r>
    </w:p>
    <w:p w14:paraId="06863DC5" w14:textId="77777777" w:rsidR="000C78CC" w:rsidRPr="0015028D" w:rsidRDefault="000C78CC" w:rsidP="008D225A">
      <w:pPr>
        <w:pStyle w:val="Heading4"/>
      </w:pPr>
      <w:r w:rsidRPr="00F62096">
        <w:lastRenderedPageBreak/>
        <w:t>Measure assessment</w:t>
      </w:r>
    </w:p>
    <w:p w14:paraId="3CCC7806" w14:textId="0E4560BF" w:rsidR="00EA3932" w:rsidRPr="00EA3932" w:rsidRDefault="000C78CC" w:rsidP="005609AD">
      <w:pPr>
        <w:autoSpaceDE w:val="0"/>
        <w:autoSpaceDN w:val="0"/>
        <w:adjustRightInd w:val="0"/>
        <w:spacing w:after="120" w:line="270" w:lineRule="atLeast"/>
        <w:rPr>
          <w:rFonts w:ascii="Arial" w:hAnsi="Arial" w:cs="Arial"/>
          <w:color w:val="C5511A"/>
        </w:rPr>
      </w:pPr>
      <w:r w:rsidRPr="00780B3A">
        <w:rPr>
          <w:rFonts w:ascii="Arial" w:hAnsi="Arial" w:cs="Arial"/>
        </w:rPr>
        <w:t>Traffic light rating:</w:t>
      </w:r>
      <w:r>
        <w:rPr>
          <w:rFonts w:ascii="Arial" w:hAnsi="Arial" w:cs="Arial"/>
        </w:rPr>
        <w:t xml:space="preserve"> </w:t>
      </w:r>
      <w:r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7CD10014" w14:textId="77777777" w:rsidR="000C78CC" w:rsidRPr="00780B3A" w:rsidRDefault="000C78CC" w:rsidP="005609AD">
      <w:pPr>
        <w:spacing w:after="120" w:line="270" w:lineRule="atLeast"/>
        <w:rPr>
          <w:rFonts w:ascii="Arial" w:hAnsi="Arial" w:cs="Arial"/>
        </w:rPr>
      </w:pPr>
      <w:r w:rsidRPr="00DC464E">
        <w:rPr>
          <w:rFonts w:ascii="Arial" w:hAnsi="Arial" w:cs="Arial"/>
        </w:rPr>
        <w:t>Overall trend: Moving in the right direction</w:t>
      </w:r>
    </w:p>
    <w:p w14:paraId="78FCE7A3" w14:textId="369F87DE" w:rsidR="000C78CC" w:rsidRDefault="000C78CC" w:rsidP="005609AD">
      <w:pPr>
        <w:pStyle w:val="DHHSbody"/>
      </w:pPr>
      <w:r w:rsidRPr="00780B3A">
        <w:t xml:space="preserve">Commentary: </w:t>
      </w:r>
      <w:r>
        <w:t xml:space="preserve">HPV </w:t>
      </w:r>
      <w:r w:rsidRPr="00D77EF4">
        <w:t>is highly contagious and most commonly transmitted through sexual contact.</w:t>
      </w:r>
      <w:r>
        <w:t xml:space="preserve"> More than 150 types of the virus exist, and it is estimated that four out of five people will have </w:t>
      </w:r>
      <w:r w:rsidR="00501CC1">
        <w:t>HPV</w:t>
      </w:r>
      <w:r>
        <w:t xml:space="preserve"> infection at some point in their lives.</w:t>
      </w:r>
    </w:p>
    <w:p w14:paraId="194F5978" w14:textId="11604E10" w:rsidR="000C78CC" w:rsidRPr="00D77EF4" w:rsidRDefault="000C78CC" w:rsidP="005609AD">
      <w:pPr>
        <w:pStyle w:val="DHHSbody"/>
      </w:pPr>
      <w:r w:rsidRPr="00FB6519">
        <w:t>In Australia</w:t>
      </w:r>
      <w:r>
        <w:t>,</w:t>
      </w:r>
      <w:r w:rsidRPr="00FB6519">
        <w:t xml:space="preserve"> all girls aged 12</w:t>
      </w:r>
      <w:r w:rsidR="003E7BB3">
        <w:t>–</w:t>
      </w:r>
      <w:r w:rsidRPr="00FB6519">
        <w:t>13 years have been routinely offered three doses of</w:t>
      </w:r>
      <w:r>
        <w:t xml:space="preserve"> HPV </w:t>
      </w:r>
      <w:r w:rsidRPr="00FB6519">
        <w:t>vaccination since 2007, as have boys of the same age since 2013</w:t>
      </w:r>
      <w:r>
        <w:t>. For this reason, 2013 was set as the baseline year for this measure.</w:t>
      </w:r>
    </w:p>
    <w:p w14:paraId="142810CF" w14:textId="0F714F54" w:rsidR="000C78CC" w:rsidRDefault="000C78CC">
      <w:pPr>
        <w:pStyle w:val="DHHSbody"/>
      </w:pPr>
      <w:r>
        <w:t>Nationally in 2017, 80.2 per cent of girls aged 15 years were fully immunised against HPV, an increase from 72.1 per cent in 2013. Victoria had the fourth highest coverage (79.7 per cent) of girls aged 15 years fully immunised against HPV.</w:t>
      </w:r>
      <w:r w:rsidR="00952FC7">
        <w:t xml:space="preserve"> </w:t>
      </w:r>
      <w:r>
        <w:t>This is an increase of 0.6 per cent from the previous year (79.1</w:t>
      </w:r>
      <w:r w:rsidR="00F73941">
        <w:t xml:space="preserve"> per cent</w:t>
      </w:r>
      <w:r>
        <w:t xml:space="preserve">) but less than the national average of 80.2 per cent. </w:t>
      </w:r>
    </w:p>
    <w:p w14:paraId="6019A239" w14:textId="1D02D98A" w:rsidR="000C78CC" w:rsidRDefault="000C78CC">
      <w:pPr>
        <w:pStyle w:val="DHHSbody"/>
      </w:pPr>
      <w:r>
        <w:t>In boys aged 15 years, the national coverage with three HPV vaccine doses in 2017 was 75.9 per cent, a significant increase of 46.5 per cent from 2013. In 2017, Victoria had the fourth ranked proportion of boys aged 15 years</w:t>
      </w:r>
      <w:r w:rsidR="00501CC1">
        <w:t xml:space="preserve"> </w:t>
      </w:r>
      <w:r>
        <w:t>fully immunised against HPV</w:t>
      </w:r>
      <w:r w:rsidR="00501CC1">
        <w:t>,</w:t>
      </w:r>
      <w:r>
        <w:t xml:space="preserve"> and this is above the national average of 75.9 per cent.</w:t>
      </w:r>
    </w:p>
    <w:p w14:paraId="52715A6B" w14:textId="77777777" w:rsidR="000C78CC" w:rsidRPr="008D225A" w:rsidRDefault="000C78CC" w:rsidP="000C78CC">
      <w:pPr>
        <w:pStyle w:val="DHHSbody"/>
        <w:rPr>
          <w:b/>
          <w:bCs/>
        </w:rPr>
      </w:pPr>
      <w:r w:rsidRPr="008D225A">
        <w:rPr>
          <w:b/>
          <w:bCs/>
        </w:rPr>
        <w:t xml:space="preserve">Additional information </w:t>
      </w:r>
    </w:p>
    <w:p w14:paraId="4018E1F8" w14:textId="77777777" w:rsidR="00A16D42" w:rsidRDefault="000C78CC" w:rsidP="001A2A05">
      <w:pPr>
        <w:pStyle w:val="DHHSbody"/>
        <w:rPr>
          <w:lang w:eastAsia="en-AU"/>
        </w:rPr>
      </w:pPr>
      <w:r>
        <w:t xml:space="preserve">The HPV vaccine has traditionally been a three-dose course </w:t>
      </w:r>
      <w:r w:rsidR="00501CC1">
        <w:t xml:space="preserve">that </w:t>
      </w:r>
      <w:r>
        <w:t xml:space="preserve">prevents </w:t>
      </w:r>
      <w:r w:rsidR="00501CC1">
        <w:t xml:space="preserve">the </w:t>
      </w:r>
      <w:r>
        <w:t>four types of HPV that cause approximately 80 per cent of cancers. The program is delivered in Year 7 in Victorian secondary schools by local government immunisation providers. Traditionally a reduction in vaccination coverage is observed in vaccine coverage from dose one to dose three. In 2018, a new two</w:t>
      </w:r>
      <w:r w:rsidR="00501CC1">
        <w:t>-</w:t>
      </w:r>
      <w:r>
        <w:t xml:space="preserve">dose HPV was introduced </w:t>
      </w:r>
      <w:r w:rsidR="00501CC1">
        <w:t xml:space="preserve">that </w:t>
      </w:r>
      <w:r>
        <w:t>will prevent nine types of HPV and add a further 10 per cent protection against respective cancers</w:t>
      </w:r>
      <w:r w:rsidR="00501CC1">
        <w:t>,</w:t>
      </w:r>
      <w:r>
        <w:t xml:space="preserve"> which in turn should result in an increase in fully vaccinated coverages rates.</w:t>
      </w:r>
    </w:p>
    <w:p w14:paraId="77347C5C" w14:textId="77777777" w:rsidR="00A16D42" w:rsidRDefault="00A16D42">
      <w:pPr>
        <w:rPr>
          <w:rFonts w:ascii="Arial" w:eastAsia="Times" w:hAnsi="Arial"/>
        </w:rPr>
      </w:pPr>
      <w:r>
        <w:br w:type="page"/>
      </w:r>
    </w:p>
    <w:p w14:paraId="50B1E41F" w14:textId="15A1B1F3" w:rsidR="000C78CC" w:rsidRPr="00A16D42" w:rsidRDefault="000C78CC" w:rsidP="00A16D42">
      <w:pPr>
        <w:pStyle w:val="Heading3"/>
        <w:rPr>
          <w:rStyle w:val="Heading3Char"/>
          <w:b/>
          <w:bCs/>
        </w:rPr>
      </w:pPr>
      <w:bookmarkStart w:id="556" w:name="_Measure_10.2_–"/>
      <w:bookmarkEnd w:id="556"/>
      <w:r w:rsidRPr="00A16D42">
        <w:rPr>
          <w:rStyle w:val="Heading3Char"/>
          <w:b/>
          <w:bCs/>
        </w:rPr>
        <w:lastRenderedPageBreak/>
        <w:t>Measure 10.2 – Notification rate of unspecified hepatitis B</w:t>
      </w:r>
    </w:p>
    <w:p w14:paraId="53895FC3" w14:textId="01A613EB" w:rsidR="000C78CC" w:rsidRDefault="000C78CC" w:rsidP="00867A76">
      <w:pPr>
        <w:pStyle w:val="DHHSfigurecaption"/>
      </w:pPr>
      <w:bookmarkStart w:id="557" w:name="_Toc19008096"/>
      <w:bookmarkStart w:id="558" w:name="_Toc19008326"/>
      <w:bookmarkStart w:id="559" w:name="_Toc19008473"/>
      <w:bookmarkStart w:id="560" w:name="_Toc19008620"/>
      <w:bookmarkStart w:id="561" w:name="_Toc27414328"/>
      <w:r w:rsidRPr="00E80ECE">
        <w:t>Figure 10.2</w:t>
      </w:r>
      <w:r w:rsidR="00CA2AD7">
        <w:t>:</w:t>
      </w:r>
      <w:r w:rsidRPr="00E80ECE">
        <w:t xml:space="preserve"> Notification </w:t>
      </w:r>
      <w:r>
        <w:t xml:space="preserve">rate </w:t>
      </w:r>
      <w:r w:rsidR="00570418">
        <w:t xml:space="preserve">per 100,000 population </w:t>
      </w:r>
      <w:r w:rsidRPr="00E80ECE">
        <w:t xml:space="preserve">of unspecified </w:t>
      </w:r>
      <w:r w:rsidR="00A65297">
        <w:t>HBV</w:t>
      </w:r>
      <w:r w:rsidR="00501CC1">
        <w:t>,</w:t>
      </w:r>
      <w:r w:rsidRPr="00E80ECE">
        <w:t xml:space="preserve"> by state/territory</w:t>
      </w:r>
      <w:r>
        <w:t xml:space="preserve"> and year</w:t>
      </w:r>
      <w:r w:rsidRPr="00E80ECE">
        <w:t>, 2014</w:t>
      </w:r>
      <w:r w:rsidR="00CA2AD7">
        <w:t>–</w:t>
      </w:r>
      <w:r w:rsidRPr="00E80ECE">
        <w:t>201</w:t>
      </w:r>
      <w:r w:rsidR="005036B1">
        <w:t>8</w:t>
      </w:r>
      <w:bookmarkEnd w:id="557"/>
      <w:bookmarkEnd w:id="558"/>
      <w:bookmarkEnd w:id="559"/>
      <w:bookmarkEnd w:id="560"/>
      <w:bookmarkEnd w:id="561"/>
    </w:p>
    <w:p w14:paraId="582BA843" w14:textId="1B25EACC" w:rsidR="000C78CC" w:rsidRPr="006C5B0E" w:rsidRDefault="006E11F0" w:rsidP="006C5B0E">
      <w:pPr>
        <w:pStyle w:val="DHHSbody"/>
        <w:rPr>
          <w:b/>
          <w:lang w:eastAsia="en-AU"/>
        </w:rPr>
      </w:pPr>
      <w:r>
        <w:rPr>
          <w:b/>
          <w:noProof/>
          <w:lang w:eastAsia="en-AU"/>
        </w:rPr>
        <w:drawing>
          <wp:inline distT="0" distB="0" distL="0" distR="0" wp14:anchorId="0E122F25" wp14:editId="0E340AB3">
            <wp:extent cx="6389370" cy="3987165"/>
            <wp:effectExtent l="0" t="0" r="0" b="0"/>
            <wp:docPr id="378" name="Picture 378" descr="This figure provides a summary of Measure 10.2 - Notification rate of unspecified hepatitis B'. The data by state-territory (including Victoria) for the study period 2014 to 2018, is set out in a table directly below Fig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89370" cy="3987165"/>
                    </a:xfrm>
                    <a:prstGeom prst="rect">
                      <a:avLst/>
                    </a:prstGeom>
                    <a:noFill/>
                  </pic:spPr>
                </pic:pic>
              </a:graphicData>
            </a:graphic>
          </wp:inline>
        </w:drawing>
      </w:r>
    </w:p>
    <w:p w14:paraId="1DE2E5D0" w14:textId="05D0F401" w:rsidR="000C78CC" w:rsidRPr="0083419B" w:rsidRDefault="0083419B" w:rsidP="00660649">
      <w:pPr>
        <w:pStyle w:val="DHHStablefigurenote"/>
      </w:pPr>
      <w:r w:rsidRPr="0083419B">
        <w:t>Source: National Notifiable Disease Surveillance System (accessed date: 28 August 2019)</w:t>
      </w:r>
    </w:p>
    <w:p w14:paraId="24971D61" w14:textId="2D4FDCE9" w:rsidR="000C78CC" w:rsidRDefault="000C78CC" w:rsidP="00867A76">
      <w:pPr>
        <w:pStyle w:val="DHHSfigurecaption"/>
      </w:pPr>
      <w:bookmarkStart w:id="562" w:name="_Toc19008097"/>
      <w:bookmarkStart w:id="563" w:name="_Toc19008327"/>
      <w:bookmarkStart w:id="564" w:name="_Toc19008474"/>
      <w:bookmarkStart w:id="565" w:name="_Toc19008621"/>
      <w:bookmarkStart w:id="566" w:name="_Toc27414329"/>
      <w:r w:rsidRPr="00A22D57">
        <w:t>Figure 10.2.1</w:t>
      </w:r>
      <w:r w:rsidR="00CA2AD7">
        <w:t>:</w:t>
      </w:r>
      <w:r w:rsidRPr="00A22D57">
        <w:t xml:space="preserve"> </w:t>
      </w:r>
      <w:r>
        <w:t>N</w:t>
      </w:r>
      <w:r w:rsidRPr="00A22D57">
        <w:t>otification</w:t>
      </w:r>
      <w:r>
        <w:t xml:space="preserve"> rate</w:t>
      </w:r>
      <w:r w:rsidRPr="00A22D57">
        <w:t xml:space="preserve"> </w:t>
      </w:r>
      <w:r w:rsidR="00570418">
        <w:t xml:space="preserve">per 100,000 population </w:t>
      </w:r>
      <w:r w:rsidRPr="00A22D57">
        <w:t xml:space="preserve">of unspecified </w:t>
      </w:r>
      <w:r w:rsidR="00A65297">
        <w:t>HBV</w:t>
      </w:r>
      <w:r w:rsidR="00501CC1">
        <w:t>,</w:t>
      </w:r>
      <w:r w:rsidRPr="00A22D57">
        <w:t xml:space="preserve"> by sex</w:t>
      </w:r>
      <w:r>
        <w:t xml:space="preserve"> and year, Victoria, 2014</w:t>
      </w:r>
      <w:r w:rsidR="00CA2AD7">
        <w:t>–</w:t>
      </w:r>
      <w:r>
        <w:t>201</w:t>
      </w:r>
      <w:r w:rsidR="00391CC3">
        <w:t>8</w:t>
      </w:r>
      <w:bookmarkEnd w:id="562"/>
      <w:bookmarkEnd w:id="563"/>
      <w:bookmarkEnd w:id="564"/>
      <w:bookmarkEnd w:id="565"/>
      <w:bookmarkEnd w:id="566"/>
    </w:p>
    <w:p w14:paraId="544ECA49" w14:textId="7C61C61B" w:rsidR="000C78CC" w:rsidRPr="005036B1" w:rsidRDefault="006E11F0" w:rsidP="005036B1">
      <w:pPr>
        <w:spacing w:after="120" w:line="270" w:lineRule="atLeast"/>
        <w:rPr>
          <w:rFonts w:ascii="Arial" w:hAnsi="Arial" w:cs="Arial"/>
          <w:b/>
        </w:rPr>
      </w:pPr>
      <w:r>
        <w:rPr>
          <w:rFonts w:ascii="Arial" w:hAnsi="Arial" w:cs="Arial"/>
          <w:b/>
          <w:noProof/>
        </w:rPr>
        <w:drawing>
          <wp:inline distT="0" distB="0" distL="0" distR="0" wp14:anchorId="6A77515B" wp14:editId="5FB22AD7">
            <wp:extent cx="6724650" cy="3133725"/>
            <wp:effectExtent l="0" t="0" r="0" b="9525"/>
            <wp:docPr id="481" name="Picture 481" descr="This figure provides a summary of Measure 10.2 - Notification rate of unspecified hepatitis B'. The data specific to Victoria for the study period 2014 to 2018 and by sex, is included Figure 10.2.1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724650" cy="3133725"/>
                    </a:xfrm>
                    <a:prstGeom prst="rect">
                      <a:avLst/>
                    </a:prstGeom>
                    <a:noFill/>
                  </pic:spPr>
                </pic:pic>
              </a:graphicData>
            </a:graphic>
          </wp:inline>
        </w:drawing>
      </w:r>
    </w:p>
    <w:p w14:paraId="6DB32743" w14:textId="3E97A365" w:rsidR="000C78CC" w:rsidRDefault="000C78CC" w:rsidP="00037BA4">
      <w:pPr>
        <w:pStyle w:val="DHHSfigurecaption"/>
        <w:rPr>
          <w:noProof/>
        </w:rPr>
      </w:pPr>
      <w:bookmarkStart w:id="567" w:name="_Toc19008098"/>
      <w:bookmarkStart w:id="568" w:name="_Toc19008328"/>
      <w:bookmarkStart w:id="569" w:name="_Toc19008475"/>
      <w:bookmarkStart w:id="570" w:name="_Toc19008622"/>
      <w:bookmarkStart w:id="571" w:name="_Toc27414330"/>
      <w:r>
        <w:rPr>
          <w:noProof/>
        </w:rPr>
        <w:lastRenderedPageBreak/>
        <w:t>Figure 10.2.2</w:t>
      </w:r>
      <w:r w:rsidR="00CA2AD7">
        <w:rPr>
          <w:noProof/>
        </w:rPr>
        <w:t>:</w:t>
      </w:r>
      <w:r>
        <w:rPr>
          <w:noProof/>
        </w:rPr>
        <w:t xml:space="preserve"> Notification rate </w:t>
      </w:r>
      <w:r w:rsidR="00570418">
        <w:rPr>
          <w:noProof/>
        </w:rPr>
        <w:t xml:space="preserve">per 100,000 population </w:t>
      </w:r>
      <w:r>
        <w:rPr>
          <w:noProof/>
        </w:rPr>
        <w:t xml:space="preserve">of unspecified </w:t>
      </w:r>
      <w:r w:rsidR="00A65297">
        <w:rPr>
          <w:noProof/>
        </w:rPr>
        <w:t>HBV</w:t>
      </w:r>
      <w:r w:rsidR="00501CC1">
        <w:rPr>
          <w:noProof/>
        </w:rPr>
        <w:t>,</w:t>
      </w:r>
      <w:r>
        <w:rPr>
          <w:noProof/>
        </w:rPr>
        <w:t xml:space="preserve"> by age group and year, Victoria, 2014</w:t>
      </w:r>
      <w:r w:rsidR="00CA2AD7">
        <w:rPr>
          <w:noProof/>
        </w:rPr>
        <w:t>–</w:t>
      </w:r>
      <w:r>
        <w:rPr>
          <w:noProof/>
        </w:rPr>
        <w:t>201</w:t>
      </w:r>
      <w:r w:rsidR="00D15170">
        <w:rPr>
          <w:noProof/>
        </w:rPr>
        <w:t>8</w:t>
      </w:r>
      <w:bookmarkEnd w:id="567"/>
      <w:bookmarkEnd w:id="568"/>
      <w:bookmarkEnd w:id="569"/>
      <w:bookmarkEnd w:id="570"/>
      <w:bookmarkEnd w:id="571"/>
    </w:p>
    <w:p w14:paraId="7E3BEF42" w14:textId="4DB71397" w:rsidR="00F32C83" w:rsidRPr="00F32C83" w:rsidRDefault="006E11F0" w:rsidP="000C78CC">
      <w:pPr>
        <w:pStyle w:val="DHHSbody"/>
      </w:pPr>
      <w:r>
        <w:rPr>
          <w:noProof/>
        </w:rPr>
        <w:drawing>
          <wp:inline distT="0" distB="0" distL="0" distR="0" wp14:anchorId="47B945F9" wp14:editId="5150ABCE">
            <wp:extent cx="6724650" cy="4023995"/>
            <wp:effectExtent l="0" t="0" r="0" b="0"/>
            <wp:docPr id="482" name="Picture 482" descr="This figure provides a summary of Measure 10.2 - Notification rate of unspecified hepatitis B'. The data by age group for the study period 2014 to 2018, is set out in a table directly below Fig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724650" cy="4023995"/>
                    </a:xfrm>
                    <a:prstGeom prst="rect">
                      <a:avLst/>
                    </a:prstGeom>
                    <a:noFill/>
                  </pic:spPr>
                </pic:pic>
              </a:graphicData>
            </a:graphic>
          </wp:inline>
        </w:drawing>
      </w:r>
    </w:p>
    <w:p w14:paraId="08830841" w14:textId="460D7538" w:rsidR="00414B65" w:rsidRPr="00F32C83" w:rsidRDefault="000C78CC" w:rsidP="00660649">
      <w:pPr>
        <w:pStyle w:val="DHHStablefigurenote"/>
      </w:pPr>
      <w:r w:rsidRPr="00CE7DC1">
        <w:t xml:space="preserve">Note: </w:t>
      </w:r>
      <w:r w:rsidR="00587492">
        <w:t>T</w:t>
      </w:r>
      <w:r w:rsidRPr="00CE7DC1">
        <w:t>his data excludes cases where age is unknown or not reported</w:t>
      </w:r>
      <w:r w:rsidR="004A3E67">
        <w:t>.</w:t>
      </w:r>
    </w:p>
    <w:p w14:paraId="39C8287F" w14:textId="0ECDD5C6" w:rsidR="000C78CC" w:rsidRPr="007647DC" w:rsidRDefault="000C78CC" w:rsidP="00867A76">
      <w:pPr>
        <w:pStyle w:val="DHHSfigurecaption"/>
      </w:pPr>
      <w:bookmarkStart w:id="572" w:name="_Toc19008099"/>
      <w:bookmarkStart w:id="573" w:name="_Toc19008329"/>
      <w:bookmarkStart w:id="574" w:name="_Toc19008476"/>
      <w:bookmarkStart w:id="575" w:name="_Toc19008623"/>
      <w:bookmarkStart w:id="576" w:name="_Toc27414331"/>
      <w:r w:rsidRPr="00D17952">
        <w:t>Figure 10.2.</w:t>
      </w:r>
      <w:r>
        <w:t>3</w:t>
      </w:r>
      <w:r w:rsidR="00CA2AD7">
        <w:t>:</w:t>
      </w:r>
      <w:r w:rsidRPr="00D17952">
        <w:t xml:space="preserve"> Notification rate </w:t>
      </w:r>
      <w:r w:rsidR="00570418">
        <w:t xml:space="preserve">per 100,000 population </w:t>
      </w:r>
      <w:r w:rsidRPr="00D17952">
        <w:t xml:space="preserve">of unspecified </w:t>
      </w:r>
      <w:r w:rsidR="00A65297">
        <w:t>HBV</w:t>
      </w:r>
      <w:r w:rsidR="00501CC1">
        <w:t>,</w:t>
      </w:r>
      <w:r w:rsidRPr="00D17952">
        <w:t xml:space="preserve"> by </w:t>
      </w:r>
      <w:r w:rsidR="008439C8">
        <w:t>ICS</w:t>
      </w:r>
      <w:r w:rsidR="00FE01F6">
        <w:t xml:space="preserve"> and year</w:t>
      </w:r>
      <w:r w:rsidRPr="00D17952">
        <w:t>,</w:t>
      </w:r>
      <w:r>
        <w:t xml:space="preserve"> Victoria,</w:t>
      </w:r>
      <w:r w:rsidRPr="00D17952">
        <w:t xml:space="preserve"> 201</w:t>
      </w:r>
      <w:r>
        <w:t>4</w:t>
      </w:r>
      <w:r w:rsidR="00CA2AD7">
        <w:t>–</w:t>
      </w:r>
      <w:r w:rsidR="00FE01F6">
        <w:t>2018</w:t>
      </w:r>
      <w:bookmarkEnd w:id="572"/>
      <w:bookmarkEnd w:id="573"/>
      <w:bookmarkEnd w:id="574"/>
      <w:bookmarkEnd w:id="575"/>
      <w:bookmarkEnd w:id="576"/>
    </w:p>
    <w:p w14:paraId="28F71EA6" w14:textId="09626069" w:rsidR="00FE01F6" w:rsidRDefault="006E11F0" w:rsidP="003B36FE">
      <w:pPr>
        <w:pStyle w:val="DHHSbody"/>
        <w:rPr>
          <w:i/>
          <w:sz w:val="18"/>
          <w:szCs w:val="18"/>
          <w:lang w:eastAsia="en-AU"/>
        </w:rPr>
      </w:pPr>
      <w:r>
        <w:rPr>
          <w:i/>
          <w:noProof/>
          <w:sz w:val="18"/>
          <w:szCs w:val="18"/>
          <w:lang w:eastAsia="en-AU"/>
        </w:rPr>
        <w:drawing>
          <wp:inline distT="0" distB="0" distL="0" distR="0" wp14:anchorId="4699F6DD" wp14:editId="650B59CF">
            <wp:extent cx="6743065" cy="3188335"/>
            <wp:effectExtent l="0" t="0" r="635" b="0"/>
            <wp:docPr id="483" name="Picture 483" descr="This figure provides a summary of Measure 10.2 - Notification rate of unspecified hepatitis B'. The data by Integrated Cancer Service for the study period 2014 to 2018, is set out in a table directly below Fig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743065" cy="3188335"/>
                    </a:xfrm>
                    <a:prstGeom prst="rect">
                      <a:avLst/>
                    </a:prstGeom>
                    <a:noFill/>
                  </pic:spPr>
                </pic:pic>
              </a:graphicData>
            </a:graphic>
          </wp:inline>
        </w:drawing>
      </w:r>
    </w:p>
    <w:p w14:paraId="60437E7C" w14:textId="53086A38" w:rsidR="000C78CC" w:rsidRPr="00FE01F6" w:rsidRDefault="000C78CC" w:rsidP="00660649">
      <w:pPr>
        <w:pStyle w:val="DHHStablefigurenote"/>
      </w:pPr>
      <w:r w:rsidRPr="001977CC">
        <w:t>Note:</w:t>
      </w:r>
      <w:r w:rsidR="00FE01F6">
        <w:t xml:space="preserve"> </w:t>
      </w:r>
      <w:r w:rsidR="00501CC1">
        <w:t>E</w:t>
      </w:r>
      <w:r w:rsidRPr="001977CC">
        <w:t>xclude</w:t>
      </w:r>
      <w:r w:rsidR="00FE01F6">
        <w:t>s</w:t>
      </w:r>
      <w:r w:rsidRPr="001977CC">
        <w:t xml:space="preserve"> cases where </w:t>
      </w:r>
      <w:r w:rsidR="00023893">
        <w:t xml:space="preserve">the </w:t>
      </w:r>
      <w:r w:rsidRPr="001977CC">
        <w:t>postcode of residence was unknown or not reported.</w:t>
      </w:r>
    </w:p>
    <w:p w14:paraId="73B2F4CD" w14:textId="77777777" w:rsidR="00007714" w:rsidRDefault="00007714">
      <w:pPr>
        <w:rPr>
          <w:rFonts w:ascii="Arial" w:eastAsia="MS Mincho" w:hAnsi="Arial"/>
          <w:b/>
          <w:bCs/>
        </w:rPr>
      </w:pPr>
      <w:r>
        <w:br w:type="page"/>
      </w:r>
    </w:p>
    <w:p w14:paraId="18583AA8" w14:textId="4EE9A02E" w:rsidR="000C78CC" w:rsidRPr="00671C7A" w:rsidRDefault="000C78CC" w:rsidP="005609AD">
      <w:pPr>
        <w:pStyle w:val="Heading4"/>
        <w:spacing w:before="0" w:line="270" w:lineRule="atLeast"/>
        <w:rPr>
          <w:lang w:eastAsia="en-AU"/>
        </w:rPr>
      </w:pPr>
      <w:r>
        <w:rPr>
          <w:lang w:eastAsia="en-AU"/>
        </w:rPr>
        <w:lastRenderedPageBreak/>
        <w:t>Measure assessment</w:t>
      </w:r>
    </w:p>
    <w:p w14:paraId="7C045EE1" w14:textId="0A7AD54E" w:rsidR="00EA3932" w:rsidRPr="00EA3932" w:rsidRDefault="000C78CC" w:rsidP="005609AD">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21AC83B0" w14:textId="77777777" w:rsidR="000C78CC" w:rsidRDefault="000C78CC" w:rsidP="005609AD">
      <w:pPr>
        <w:spacing w:after="120" w:line="270" w:lineRule="atLeast"/>
        <w:rPr>
          <w:rFonts w:ascii="Arial" w:hAnsi="Arial" w:cs="Arial"/>
        </w:rPr>
      </w:pPr>
      <w:r>
        <w:rPr>
          <w:rFonts w:ascii="Arial" w:hAnsi="Arial" w:cs="Arial"/>
        </w:rPr>
        <w:t>Overall trend: Moving in the right direction</w:t>
      </w:r>
    </w:p>
    <w:p w14:paraId="7244BBA5" w14:textId="23512530" w:rsidR="000C78CC" w:rsidRDefault="000C78CC" w:rsidP="005609AD">
      <w:pPr>
        <w:spacing w:after="120" w:line="270" w:lineRule="atLeast"/>
        <w:rPr>
          <w:rFonts w:ascii="Arial" w:hAnsi="Arial" w:cs="Arial"/>
        </w:rPr>
      </w:pPr>
      <w:r w:rsidRPr="00651252">
        <w:rPr>
          <w:rFonts w:ascii="Arial" w:hAnsi="Arial" w:cs="Arial"/>
        </w:rPr>
        <w:t xml:space="preserve">Commentary: </w:t>
      </w:r>
      <w:r>
        <w:rPr>
          <w:rFonts w:ascii="Arial" w:hAnsi="Arial" w:cs="Arial"/>
        </w:rPr>
        <w:t>In Victoria</w:t>
      </w:r>
      <w:r w:rsidR="006E2C2B">
        <w:rPr>
          <w:rFonts w:ascii="Arial" w:hAnsi="Arial" w:cs="Arial"/>
        </w:rPr>
        <w:t>,</w:t>
      </w:r>
      <w:r>
        <w:rPr>
          <w:rFonts w:ascii="Arial" w:hAnsi="Arial" w:cs="Arial"/>
        </w:rPr>
        <w:t xml:space="preserve"> an estimated 55,000 people are living with hepatitis B</w:t>
      </w:r>
      <w:r w:rsidR="00A65297">
        <w:rPr>
          <w:rFonts w:ascii="Arial" w:hAnsi="Arial" w:cs="Arial"/>
        </w:rPr>
        <w:t xml:space="preserve"> (HBV)</w:t>
      </w:r>
      <w:r>
        <w:rPr>
          <w:rFonts w:ascii="Arial" w:hAnsi="Arial" w:cs="Arial"/>
        </w:rPr>
        <w:t xml:space="preserve">. </w:t>
      </w:r>
      <w:r w:rsidRPr="00651252">
        <w:rPr>
          <w:rFonts w:ascii="Arial" w:hAnsi="Arial" w:cs="Arial"/>
        </w:rPr>
        <w:t>HB</w:t>
      </w:r>
      <w:r w:rsidR="00A65297">
        <w:rPr>
          <w:rFonts w:ascii="Arial" w:hAnsi="Arial" w:cs="Arial"/>
        </w:rPr>
        <w:t>V</w:t>
      </w:r>
      <w:r w:rsidRPr="00651252">
        <w:rPr>
          <w:rFonts w:ascii="Arial" w:hAnsi="Arial" w:cs="Arial"/>
        </w:rPr>
        <w:t xml:space="preserve"> is a viral infection that causes liver inflammation. Untreated chronic </w:t>
      </w:r>
      <w:r w:rsidR="00A65297">
        <w:rPr>
          <w:rFonts w:ascii="Arial" w:hAnsi="Arial" w:cs="Arial"/>
        </w:rPr>
        <w:t>HBV</w:t>
      </w:r>
      <w:r w:rsidRPr="00651252">
        <w:rPr>
          <w:rFonts w:ascii="Arial" w:hAnsi="Arial" w:cs="Arial"/>
        </w:rPr>
        <w:t xml:space="preserve"> is a leading cause of liver cancer, the fastest increasing cause of cancer deaths in Victorians.</w:t>
      </w:r>
      <w:r>
        <w:rPr>
          <w:rStyle w:val="FootnoteReference"/>
          <w:rFonts w:eastAsia="MS Mincho" w:cs="Arial"/>
        </w:rPr>
        <w:footnoteReference w:id="100"/>
      </w:r>
    </w:p>
    <w:p w14:paraId="51DF986F" w14:textId="1453A146" w:rsidR="000C78CC" w:rsidRDefault="000C78CC" w:rsidP="00CF251E">
      <w:pPr>
        <w:spacing w:after="120" w:line="270" w:lineRule="atLeast"/>
        <w:rPr>
          <w:rFonts w:ascii="Arial" w:hAnsi="Arial" w:cs="Arial"/>
        </w:rPr>
      </w:pPr>
      <w:r>
        <w:rPr>
          <w:rFonts w:ascii="Arial" w:hAnsi="Arial" w:cs="Arial"/>
        </w:rPr>
        <w:t xml:space="preserve">In Victoria, </w:t>
      </w:r>
      <w:r w:rsidR="00A65297">
        <w:rPr>
          <w:rFonts w:ascii="Arial" w:hAnsi="Arial" w:cs="Arial"/>
        </w:rPr>
        <w:t>HBV</w:t>
      </w:r>
      <w:r>
        <w:rPr>
          <w:rFonts w:ascii="Arial" w:hAnsi="Arial" w:cs="Arial"/>
        </w:rPr>
        <w:t xml:space="preserve"> is a notifiable disease under the Public Health and Wellbeing Regulations 2009.</w:t>
      </w:r>
      <w:r>
        <w:rPr>
          <w:rStyle w:val="FootnoteReference"/>
          <w:rFonts w:eastAsia="MS Mincho" w:cs="Arial"/>
        </w:rPr>
        <w:footnoteReference w:id="101"/>
      </w:r>
      <w:r>
        <w:rPr>
          <w:rFonts w:ascii="Arial" w:hAnsi="Arial" w:cs="Arial"/>
        </w:rPr>
        <w:t xml:space="preserve"> Figure 10.2 shows that the </w:t>
      </w:r>
      <w:r w:rsidRPr="00D3649D">
        <w:rPr>
          <w:rFonts w:ascii="Arial" w:hAnsi="Arial" w:cs="Arial"/>
        </w:rPr>
        <w:t xml:space="preserve">notification rate of </w:t>
      </w:r>
      <w:r>
        <w:rPr>
          <w:rFonts w:ascii="Arial" w:hAnsi="Arial" w:cs="Arial"/>
        </w:rPr>
        <w:t xml:space="preserve">unspecified </w:t>
      </w:r>
      <w:r w:rsidR="00A65297">
        <w:rPr>
          <w:rFonts w:ascii="Arial" w:hAnsi="Arial" w:cs="Arial"/>
        </w:rPr>
        <w:t>HBV</w:t>
      </w:r>
      <w:r>
        <w:rPr>
          <w:rFonts w:ascii="Arial" w:hAnsi="Arial" w:cs="Arial"/>
        </w:rPr>
        <w:t xml:space="preserve"> in Victoria has reduced by </w:t>
      </w:r>
      <w:r w:rsidR="004A3E67">
        <w:rPr>
          <w:rFonts w:ascii="Arial" w:hAnsi="Arial" w:cs="Arial"/>
        </w:rPr>
        <w:t>two</w:t>
      </w:r>
      <w:r>
        <w:rPr>
          <w:rFonts w:ascii="Arial" w:hAnsi="Arial" w:cs="Arial"/>
        </w:rPr>
        <w:t xml:space="preserve"> per cent from 29.2 cases per 100,000 population in 2014 to 2</w:t>
      </w:r>
      <w:r w:rsidR="005039F4">
        <w:rPr>
          <w:rFonts w:ascii="Arial" w:hAnsi="Arial" w:cs="Arial"/>
        </w:rPr>
        <w:t>6</w:t>
      </w:r>
      <w:r>
        <w:rPr>
          <w:rFonts w:ascii="Arial" w:hAnsi="Arial" w:cs="Arial"/>
        </w:rPr>
        <w:t>.</w:t>
      </w:r>
      <w:r w:rsidR="005039F4">
        <w:rPr>
          <w:rFonts w:ascii="Arial" w:hAnsi="Arial" w:cs="Arial"/>
        </w:rPr>
        <w:t>5</w:t>
      </w:r>
      <w:r>
        <w:rPr>
          <w:rFonts w:ascii="Arial" w:hAnsi="Arial" w:cs="Arial"/>
        </w:rPr>
        <w:t xml:space="preserve"> cases per 100, 000 population in 201</w:t>
      </w:r>
      <w:r w:rsidR="005039F4">
        <w:rPr>
          <w:rFonts w:ascii="Arial" w:hAnsi="Arial" w:cs="Arial"/>
        </w:rPr>
        <w:t>8</w:t>
      </w:r>
      <w:r w:rsidR="00447A37">
        <w:rPr>
          <w:rFonts w:ascii="Arial" w:hAnsi="Arial" w:cs="Arial"/>
        </w:rPr>
        <w:t>.</w:t>
      </w:r>
      <w:r>
        <w:rPr>
          <w:rStyle w:val="FootnoteReference"/>
          <w:rFonts w:eastAsia="Times" w:cs="Arial"/>
        </w:rPr>
        <w:footnoteReference w:id="102"/>
      </w:r>
      <w:r>
        <w:rPr>
          <w:rFonts w:ascii="Arial" w:hAnsi="Arial" w:cs="Arial"/>
        </w:rPr>
        <w:t xml:space="preserve"> During the same period </w:t>
      </w:r>
      <w:r w:rsidR="00501CC1">
        <w:rPr>
          <w:rFonts w:ascii="Arial" w:hAnsi="Arial" w:cs="Arial"/>
        </w:rPr>
        <w:t>(</w:t>
      </w:r>
      <w:r>
        <w:rPr>
          <w:rFonts w:ascii="Arial" w:hAnsi="Arial" w:cs="Arial"/>
        </w:rPr>
        <w:t>2014</w:t>
      </w:r>
      <w:r w:rsidR="00690CD3">
        <w:rPr>
          <w:rFonts w:ascii="Arial" w:hAnsi="Arial" w:cs="Arial"/>
        </w:rPr>
        <w:t>–</w:t>
      </w:r>
      <w:r>
        <w:rPr>
          <w:rFonts w:ascii="Arial" w:hAnsi="Arial" w:cs="Arial"/>
        </w:rPr>
        <w:t>201</w:t>
      </w:r>
      <w:r w:rsidR="00447A37">
        <w:rPr>
          <w:rFonts w:ascii="Arial" w:hAnsi="Arial" w:cs="Arial"/>
        </w:rPr>
        <w:t>8</w:t>
      </w:r>
      <w:r w:rsidR="00501CC1">
        <w:rPr>
          <w:rFonts w:ascii="Arial" w:hAnsi="Arial" w:cs="Arial"/>
        </w:rPr>
        <w:t>)</w:t>
      </w:r>
      <w:r>
        <w:rPr>
          <w:rFonts w:ascii="Arial" w:hAnsi="Arial" w:cs="Arial"/>
        </w:rPr>
        <w:t xml:space="preserve">, the rate of </w:t>
      </w:r>
      <w:r w:rsidR="00A65297">
        <w:rPr>
          <w:rFonts w:ascii="Arial" w:hAnsi="Arial" w:cs="Arial"/>
        </w:rPr>
        <w:t>HBV</w:t>
      </w:r>
      <w:r>
        <w:rPr>
          <w:rFonts w:ascii="Arial" w:hAnsi="Arial" w:cs="Arial"/>
        </w:rPr>
        <w:t xml:space="preserve"> notification in Victoria was higher than the national rate (Figure 10.2). Rates have been consistently higher among males than females (Figure 10.2.1) and were </w:t>
      </w:r>
      <w:r w:rsidR="00F906F7">
        <w:rPr>
          <w:rFonts w:ascii="Arial" w:hAnsi="Arial" w:cs="Arial"/>
        </w:rPr>
        <w:t>28</w:t>
      </w:r>
      <w:r>
        <w:rPr>
          <w:rFonts w:ascii="Arial" w:hAnsi="Arial" w:cs="Arial"/>
        </w:rPr>
        <w:t>.</w:t>
      </w:r>
      <w:r w:rsidR="00F906F7">
        <w:rPr>
          <w:rFonts w:ascii="Arial" w:hAnsi="Arial" w:cs="Arial"/>
        </w:rPr>
        <w:t>5</w:t>
      </w:r>
      <w:r>
        <w:rPr>
          <w:rFonts w:ascii="Arial" w:hAnsi="Arial" w:cs="Arial"/>
        </w:rPr>
        <w:t xml:space="preserve"> per 100,000 population and 2</w:t>
      </w:r>
      <w:r w:rsidR="00F906F7">
        <w:rPr>
          <w:rFonts w:ascii="Arial" w:hAnsi="Arial" w:cs="Arial"/>
        </w:rPr>
        <w:t>4</w:t>
      </w:r>
      <w:r>
        <w:rPr>
          <w:rFonts w:ascii="Arial" w:hAnsi="Arial" w:cs="Arial"/>
        </w:rPr>
        <w:t>.</w:t>
      </w:r>
      <w:r w:rsidR="00F906F7">
        <w:rPr>
          <w:rFonts w:ascii="Arial" w:hAnsi="Arial" w:cs="Arial"/>
        </w:rPr>
        <w:t>9</w:t>
      </w:r>
      <w:r>
        <w:rPr>
          <w:rFonts w:ascii="Arial" w:hAnsi="Arial" w:cs="Arial"/>
        </w:rPr>
        <w:t xml:space="preserve"> per 100,000 population in 201</w:t>
      </w:r>
      <w:r w:rsidR="00F906F7">
        <w:rPr>
          <w:rFonts w:ascii="Arial" w:hAnsi="Arial" w:cs="Arial"/>
        </w:rPr>
        <w:t>8</w:t>
      </w:r>
      <w:r>
        <w:rPr>
          <w:rFonts w:ascii="Arial" w:hAnsi="Arial" w:cs="Arial"/>
        </w:rPr>
        <w:t xml:space="preserve"> respectively. </w:t>
      </w:r>
      <w:r w:rsidR="007C18AC">
        <w:rPr>
          <w:rFonts w:ascii="Arial" w:hAnsi="Arial" w:cs="Arial"/>
        </w:rPr>
        <w:t>Notification rates were significantly higher for those aged 15</w:t>
      </w:r>
      <w:r w:rsidR="001B50BF">
        <w:rPr>
          <w:rFonts w:ascii="Arial" w:hAnsi="Arial" w:cs="Arial"/>
        </w:rPr>
        <w:t>–</w:t>
      </w:r>
      <w:r w:rsidR="007C18AC">
        <w:rPr>
          <w:rFonts w:ascii="Arial" w:hAnsi="Arial" w:cs="Arial"/>
        </w:rPr>
        <w:t xml:space="preserve">19 years compared </w:t>
      </w:r>
      <w:r w:rsidR="001B50BF">
        <w:rPr>
          <w:rFonts w:ascii="Arial" w:hAnsi="Arial" w:cs="Arial"/>
        </w:rPr>
        <w:t>with</w:t>
      </w:r>
      <w:r w:rsidR="007C18AC">
        <w:rPr>
          <w:rFonts w:ascii="Arial" w:hAnsi="Arial" w:cs="Arial"/>
        </w:rPr>
        <w:t xml:space="preserve"> other age groups (Figure 10.2.2).</w:t>
      </w:r>
      <w:r w:rsidR="00952FC7">
        <w:rPr>
          <w:rFonts w:ascii="Arial" w:hAnsi="Arial" w:cs="Arial"/>
        </w:rPr>
        <w:t xml:space="preserve"> </w:t>
      </w:r>
      <w:r w:rsidR="007C18AC">
        <w:rPr>
          <w:rFonts w:ascii="Arial" w:hAnsi="Arial" w:cs="Arial"/>
        </w:rPr>
        <w:t>However, b</w:t>
      </w:r>
      <w:r>
        <w:rPr>
          <w:rFonts w:ascii="Arial" w:hAnsi="Arial" w:cs="Arial"/>
        </w:rPr>
        <w:t>etween 2014 and 201</w:t>
      </w:r>
      <w:r w:rsidR="007C18AC">
        <w:rPr>
          <w:rFonts w:ascii="Arial" w:hAnsi="Arial" w:cs="Arial"/>
        </w:rPr>
        <w:t>8</w:t>
      </w:r>
      <w:r>
        <w:rPr>
          <w:rFonts w:ascii="Arial" w:hAnsi="Arial" w:cs="Arial"/>
        </w:rPr>
        <w:t xml:space="preserve"> the rate of notification has </w:t>
      </w:r>
      <w:r w:rsidR="007C18AC">
        <w:rPr>
          <w:rFonts w:ascii="Arial" w:hAnsi="Arial" w:cs="Arial"/>
        </w:rPr>
        <w:t>decreased</w:t>
      </w:r>
      <w:r>
        <w:rPr>
          <w:rFonts w:ascii="Arial" w:hAnsi="Arial" w:cs="Arial"/>
        </w:rPr>
        <w:t xml:space="preserve"> in th</w:t>
      </w:r>
      <w:r w:rsidR="007C18AC">
        <w:rPr>
          <w:rFonts w:ascii="Arial" w:hAnsi="Arial" w:cs="Arial"/>
        </w:rPr>
        <w:t>is age category</w:t>
      </w:r>
      <w:r>
        <w:rPr>
          <w:rFonts w:ascii="Arial" w:hAnsi="Arial" w:cs="Arial"/>
        </w:rPr>
        <w:t xml:space="preserve"> (1</w:t>
      </w:r>
      <w:r w:rsidR="007C18AC">
        <w:rPr>
          <w:rFonts w:ascii="Arial" w:hAnsi="Arial" w:cs="Arial"/>
        </w:rPr>
        <w:t>25</w:t>
      </w:r>
      <w:r>
        <w:rPr>
          <w:rFonts w:ascii="Arial" w:hAnsi="Arial" w:cs="Arial"/>
        </w:rPr>
        <w:t>.</w:t>
      </w:r>
      <w:r w:rsidR="007C18AC">
        <w:rPr>
          <w:rFonts w:ascii="Arial" w:hAnsi="Arial" w:cs="Arial"/>
        </w:rPr>
        <w:t>7</w:t>
      </w:r>
      <w:r>
        <w:rPr>
          <w:rFonts w:ascii="Arial" w:hAnsi="Arial" w:cs="Arial"/>
        </w:rPr>
        <w:t xml:space="preserve"> per 100,000 population in 2014 to </w:t>
      </w:r>
      <w:r w:rsidR="007C18AC">
        <w:rPr>
          <w:rFonts w:ascii="Arial" w:hAnsi="Arial" w:cs="Arial"/>
        </w:rPr>
        <w:t>93</w:t>
      </w:r>
      <w:r>
        <w:rPr>
          <w:rFonts w:ascii="Arial" w:hAnsi="Arial" w:cs="Arial"/>
        </w:rPr>
        <w:t>.</w:t>
      </w:r>
      <w:r w:rsidR="007C18AC">
        <w:rPr>
          <w:rFonts w:ascii="Arial" w:hAnsi="Arial" w:cs="Arial"/>
        </w:rPr>
        <w:t>6</w:t>
      </w:r>
      <w:r>
        <w:rPr>
          <w:rFonts w:ascii="Arial" w:hAnsi="Arial" w:cs="Arial"/>
        </w:rPr>
        <w:t xml:space="preserve"> per 100,000 population in 201</w:t>
      </w:r>
      <w:r w:rsidR="007C18AC">
        <w:rPr>
          <w:rFonts w:ascii="Arial" w:hAnsi="Arial" w:cs="Arial"/>
        </w:rPr>
        <w:t>8</w:t>
      </w:r>
      <w:r>
        <w:rPr>
          <w:rFonts w:ascii="Arial" w:hAnsi="Arial" w:cs="Arial"/>
        </w:rPr>
        <w:t>)</w:t>
      </w:r>
      <w:r w:rsidR="007C18AC">
        <w:rPr>
          <w:rFonts w:ascii="Arial" w:hAnsi="Arial" w:cs="Arial"/>
        </w:rPr>
        <w:t>.</w:t>
      </w:r>
      <w:r w:rsidR="00952FC7">
        <w:rPr>
          <w:rFonts w:ascii="Arial" w:hAnsi="Arial" w:cs="Arial"/>
        </w:rPr>
        <w:t xml:space="preserve"> </w:t>
      </w:r>
      <w:r w:rsidR="007C18AC">
        <w:rPr>
          <w:rFonts w:ascii="Arial" w:hAnsi="Arial" w:cs="Arial"/>
        </w:rPr>
        <w:t>In contrast, despite the much lower notification rates</w:t>
      </w:r>
      <w:r w:rsidR="005531D0">
        <w:rPr>
          <w:rFonts w:ascii="Arial" w:hAnsi="Arial" w:cs="Arial"/>
        </w:rPr>
        <w:t>, rates for those aged</w:t>
      </w:r>
      <w:r>
        <w:rPr>
          <w:rFonts w:ascii="Arial" w:hAnsi="Arial" w:cs="Arial"/>
        </w:rPr>
        <w:t xml:space="preserve"> </w:t>
      </w:r>
      <w:r w:rsidR="005531D0">
        <w:rPr>
          <w:rFonts w:ascii="Arial" w:hAnsi="Arial" w:cs="Arial"/>
        </w:rPr>
        <w:t>4</w:t>
      </w:r>
      <w:r>
        <w:rPr>
          <w:rFonts w:ascii="Arial" w:hAnsi="Arial" w:cs="Arial"/>
        </w:rPr>
        <w:t>0</w:t>
      </w:r>
      <w:r w:rsidR="001B50BF">
        <w:rPr>
          <w:rFonts w:ascii="Arial" w:hAnsi="Arial" w:cs="Arial"/>
        </w:rPr>
        <w:t>–</w:t>
      </w:r>
      <w:r>
        <w:rPr>
          <w:rFonts w:ascii="Arial" w:hAnsi="Arial" w:cs="Arial"/>
        </w:rPr>
        <w:t>59 year</w:t>
      </w:r>
      <w:r w:rsidR="005531D0">
        <w:rPr>
          <w:rFonts w:ascii="Arial" w:hAnsi="Arial" w:cs="Arial"/>
        </w:rPr>
        <w:t xml:space="preserve">s increased between 2014 and 2017 but decreased in 2018. </w:t>
      </w:r>
      <w:r>
        <w:rPr>
          <w:rFonts w:ascii="Arial" w:hAnsi="Arial" w:cs="Arial"/>
        </w:rPr>
        <w:t xml:space="preserve">Rates </w:t>
      </w:r>
      <w:r w:rsidR="005531D0">
        <w:rPr>
          <w:rFonts w:ascii="Arial" w:hAnsi="Arial" w:cs="Arial"/>
        </w:rPr>
        <w:t xml:space="preserve">were </w:t>
      </w:r>
      <w:r>
        <w:rPr>
          <w:rFonts w:ascii="Arial" w:hAnsi="Arial" w:cs="Arial"/>
        </w:rPr>
        <w:t xml:space="preserve">consistently low among those aged </w:t>
      </w:r>
      <w:r w:rsidR="00CF251E">
        <w:rPr>
          <w:rFonts w:ascii="Arial" w:hAnsi="Arial" w:cs="Arial"/>
        </w:rPr>
        <w:t>0</w:t>
      </w:r>
      <w:r w:rsidR="001B50BF">
        <w:rPr>
          <w:rFonts w:ascii="Arial" w:hAnsi="Arial" w:cs="Arial"/>
        </w:rPr>
        <w:t>–</w:t>
      </w:r>
      <w:r w:rsidR="00CF251E">
        <w:rPr>
          <w:rFonts w:ascii="Arial" w:hAnsi="Arial" w:cs="Arial"/>
        </w:rPr>
        <w:t>14</w:t>
      </w:r>
      <w:r w:rsidR="00501CC1">
        <w:rPr>
          <w:rFonts w:ascii="Arial" w:hAnsi="Arial" w:cs="Arial"/>
        </w:rPr>
        <w:t xml:space="preserve"> </w:t>
      </w:r>
      <w:r w:rsidR="00CF251E">
        <w:rPr>
          <w:rFonts w:ascii="Arial" w:hAnsi="Arial" w:cs="Arial"/>
        </w:rPr>
        <w:t>year</w:t>
      </w:r>
      <w:r w:rsidR="00501CC1">
        <w:rPr>
          <w:rFonts w:ascii="Arial" w:hAnsi="Arial" w:cs="Arial"/>
        </w:rPr>
        <w:t>s</w:t>
      </w:r>
      <w:r w:rsidR="005531D0">
        <w:rPr>
          <w:rFonts w:ascii="Arial" w:hAnsi="Arial" w:cs="Arial"/>
        </w:rPr>
        <w:t xml:space="preserve"> during the reporting period (Figure 10.2.2).</w:t>
      </w:r>
      <w:r w:rsidR="00952FC7">
        <w:rPr>
          <w:rFonts w:ascii="Arial" w:hAnsi="Arial" w:cs="Arial"/>
        </w:rPr>
        <w:t xml:space="preserve"> </w:t>
      </w:r>
    </w:p>
    <w:p w14:paraId="09E7BEF5" w14:textId="1FC191D8" w:rsidR="000C78CC" w:rsidRDefault="000064C8" w:rsidP="00CF251E">
      <w:pPr>
        <w:spacing w:after="120" w:line="270" w:lineRule="atLeast"/>
        <w:rPr>
          <w:rFonts w:ascii="Arial" w:hAnsi="Arial" w:cs="Arial"/>
        </w:rPr>
      </w:pPr>
      <w:r>
        <w:rPr>
          <w:rFonts w:ascii="Arial" w:hAnsi="Arial" w:cs="Arial"/>
        </w:rPr>
        <w:t xml:space="preserve">Figure 10.2.3 shows the </w:t>
      </w:r>
      <w:r w:rsidR="000C78CC" w:rsidRPr="00A86F08">
        <w:rPr>
          <w:rFonts w:ascii="Arial" w:hAnsi="Arial" w:cs="Arial"/>
        </w:rPr>
        <w:t xml:space="preserve">distribution of </w:t>
      </w:r>
      <w:r w:rsidR="00A65297">
        <w:rPr>
          <w:rFonts w:ascii="Arial" w:hAnsi="Arial" w:cs="Arial"/>
        </w:rPr>
        <w:t>HBV</w:t>
      </w:r>
      <w:r w:rsidR="000C78CC" w:rsidRPr="00A86F08">
        <w:rPr>
          <w:rFonts w:ascii="Arial" w:hAnsi="Arial" w:cs="Arial"/>
        </w:rPr>
        <w:t xml:space="preserve"> notification rate</w:t>
      </w:r>
      <w:r>
        <w:rPr>
          <w:rFonts w:ascii="Arial" w:hAnsi="Arial" w:cs="Arial"/>
        </w:rPr>
        <w:t>s by ICS across Victoria between 2014 and 2018</w:t>
      </w:r>
      <w:r w:rsidR="000C78CC" w:rsidRPr="00A86F08">
        <w:rPr>
          <w:rFonts w:ascii="Arial" w:hAnsi="Arial" w:cs="Arial"/>
        </w:rPr>
        <w:t>.</w:t>
      </w:r>
      <w:r w:rsidR="00952FC7">
        <w:rPr>
          <w:rFonts w:ascii="Arial" w:hAnsi="Arial" w:cs="Arial"/>
        </w:rPr>
        <w:t xml:space="preserve"> </w:t>
      </w:r>
      <w:r w:rsidR="000C78CC" w:rsidRPr="00A86F08">
        <w:rPr>
          <w:rFonts w:ascii="Arial" w:hAnsi="Arial" w:cs="Arial"/>
        </w:rPr>
        <w:t xml:space="preserve">ICSs with the highest rates tended to be </w:t>
      </w:r>
      <w:r>
        <w:rPr>
          <w:rFonts w:ascii="Arial" w:hAnsi="Arial" w:cs="Arial"/>
        </w:rPr>
        <w:t>the metropolitan ICS such as NEMICS and SMICS but not WCMICS</w:t>
      </w:r>
      <w:r w:rsidR="000C78CC">
        <w:rPr>
          <w:rFonts w:ascii="Arial" w:hAnsi="Arial" w:cs="Arial"/>
        </w:rPr>
        <w:t xml:space="preserve">, suggesting that the HBV burden is inequitably distributed across Victoria. </w:t>
      </w:r>
      <w:r>
        <w:rPr>
          <w:rFonts w:ascii="Arial" w:hAnsi="Arial" w:cs="Arial"/>
        </w:rPr>
        <w:t>Of note were the regional/rural ICSs, BSWRICS, GRICS and GICS</w:t>
      </w:r>
      <w:r w:rsidR="00501CC1">
        <w:rPr>
          <w:rFonts w:ascii="Arial" w:hAnsi="Arial" w:cs="Arial"/>
        </w:rPr>
        <w:t>,</w:t>
      </w:r>
      <w:r>
        <w:rPr>
          <w:rFonts w:ascii="Arial" w:hAnsi="Arial" w:cs="Arial"/>
        </w:rPr>
        <w:t xml:space="preserve"> which all showed an increase between 2017 and 2018.</w:t>
      </w:r>
    </w:p>
    <w:p w14:paraId="2DBD98E4" w14:textId="77777777" w:rsidR="00A16D42" w:rsidRDefault="000C78CC" w:rsidP="001A2A05">
      <w:pPr>
        <w:spacing w:after="120" w:line="270" w:lineRule="atLeast"/>
      </w:pPr>
      <w:r w:rsidRPr="00275B25">
        <w:rPr>
          <w:rFonts w:ascii="Arial" w:hAnsi="Arial" w:cs="Arial"/>
        </w:rPr>
        <w:t>While no target has been set for this measure</w:t>
      </w:r>
      <w:r w:rsidR="00501CC1">
        <w:rPr>
          <w:rFonts w:ascii="Arial" w:hAnsi="Arial" w:cs="Arial"/>
        </w:rPr>
        <w:t>,</w:t>
      </w:r>
      <w:r w:rsidRPr="00275B25">
        <w:rPr>
          <w:rFonts w:ascii="Arial" w:hAnsi="Arial" w:cs="Arial"/>
        </w:rPr>
        <w:t xml:space="preserve"> the </w:t>
      </w:r>
      <w:r w:rsidRPr="00275B25">
        <w:rPr>
          <w:rFonts w:ascii="Arial" w:hAnsi="Arial" w:cs="Arial"/>
          <w:bCs/>
          <w:i/>
          <w:lang w:val="en"/>
        </w:rPr>
        <w:t xml:space="preserve">WHO </w:t>
      </w:r>
      <w:r w:rsidR="00CA2AD7">
        <w:rPr>
          <w:rFonts w:ascii="Arial" w:hAnsi="Arial" w:cs="Arial"/>
          <w:bCs/>
          <w:i/>
          <w:lang w:val="en"/>
        </w:rPr>
        <w:t>g</w:t>
      </w:r>
      <w:r w:rsidRPr="00275B25">
        <w:rPr>
          <w:rFonts w:ascii="Arial" w:hAnsi="Arial" w:cs="Arial"/>
          <w:bCs/>
          <w:i/>
          <w:lang w:val="en"/>
        </w:rPr>
        <w:t xml:space="preserve">lobal </w:t>
      </w:r>
      <w:r w:rsidR="00CA2AD7">
        <w:rPr>
          <w:rFonts w:ascii="Arial" w:hAnsi="Arial" w:cs="Arial"/>
          <w:bCs/>
          <w:i/>
          <w:lang w:val="en"/>
        </w:rPr>
        <w:t>h</w:t>
      </w:r>
      <w:r w:rsidRPr="00275B25">
        <w:rPr>
          <w:rFonts w:ascii="Arial" w:hAnsi="Arial" w:cs="Arial"/>
          <w:bCs/>
          <w:i/>
          <w:lang w:val="en"/>
        </w:rPr>
        <w:t xml:space="preserve">ealth </w:t>
      </w:r>
      <w:r w:rsidR="00CA2AD7">
        <w:rPr>
          <w:rFonts w:ascii="Arial" w:hAnsi="Arial" w:cs="Arial"/>
          <w:bCs/>
          <w:i/>
          <w:lang w:val="en"/>
        </w:rPr>
        <w:t>s</w:t>
      </w:r>
      <w:r w:rsidRPr="00275B25">
        <w:rPr>
          <w:rFonts w:ascii="Arial" w:hAnsi="Arial" w:cs="Arial"/>
          <w:bCs/>
          <w:i/>
          <w:lang w:val="en"/>
        </w:rPr>
        <w:t xml:space="preserve">ector </w:t>
      </w:r>
      <w:r w:rsidR="00CA2AD7">
        <w:rPr>
          <w:rFonts w:ascii="Arial" w:hAnsi="Arial" w:cs="Arial"/>
          <w:bCs/>
          <w:i/>
          <w:lang w:val="en"/>
        </w:rPr>
        <w:t>s</w:t>
      </w:r>
      <w:r w:rsidRPr="00275B25">
        <w:rPr>
          <w:rFonts w:ascii="Arial" w:hAnsi="Arial" w:cs="Arial"/>
          <w:bCs/>
          <w:i/>
          <w:lang w:val="en"/>
        </w:rPr>
        <w:t xml:space="preserve">trategy on </w:t>
      </w:r>
      <w:r w:rsidR="00CA2AD7">
        <w:rPr>
          <w:rFonts w:ascii="Arial" w:hAnsi="Arial" w:cs="Arial"/>
          <w:bCs/>
          <w:i/>
          <w:lang w:val="en"/>
        </w:rPr>
        <w:t>v</w:t>
      </w:r>
      <w:r w:rsidRPr="00275B25">
        <w:rPr>
          <w:rFonts w:ascii="Arial" w:hAnsi="Arial" w:cs="Arial"/>
          <w:bCs/>
          <w:i/>
          <w:lang w:val="en"/>
        </w:rPr>
        <w:t xml:space="preserve">iral </w:t>
      </w:r>
      <w:r w:rsidR="00CA2AD7">
        <w:rPr>
          <w:rFonts w:ascii="Arial" w:hAnsi="Arial" w:cs="Arial"/>
          <w:bCs/>
          <w:i/>
          <w:lang w:val="en"/>
        </w:rPr>
        <w:t>h</w:t>
      </w:r>
      <w:r w:rsidRPr="00275B25">
        <w:rPr>
          <w:rFonts w:ascii="Arial" w:hAnsi="Arial" w:cs="Arial"/>
          <w:bCs/>
          <w:i/>
          <w:lang w:val="en"/>
        </w:rPr>
        <w:t>epatitis 2016</w:t>
      </w:r>
      <w:r w:rsidR="00CA2AD7">
        <w:rPr>
          <w:rFonts w:ascii="Arial" w:hAnsi="Arial" w:cs="Arial"/>
          <w:bCs/>
          <w:i/>
          <w:lang w:val="en"/>
        </w:rPr>
        <w:t>–</w:t>
      </w:r>
      <w:r w:rsidRPr="00275B25">
        <w:rPr>
          <w:rFonts w:ascii="Arial" w:hAnsi="Arial" w:cs="Arial"/>
          <w:bCs/>
          <w:i/>
          <w:lang w:val="en"/>
        </w:rPr>
        <w:t>2021</w:t>
      </w:r>
      <w:r>
        <w:rPr>
          <w:rFonts w:ascii="Arial" w:hAnsi="Arial" w:cs="Arial"/>
          <w:lang w:val="en"/>
        </w:rPr>
        <w:t xml:space="preserve"> sets a 2020 target of a 30 per cent reduction in the number of new HBV cases from 2015 as the baseline year. </w:t>
      </w:r>
      <w:r>
        <w:rPr>
          <w:rFonts w:ascii="Arial" w:hAnsi="Arial" w:cs="Arial"/>
        </w:rPr>
        <w:t>T</w:t>
      </w:r>
      <w:r w:rsidRPr="00A86F08">
        <w:rPr>
          <w:rFonts w:ascii="Arial" w:hAnsi="Arial" w:cs="Arial"/>
        </w:rPr>
        <w:t xml:space="preserve">he </w:t>
      </w:r>
      <w:r w:rsidRPr="00A86F08">
        <w:rPr>
          <w:rFonts w:ascii="Arial" w:hAnsi="Arial" w:cs="Arial"/>
          <w:i/>
        </w:rPr>
        <w:t xml:space="preserve">Victorian </w:t>
      </w:r>
      <w:r w:rsidR="00CA2AD7">
        <w:rPr>
          <w:rFonts w:ascii="Arial" w:hAnsi="Arial" w:cs="Arial"/>
          <w:i/>
        </w:rPr>
        <w:t>h</w:t>
      </w:r>
      <w:r w:rsidRPr="00A86F08">
        <w:rPr>
          <w:rFonts w:ascii="Arial" w:hAnsi="Arial" w:cs="Arial"/>
          <w:i/>
        </w:rPr>
        <w:t xml:space="preserve">epatitis </w:t>
      </w:r>
      <w:r>
        <w:rPr>
          <w:rFonts w:ascii="Arial" w:hAnsi="Arial" w:cs="Arial"/>
          <w:i/>
        </w:rPr>
        <w:t>B</w:t>
      </w:r>
      <w:r w:rsidRPr="00A86F08">
        <w:rPr>
          <w:rFonts w:ascii="Arial" w:hAnsi="Arial" w:cs="Arial"/>
          <w:i/>
        </w:rPr>
        <w:t xml:space="preserve"> </w:t>
      </w:r>
      <w:r w:rsidR="00CA2AD7">
        <w:rPr>
          <w:rFonts w:ascii="Arial" w:hAnsi="Arial" w:cs="Arial"/>
          <w:i/>
        </w:rPr>
        <w:t>s</w:t>
      </w:r>
      <w:r w:rsidRPr="00A86F08">
        <w:rPr>
          <w:rFonts w:ascii="Arial" w:hAnsi="Arial" w:cs="Arial"/>
          <w:i/>
        </w:rPr>
        <w:t>trategy 2016–20</w:t>
      </w:r>
      <w:r w:rsidRPr="00A86F08">
        <w:rPr>
          <w:rFonts w:ascii="Arial" w:hAnsi="Arial" w:cs="Arial"/>
        </w:rPr>
        <w:t xml:space="preserve"> </w:t>
      </w:r>
      <w:r>
        <w:rPr>
          <w:rFonts w:ascii="Arial" w:hAnsi="Arial" w:cs="Arial"/>
        </w:rPr>
        <w:t xml:space="preserve">includes </w:t>
      </w:r>
      <w:r w:rsidRPr="00A86F08">
        <w:rPr>
          <w:rFonts w:ascii="Arial" w:hAnsi="Arial" w:cs="Arial"/>
        </w:rPr>
        <w:t xml:space="preserve">an overarching goal to eliminate </w:t>
      </w:r>
      <w:r>
        <w:rPr>
          <w:rFonts w:ascii="Arial" w:hAnsi="Arial" w:cs="Arial"/>
        </w:rPr>
        <w:t>HBV</w:t>
      </w:r>
      <w:r w:rsidRPr="00A86F08">
        <w:rPr>
          <w:rFonts w:ascii="Arial" w:hAnsi="Arial" w:cs="Arial"/>
        </w:rPr>
        <w:t xml:space="preserve"> as a public health concern by 2030</w:t>
      </w:r>
      <w:r>
        <w:rPr>
          <w:rFonts w:ascii="Arial" w:hAnsi="Arial" w:cs="Arial"/>
        </w:rPr>
        <w:t>.</w:t>
      </w:r>
      <w:r w:rsidRPr="00A86F08">
        <w:rPr>
          <w:rStyle w:val="FootnoteReference"/>
          <w:rFonts w:eastAsia="MS Mincho" w:cs="Arial"/>
        </w:rPr>
        <w:footnoteReference w:id="103"/>
      </w:r>
      <w:r w:rsidRPr="00A86F08">
        <w:rPr>
          <w:rFonts w:ascii="Arial" w:hAnsi="Arial" w:cs="Arial"/>
        </w:rPr>
        <w:t xml:space="preserve"> This goal is underpinned by the following targets: reduce </w:t>
      </w:r>
      <w:r>
        <w:rPr>
          <w:rFonts w:ascii="Arial" w:hAnsi="Arial" w:cs="Arial"/>
        </w:rPr>
        <w:t xml:space="preserve">the number of new domestic transmission of </w:t>
      </w:r>
      <w:r w:rsidR="00A65297">
        <w:rPr>
          <w:rFonts w:ascii="Arial" w:hAnsi="Arial" w:cs="Arial"/>
        </w:rPr>
        <w:t>HBV</w:t>
      </w:r>
      <w:r>
        <w:rPr>
          <w:rFonts w:ascii="Arial" w:hAnsi="Arial" w:cs="Arial"/>
        </w:rPr>
        <w:t xml:space="preserve"> </w:t>
      </w:r>
      <w:r w:rsidRPr="00A86F08">
        <w:rPr>
          <w:rFonts w:ascii="Arial" w:hAnsi="Arial" w:cs="Arial"/>
        </w:rPr>
        <w:t>by 90 per cent</w:t>
      </w:r>
      <w:r w:rsidR="00023893">
        <w:rPr>
          <w:rFonts w:ascii="Arial" w:hAnsi="Arial" w:cs="Arial"/>
        </w:rPr>
        <w:t>;</w:t>
      </w:r>
      <w:r w:rsidRPr="00A86F08">
        <w:rPr>
          <w:rFonts w:ascii="Arial" w:hAnsi="Arial" w:cs="Arial"/>
        </w:rPr>
        <w:t xml:space="preserve"> increase diagnosis rates by 90 per cent</w:t>
      </w:r>
      <w:r w:rsidR="00023893">
        <w:rPr>
          <w:rFonts w:ascii="Arial" w:hAnsi="Arial" w:cs="Arial"/>
        </w:rPr>
        <w:t>;</w:t>
      </w:r>
      <w:r w:rsidRPr="00A86F08">
        <w:rPr>
          <w:rFonts w:ascii="Arial" w:hAnsi="Arial" w:cs="Arial"/>
        </w:rPr>
        <w:t xml:space="preserve"> and increase the treatment rate for </w:t>
      </w:r>
      <w:r>
        <w:rPr>
          <w:rFonts w:ascii="Arial" w:hAnsi="Arial" w:cs="Arial"/>
        </w:rPr>
        <w:t>HBV</w:t>
      </w:r>
      <w:r w:rsidRPr="00A86F08">
        <w:rPr>
          <w:rFonts w:ascii="Arial" w:hAnsi="Arial" w:cs="Arial"/>
        </w:rPr>
        <w:t xml:space="preserve"> to 90 per cent.</w:t>
      </w:r>
    </w:p>
    <w:p w14:paraId="40A240E6" w14:textId="77777777" w:rsidR="00A16D42" w:rsidRDefault="00A16D42">
      <w:r>
        <w:br w:type="page"/>
      </w:r>
    </w:p>
    <w:p w14:paraId="5DFFAD9E" w14:textId="5D9F3ADE" w:rsidR="000C78CC" w:rsidRPr="00A16D42" w:rsidRDefault="000C78CC" w:rsidP="00A16D42">
      <w:pPr>
        <w:pStyle w:val="Heading3"/>
        <w:rPr>
          <w:rStyle w:val="Heading3Char"/>
          <w:b/>
          <w:bCs/>
        </w:rPr>
      </w:pPr>
      <w:bookmarkStart w:id="577" w:name="_Measure_10.3_–"/>
      <w:bookmarkEnd w:id="577"/>
      <w:r w:rsidRPr="00A16D42">
        <w:rPr>
          <w:rStyle w:val="Heading3Char"/>
          <w:b/>
          <w:bCs/>
        </w:rPr>
        <w:lastRenderedPageBreak/>
        <w:t>Measure 10.3 – Notification rate of unspecified hepatitis C</w:t>
      </w:r>
    </w:p>
    <w:p w14:paraId="34B47020" w14:textId="3C0374AC" w:rsidR="000C78CC" w:rsidRDefault="000C78CC" w:rsidP="00867A76">
      <w:pPr>
        <w:pStyle w:val="DHHSfigurecaption"/>
      </w:pPr>
      <w:bookmarkStart w:id="578" w:name="_Toc19008100"/>
      <w:bookmarkStart w:id="579" w:name="_Toc19008330"/>
      <w:bookmarkStart w:id="580" w:name="_Toc19008477"/>
      <w:bookmarkStart w:id="581" w:name="_Toc19008624"/>
      <w:bookmarkStart w:id="582" w:name="_Toc27414332"/>
      <w:r w:rsidRPr="00210914">
        <w:t>Figure 10.3</w:t>
      </w:r>
      <w:r w:rsidR="00CA2AD7">
        <w:t>:</w:t>
      </w:r>
      <w:r w:rsidRPr="00210914">
        <w:t xml:space="preserve"> Notification rate </w:t>
      </w:r>
      <w:r w:rsidR="00570418">
        <w:t xml:space="preserve">per 100,000 population </w:t>
      </w:r>
      <w:r w:rsidRPr="00210914">
        <w:t>of unspecified hepatitis C</w:t>
      </w:r>
      <w:r w:rsidR="00023893">
        <w:t>,</w:t>
      </w:r>
      <w:r>
        <w:t xml:space="preserve"> by state/territory and year, 2014</w:t>
      </w:r>
      <w:r w:rsidR="00CA2AD7">
        <w:t>–</w:t>
      </w:r>
      <w:r>
        <w:t>201</w:t>
      </w:r>
      <w:r w:rsidR="00C307B1">
        <w:t>8</w:t>
      </w:r>
      <w:bookmarkEnd w:id="578"/>
      <w:bookmarkEnd w:id="579"/>
      <w:bookmarkEnd w:id="580"/>
      <w:bookmarkEnd w:id="581"/>
      <w:bookmarkEnd w:id="582"/>
      <w:r w:rsidR="00E30D4D">
        <w:t xml:space="preserve"> </w:t>
      </w:r>
    </w:p>
    <w:p w14:paraId="6B9FBC9A" w14:textId="7B831E12" w:rsidR="00DF1CCC" w:rsidRPr="00DF1CCC" w:rsidRDefault="006E11F0" w:rsidP="00DF1CCC">
      <w:pPr>
        <w:pStyle w:val="DHHSbody"/>
      </w:pPr>
      <w:r>
        <w:rPr>
          <w:noProof/>
        </w:rPr>
        <w:drawing>
          <wp:inline distT="0" distB="0" distL="0" distR="0" wp14:anchorId="29915078" wp14:editId="66EC9140">
            <wp:extent cx="6712585" cy="4097020"/>
            <wp:effectExtent l="0" t="0" r="0" b="0"/>
            <wp:docPr id="484" name="Picture 484" descr="This figure provides a summary of Measure 10.3 - Notification rate of unspecified hepatitis C'. The data by state-territory (including Victoria) for the study period 2014 to 2018, is set out in a table directly below Fig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712585" cy="4097020"/>
                    </a:xfrm>
                    <a:prstGeom prst="rect">
                      <a:avLst/>
                    </a:prstGeom>
                    <a:noFill/>
                  </pic:spPr>
                </pic:pic>
              </a:graphicData>
            </a:graphic>
          </wp:inline>
        </w:drawing>
      </w:r>
    </w:p>
    <w:p w14:paraId="52289E74" w14:textId="6639F9B9" w:rsidR="00E30D4D" w:rsidRPr="00E30D4D" w:rsidRDefault="002C6E14" w:rsidP="00660649">
      <w:pPr>
        <w:pStyle w:val="DHHStablefigurenote"/>
      </w:pPr>
      <w:r>
        <w:t>Source:  National Notifiable Disease Surveillance System (accessed 28 August 2019)</w:t>
      </w:r>
    </w:p>
    <w:p w14:paraId="325C2FC7" w14:textId="5B5F4E4B" w:rsidR="000C78CC" w:rsidRDefault="000C78CC" w:rsidP="00867A76">
      <w:pPr>
        <w:pStyle w:val="DHHSfigurecaption"/>
      </w:pPr>
      <w:bookmarkStart w:id="583" w:name="_Toc19008101"/>
      <w:bookmarkStart w:id="584" w:name="_Toc19008331"/>
      <w:bookmarkStart w:id="585" w:name="_Toc19008478"/>
      <w:bookmarkStart w:id="586" w:name="_Toc19008625"/>
      <w:bookmarkStart w:id="587" w:name="_Toc27414333"/>
      <w:r w:rsidRPr="00A22D57">
        <w:t>Figure 10.</w:t>
      </w:r>
      <w:r>
        <w:t>3</w:t>
      </w:r>
      <w:r w:rsidRPr="00A22D57">
        <w:t>.1</w:t>
      </w:r>
      <w:r w:rsidR="00CA2AD7">
        <w:t>:</w:t>
      </w:r>
      <w:r w:rsidRPr="00A22D57">
        <w:t xml:space="preserve"> </w:t>
      </w:r>
      <w:r>
        <w:t>N</w:t>
      </w:r>
      <w:r w:rsidRPr="00A22D57">
        <w:t>otification</w:t>
      </w:r>
      <w:r>
        <w:t xml:space="preserve"> rate</w:t>
      </w:r>
      <w:r w:rsidRPr="00A22D57">
        <w:t xml:space="preserve"> </w:t>
      </w:r>
      <w:r w:rsidR="00570418">
        <w:t xml:space="preserve">per 100,000 population </w:t>
      </w:r>
      <w:r w:rsidRPr="00A22D57">
        <w:t xml:space="preserve">of unspecified hepatitis </w:t>
      </w:r>
      <w:r>
        <w:t>C</w:t>
      </w:r>
      <w:r w:rsidR="00023893">
        <w:t>,</w:t>
      </w:r>
      <w:r w:rsidRPr="00A22D57">
        <w:t xml:space="preserve"> by sex</w:t>
      </w:r>
      <w:r>
        <w:t xml:space="preserve"> and year, Victoria, 2014</w:t>
      </w:r>
      <w:r w:rsidR="00CA2AD7">
        <w:t>–</w:t>
      </w:r>
      <w:r>
        <w:t>201</w:t>
      </w:r>
      <w:r w:rsidR="00902BFC">
        <w:t>8</w:t>
      </w:r>
      <w:bookmarkEnd w:id="583"/>
      <w:bookmarkEnd w:id="584"/>
      <w:bookmarkEnd w:id="585"/>
      <w:bookmarkEnd w:id="586"/>
      <w:bookmarkEnd w:id="587"/>
    </w:p>
    <w:p w14:paraId="2E34EBA6" w14:textId="56A4F43F" w:rsidR="00CA2392" w:rsidRPr="00271690" w:rsidRDefault="006E11F0" w:rsidP="003B36FE">
      <w:pPr>
        <w:spacing w:after="120" w:line="270" w:lineRule="atLeast"/>
        <w:rPr>
          <w:rFonts w:ascii="Arial" w:hAnsi="Arial" w:cs="Arial"/>
          <w:b/>
        </w:rPr>
      </w:pPr>
      <w:r>
        <w:rPr>
          <w:rFonts w:ascii="Arial" w:hAnsi="Arial" w:cs="Arial"/>
          <w:b/>
          <w:noProof/>
        </w:rPr>
        <w:drawing>
          <wp:inline distT="0" distB="0" distL="0" distR="0" wp14:anchorId="3F109E19" wp14:editId="3ADEBEFB">
            <wp:extent cx="6736715" cy="2816860"/>
            <wp:effectExtent l="0" t="0" r="6985" b="2540"/>
            <wp:docPr id="485" name="Picture 485" descr="This figure provides a summary of Measure 10.3 - Notification rate of unspecified hepatitis C'. The data specific to Victoria for the study period 2014 to 2018 and by sex, is included Figure 10.3.1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736715" cy="2816860"/>
                    </a:xfrm>
                    <a:prstGeom prst="rect">
                      <a:avLst/>
                    </a:prstGeom>
                    <a:noFill/>
                  </pic:spPr>
                </pic:pic>
              </a:graphicData>
            </a:graphic>
          </wp:inline>
        </w:drawing>
      </w:r>
    </w:p>
    <w:p w14:paraId="49D4EFCC" w14:textId="724B8848" w:rsidR="000C78CC" w:rsidRDefault="000C78CC" w:rsidP="00C9459B">
      <w:pPr>
        <w:pStyle w:val="DHHSfigurecaption"/>
        <w:rPr>
          <w:noProof/>
        </w:rPr>
      </w:pPr>
      <w:bookmarkStart w:id="588" w:name="_Toc19008102"/>
      <w:bookmarkStart w:id="589" w:name="_Toc19008332"/>
      <w:bookmarkStart w:id="590" w:name="_Toc19008479"/>
      <w:bookmarkStart w:id="591" w:name="_Toc19008626"/>
      <w:bookmarkStart w:id="592" w:name="_Toc27414334"/>
      <w:r>
        <w:rPr>
          <w:noProof/>
        </w:rPr>
        <w:lastRenderedPageBreak/>
        <w:t>Figure 10.3.2</w:t>
      </w:r>
      <w:r w:rsidR="00A14570">
        <w:rPr>
          <w:noProof/>
        </w:rPr>
        <w:t>:</w:t>
      </w:r>
      <w:r>
        <w:rPr>
          <w:noProof/>
        </w:rPr>
        <w:t xml:space="preserve"> Notification rate </w:t>
      </w:r>
      <w:r w:rsidR="00570418">
        <w:rPr>
          <w:noProof/>
        </w:rPr>
        <w:t xml:space="preserve">per 100,000 population </w:t>
      </w:r>
      <w:r>
        <w:rPr>
          <w:noProof/>
        </w:rPr>
        <w:t>of unspecified hepatitis C</w:t>
      </w:r>
      <w:r w:rsidR="00023893">
        <w:rPr>
          <w:noProof/>
        </w:rPr>
        <w:t>,</w:t>
      </w:r>
      <w:r>
        <w:rPr>
          <w:noProof/>
        </w:rPr>
        <w:t xml:space="preserve"> by age group and year, Victoria, 2014</w:t>
      </w:r>
      <w:r w:rsidR="00A14570">
        <w:rPr>
          <w:noProof/>
        </w:rPr>
        <w:t>–</w:t>
      </w:r>
      <w:r>
        <w:rPr>
          <w:noProof/>
        </w:rPr>
        <w:t>201</w:t>
      </w:r>
      <w:r w:rsidR="00F07E89">
        <w:rPr>
          <w:noProof/>
        </w:rPr>
        <w:t>8</w:t>
      </w:r>
      <w:bookmarkEnd w:id="588"/>
      <w:bookmarkEnd w:id="589"/>
      <w:bookmarkEnd w:id="590"/>
      <w:bookmarkEnd w:id="591"/>
      <w:bookmarkEnd w:id="592"/>
    </w:p>
    <w:p w14:paraId="6B02B05C" w14:textId="59DCA71A" w:rsidR="000C78CC" w:rsidRDefault="006A52B9" w:rsidP="00F07E89">
      <w:pPr>
        <w:pStyle w:val="DHHSbody"/>
      </w:pPr>
      <w:r>
        <w:rPr>
          <w:noProof/>
        </w:rPr>
        <w:drawing>
          <wp:inline distT="0" distB="0" distL="0" distR="0" wp14:anchorId="65E5F70E" wp14:editId="3912AD07">
            <wp:extent cx="6712585" cy="4334510"/>
            <wp:effectExtent l="0" t="0" r="0" b="8890"/>
            <wp:docPr id="486" name="Picture 486" descr="This figure provides a summary of Measure 10.3 - Notification rate of unspecified hepatitis C'. The data by age group for the study period 2014 to 2018, is set out in a table directly below Fig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712585" cy="4334510"/>
                    </a:xfrm>
                    <a:prstGeom prst="rect">
                      <a:avLst/>
                    </a:prstGeom>
                    <a:noFill/>
                  </pic:spPr>
                </pic:pic>
              </a:graphicData>
            </a:graphic>
          </wp:inline>
        </w:drawing>
      </w:r>
    </w:p>
    <w:p w14:paraId="6134A1CC" w14:textId="788D499C" w:rsidR="000C78CC" w:rsidRPr="00414B65" w:rsidRDefault="000C78CC" w:rsidP="00660649">
      <w:pPr>
        <w:pStyle w:val="DHHStablefigurenote"/>
      </w:pPr>
      <w:r w:rsidRPr="00414B65">
        <w:t xml:space="preserve">Note: </w:t>
      </w:r>
      <w:r w:rsidR="004A3E67">
        <w:t>T</w:t>
      </w:r>
      <w:r w:rsidRPr="00414B65">
        <w:t>his data excludes cases where age is unknown or not reported</w:t>
      </w:r>
      <w:r w:rsidR="004A3E67">
        <w:t>.</w:t>
      </w:r>
      <w:r w:rsidRPr="00414B65">
        <w:t xml:space="preserve"> </w:t>
      </w:r>
    </w:p>
    <w:p w14:paraId="3830C224" w14:textId="71D89788" w:rsidR="000C78CC" w:rsidRDefault="000C78CC" w:rsidP="00867A76">
      <w:pPr>
        <w:pStyle w:val="DHHSfigurecaption"/>
      </w:pPr>
      <w:bookmarkStart w:id="593" w:name="_Toc19008103"/>
      <w:bookmarkStart w:id="594" w:name="_Toc19008333"/>
      <w:bookmarkStart w:id="595" w:name="_Toc19008480"/>
      <w:bookmarkStart w:id="596" w:name="_Toc19008627"/>
      <w:bookmarkStart w:id="597" w:name="_Toc27414335"/>
      <w:r w:rsidRPr="00D17952">
        <w:t>Figure 10.</w:t>
      </w:r>
      <w:r>
        <w:t>3</w:t>
      </w:r>
      <w:r w:rsidRPr="00D17952">
        <w:t>.</w:t>
      </w:r>
      <w:r>
        <w:t>3</w:t>
      </w:r>
      <w:r w:rsidR="00A14570">
        <w:t>:</w:t>
      </w:r>
      <w:r w:rsidRPr="00D17952">
        <w:t xml:space="preserve"> Notification rate of unspecified hepatitis </w:t>
      </w:r>
      <w:r>
        <w:t>C</w:t>
      </w:r>
      <w:r w:rsidRPr="00D17952">
        <w:t xml:space="preserve"> by </w:t>
      </w:r>
      <w:r w:rsidR="008439C8">
        <w:t>ICS</w:t>
      </w:r>
      <w:r w:rsidR="00197A29">
        <w:t xml:space="preserve"> and year</w:t>
      </w:r>
      <w:r w:rsidRPr="00D17952">
        <w:t>,</w:t>
      </w:r>
      <w:r>
        <w:t xml:space="preserve"> Victoria</w:t>
      </w:r>
      <w:r w:rsidR="00197A29">
        <w:t>,</w:t>
      </w:r>
      <w:r w:rsidRPr="00D17952">
        <w:t xml:space="preserve"> 201</w:t>
      </w:r>
      <w:r>
        <w:t>4</w:t>
      </w:r>
      <w:r w:rsidR="00A14570">
        <w:t>–</w:t>
      </w:r>
      <w:r w:rsidR="00197A29">
        <w:t>2018</w:t>
      </w:r>
      <w:bookmarkEnd w:id="593"/>
      <w:bookmarkEnd w:id="594"/>
      <w:bookmarkEnd w:id="595"/>
      <w:bookmarkEnd w:id="596"/>
      <w:bookmarkEnd w:id="597"/>
    </w:p>
    <w:p w14:paraId="2ADE76C4" w14:textId="2C444B7E" w:rsidR="00197A29" w:rsidRDefault="006A52B9" w:rsidP="006A52B9">
      <w:pPr>
        <w:pStyle w:val="DHHSbody"/>
        <w:rPr>
          <w:i/>
          <w:sz w:val="18"/>
          <w:szCs w:val="18"/>
          <w:lang w:eastAsia="en-AU"/>
        </w:rPr>
      </w:pPr>
      <w:r>
        <w:rPr>
          <w:i/>
          <w:noProof/>
          <w:sz w:val="18"/>
          <w:szCs w:val="18"/>
          <w:lang w:eastAsia="en-AU"/>
        </w:rPr>
        <w:drawing>
          <wp:inline distT="0" distB="0" distL="0" distR="0" wp14:anchorId="6F42BDEF" wp14:editId="16DA3884">
            <wp:extent cx="6669405" cy="3078480"/>
            <wp:effectExtent l="0" t="0" r="0" b="7620"/>
            <wp:docPr id="487" name="Picture 487" descr="This figure provides a summary of Measure 10.3 - Notification rate of unspecified hepatitis C'. The data by Integrated Cancer Service for the study period 2014 to 2018, is set out in a table directly below Fig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669405" cy="3078480"/>
                    </a:xfrm>
                    <a:prstGeom prst="rect">
                      <a:avLst/>
                    </a:prstGeom>
                    <a:noFill/>
                  </pic:spPr>
                </pic:pic>
              </a:graphicData>
            </a:graphic>
          </wp:inline>
        </w:drawing>
      </w:r>
    </w:p>
    <w:p w14:paraId="558ABABC" w14:textId="3E2AAFCE" w:rsidR="000C78CC" w:rsidRPr="00197A29" w:rsidRDefault="000C78CC" w:rsidP="00660649">
      <w:pPr>
        <w:pStyle w:val="DHHStablefigurenote"/>
        <w:rPr>
          <w:b/>
        </w:rPr>
      </w:pPr>
      <w:r w:rsidRPr="001977CC">
        <w:t>Note:</w:t>
      </w:r>
      <w:r w:rsidR="00197A29">
        <w:t xml:space="preserve"> </w:t>
      </w:r>
      <w:r w:rsidR="00023893">
        <w:t>E</w:t>
      </w:r>
      <w:r w:rsidRPr="001977CC">
        <w:t>xclude</w:t>
      </w:r>
      <w:r w:rsidR="00197A29">
        <w:t>s</w:t>
      </w:r>
      <w:r w:rsidRPr="001977CC">
        <w:t xml:space="preserve"> cases where </w:t>
      </w:r>
      <w:r w:rsidR="00023893">
        <w:t xml:space="preserve">the </w:t>
      </w:r>
      <w:r w:rsidRPr="001977CC">
        <w:t>postcode of residence was unknown or not reported.</w:t>
      </w:r>
    </w:p>
    <w:p w14:paraId="462A9A15" w14:textId="77777777" w:rsidR="000C78CC" w:rsidRPr="00671C7A" w:rsidRDefault="000C78CC" w:rsidP="004E58E3">
      <w:pPr>
        <w:pStyle w:val="Heading4"/>
        <w:spacing w:before="0" w:line="270" w:lineRule="atLeast"/>
        <w:rPr>
          <w:lang w:eastAsia="en-AU"/>
        </w:rPr>
      </w:pPr>
      <w:r>
        <w:rPr>
          <w:lang w:eastAsia="en-AU"/>
        </w:rPr>
        <w:lastRenderedPageBreak/>
        <w:t>Measure assessment</w:t>
      </w:r>
    </w:p>
    <w:p w14:paraId="679314AE" w14:textId="1C19C2E1" w:rsidR="00EA3932" w:rsidRPr="00EA3932" w:rsidRDefault="000C78CC" w:rsidP="004E58E3">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43DB9883" w14:textId="77777777" w:rsidR="000C78CC" w:rsidRDefault="000C78CC" w:rsidP="004E58E3">
      <w:pPr>
        <w:spacing w:after="120" w:line="270" w:lineRule="atLeast"/>
        <w:rPr>
          <w:rFonts w:ascii="Arial" w:hAnsi="Arial" w:cs="Arial"/>
        </w:rPr>
      </w:pPr>
      <w:r>
        <w:rPr>
          <w:rFonts w:ascii="Arial" w:hAnsi="Arial" w:cs="Arial"/>
        </w:rPr>
        <w:t>Overall trend: Moving in the right direction</w:t>
      </w:r>
    </w:p>
    <w:p w14:paraId="5A76B1A1" w14:textId="5866AC91" w:rsidR="000C78CC" w:rsidRDefault="000C78CC" w:rsidP="004E58E3">
      <w:pPr>
        <w:pStyle w:val="DHHSbody"/>
      </w:pPr>
      <w:r w:rsidRPr="004E5E2E">
        <w:t xml:space="preserve">Commentary: In </w:t>
      </w:r>
      <w:r w:rsidRPr="00A65297">
        <w:t xml:space="preserve">Victoria, an estimated 65,000 </w:t>
      </w:r>
      <w:r w:rsidR="00605640">
        <w:t>people</w:t>
      </w:r>
      <w:r w:rsidRPr="00A65297">
        <w:t xml:space="preserve"> are living with hepatitis C (HCV). As with </w:t>
      </w:r>
      <w:r w:rsidR="00A65297">
        <w:t>HBV</w:t>
      </w:r>
      <w:r w:rsidRPr="00A65297">
        <w:t xml:space="preserve">, </w:t>
      </w:r>
      <w:r w:rsidR="009D4D76" w:rsidRPr="00C9459B">
        <w:t>HCV</w:t>
      </w:r>
      <w:r w:rsidRPr="00C9459B">
        <w:t xml:space="preserve"> is a virus that causes inflammation and damage to the liver and</w:t>
      </w:r>
      <w:r w:rsidR="009D4D76" w:rsidRPr="00C9459B">
        <w:t>,</w:t>
      </w:r>
      <w:r w:rsidRPr="00C9459B">
        <w:t xml:space="preserve"> </w:t>
      </w:r>
      <w:r w:rsidRPr="00A65297">
        <w:t>if left untreated, chronic HCV can lead to liver cancer</w:t>
      </w:r>
      <w:r w:rsidRPr="004E5E2E">
        <w:t>.</w:t>
      </w:r>
      <w:r>
        <w:rPr>
          <w:rStyle w:val="FootnoteReference"/>
          <w:rFonts w:eastAsia="MS Mincho" w:cs="Arial"/>
        </w:rPr>
        <w:footnoteReference w:id="104"/>
      </w:r>
    </w:p>
    <w:p w14:paraId="168957BD" w14:textId="23A9DBC1" w:rsidR="000C78CC" w:rsidRDefault="000C78CC" w:rsidP="004E58E3">
      <w:pPr>
        <w:spacing w:after="120" w:line="270" w:lineRule="atLeast"/>
        <w:rPr>
          <w:rFonts w:ascii="Arial" w:eastAsia="ArialMTPro-Light" w:hAnsi="Arial" w:cs="Arial"/>
        </w:rPr>
      </w:pPr>
      <w:r w:rsidRPr="00B35011">
        <w:rPr>
          <w:rFonts w:ascii="Arial" w:hAnsi="Arial" w:cs="Arial"/>
        </w:rPr>
        <w:t>In Victoria</w:t>
      </w:r>
      <w:r w:rsidR="009D4D76">
        <w:rPr>
          <w:rFonts w:ascii="Arial" w:hAnsi="Arial" w:cs="Arial"/>
        </w:rPr>
        <w:t>,</w:t>
      </w:r>
      <w:r w:rsidRPr="00B35011">
        <w:rPr>
          <w:rFonts w:ascii="Arial" w:hAnsi="Arial" w:cs="Arial"/>
        </w:rPr>
        <w:t xml:space="preserve"> </w:t>
      </w:r>
      <w:r w:rsidR="009D4D76">
        <w:rPr>
          <w:rFonts w:ascii="Arial" w:hAnsi="Arial" w:cs="Arial"/>
        </w:rPr>
        <w:t>HCV</w:t>
      </w:r>
      <w:r w:rsidRPr="00B35011">
        <w:rPr>
          <w:rFonts w:ascii="Arial" w:hAnsi="Arial" w:cs="Arial"/>
        </w:rPr>
        <w:t xml:space="preserve"> is a notifiable disease under the Public Health and Wellbeing Regulations 2009.</w:t>
      </w:r>
      <w:r w:rsidRPr="00B35011">
        <w:rPr>
          <w:rStyle w:val="FootnoteReference"/>
          <w:rFonts w:eastAsia="MS Mincho" w:cs="Arial"/>
        </w:rPr>
        <w:footnoteReference w:id="105"/>
      </w:r>
      <w:r w:rsidRPr="00B35011">
        <w:rPr>
          <w:rFonts w:ascii="Arial" w:hAnsi="Arial" w:cs="Arial"/>
        </w:rPr>
        <w:t xml:space="preserve"> Figure 10.3 show</w:t>
      </w:r>
      <w:r>
        <w:rPr>
          <w:rFonts w:ascii="Arial" w:hAnsi="Arial" w:cs="Arial"/>
        </w:rPr>
        <w:t>s</w:t>
      </w:r>
      <w:r w:rsidRPr="00B35011">
        <w:rPr>
          <w:rFonts w:ascii="Arial" w:hAnsi="Arial" w:cs="Arial"/>
        </w:rPr>
        <w:t xml:space="preserve"> that the notification rate of unspecified </w:t>
      </w:r>
      <w:r w:rsidR="009D4D76">
        <w:rPr>
          <w:rFonts w:ascii="Arial" w:hAnsi="Arial" w:cs="Arial"/>
        </w:rPr>
        <w:t>HCV</w:t>
      </w:r>
      <w:r w:rsidRPr="00B35011">
        <w:rPr>
          <w:rFonts w:ascii="Arial" w:hAnsi="Arial" w:cs="Arial"/>
        </w:rPr>
        <w:t xml:space="preserve"> in Victoria has reduced by </w:t>
      </w:r>
      <w:r w:rsidR="00D13225">
        <w:rPr>
          <w:rFonts w:ascii="Arial" w:hAnsi="Arial" w:cs="Arial"/>
        </w:rPr>
        <w:t xml:space="preserve">approximately </w:t>
      </w:r>
      <w:r w:rsidR="009D4D76">
        <w:rPr>
          <w:rFonts w:ascii="Arial" w:hAnsi="Arial" w:cs="Arial"/>
        </w:rPr>
        <w:t>four</w:t>
      </w:r>
      <w:r w:rsidRPr="00B35011">
        <w:rPr>
          <w:rFonts w:ascii="Arial" w:hAnsi="Arial" w:cs="Arial"/>
        </w:rPr>
        <w:t xml:space="preserve"> per cent from 33.</w:t>
      </w:r>
      <w:r w:rsidR="008E3CCD">
        <w:rPr>
          <w:rFonts w:ascii="Arial" w:hAnsi="Arial" w:cs="Arial"/>
        </w:rPr>
        <w:t>6</w:t>
      </w:r>
      <w:r w:rsidRPr="00B35011">
        <w:rPr>
          <w:rFonts w:ascii="Arial" w:hAnsi="Arial" w:cs="Arial"/>
        </w:rPr>
        <w:t xml:space="preserve"> cases per 100,000 in 2014 to 2</w:t>
      </w:r>
      <w:r w:rsidR="008E3CCD">
        <w:rPr>
          <w:rFonts w:ascii="Arial" w:hAnsi="Arial" w:cs="Arial"/>
        </w:rPr>
        <w:t>8</w:t>
      </w:r>
      <w:r w:rsidRPr="00B35011">
        <w:rPr>
          <w:rFonts w:ascii="Arial" w:hAnsi="Arial" w:cs="Arial"/>
        </w:rPr>
        <w:t>.</w:t>
      </w:r>
      <w:r w:rsidR="008E3CCD">
        <w:rPr>
          <w:rFonts w:ascii="Arial" w:hAnsi="Arial" w:cs="Arial"/>
        </w:rPr>
        <w:t>8</w:t>
      </w:r>
      <w:r w:rsidRPr="00B35011">
        <w:rPr>
          <w:rFonts w:ascii="Arial" w:hAnsi="Arial" w:cs="Arial"/>
        </w:rPr>
        <w:t xml:space="preserve"> cases per 100,000 in 201</w:t>
      </w:r>
      <w:r w:rsidR="008E3CCD">
        <w:rPr>
          <w:rFonts w:ascii="Arial" w:hAnsi="Arial" w:cs="Arial"/>
        </w:rPr>
        <w:t>8</w:t>
      </w:r>
      <w:r w:rsidRPr="00B35011">
        <w:rPr>
          <w:rStyle w:val="FootnoteReference"/>
          <w:rFonts w:eastAsia="Times" w:cs="Arial"/>
        </w:rPr>
        <w:footnoteReference w:id="106"/>
      </w:r>
      <w:r w:rsidRPr="00B35011">
        <w:rPr>
          <w:rFonts w:ascii="Arial" w:hAnsi="Arial" w:cs="Arial"/>
        </w:rPr>
        <w:t xml:space="preserve"> and is lower than the overall notification rate for HCV </w:t>
      </w:r>
      <w:r w:rsidRPr="00B35011">
        <w:rPr>
          <w:rFonts w:ascii="Arial" w:eastAsia="ArialMTPro-Light" w:hAnsi="Arial" w:cs="Arial"/>
        </w:rPr>
        <w:t>in Australia.</w:t>
      </w:r>
      <w:r>
        <w:rPr>
          <w:rFonts w:ascii="Arial" w:eastAsia="ArialMTPro-Light" w:hAnsi="Arial" w:cs="Arial"/>
        </w:rPr>
        <w:t xml:space="preserve"> </w:t>
      </w:r>
      <w:r w:rsidRPr="00DB6020">
        <w:rPr>
          <w:rFonts w:ascii="Arial" w:eastAsia="ArialMTPro-Light" w:hAnsi="Arial" w:cs="Arial"/>
        </w:rPr>
        <w:t xml:space="preserve">It is important to note that the increase in </w:t>
      </w:r>
      <w:r>
        <w:rPr>
          <w:rFonts w:ascii="Arial" w:eastAsia="ArialMTPro-Light" w:hAnsi="Arial" w:cs="Arial"/>
        </w:rPr>
        <w:t xml:space="preserve">the Victorian </w:t>
      </w:r>
      <w:r w:rsidRPr="00DB6020">
        <w:rPr>
          <w:rFonts w:ascii="Arial" w:eastAsia="ArialMTPro-Light" w:hAnsi="Arial" w:cs="Arial"/>
        </w:rPr>
        <w:t xml:space="preserve">notification rate in 2016 may reflect increased testing </w:t>
      </w:r>
      <w:r>
        <w:rPr>
          <w:rFonts w:ascii="Arial" w:eastAsia="ArialMTPro-Light" w:hAnsi="Arial" w:cs="Arial"/>
        </w:rPr>
        <w:t>as a result of people accessing new direct-acting antiviral regimens subsidised by the Pharmaceutical Benefit Scheme from March 2016</w:t>
      </w:r>
      <w:r w:rsidRPr="00DB6020">
        <w:rPr>
          <w:rFonts w:ascii="Arial" w:eastAsia="ArialMTPro-Light" w:hAnsi="Arial" w:cs="Arial"/>
        </w:rPr>
        <w:t>.</w:t>
      </w:r>
    </w:p>
    <w:p w14:paraId="2DF7B6DE" w14:textId="7147FF98" w:rsidR="000C78CC" w:rsidRDefault="000C78CC" w:rsidP="00ED2179">
      <w:pPr>
        <w:spacing w:after="120" w:line="270" w:lineRule="atLeast"/>
        <w:rPr>
          <w:rFonts w:ascii="Arial" w:eastAsia="ArialMTPro-Light" w:hAnsi="Arial" w:cs="Arial"/>
        </w:rPr>
      </w:pPr>
      <w:r>
        <w:rPr>
          <w:rFonts w:ascii="Arial" w:eastAsia="ArialMTPro-Light" w:hAnsi="Arial" w:cs="Arial"/>
        </w:rPr>
        <w:t xml:space="preserve">As with HBV, rates for HCV </w:t>
      </w:r>
      <w:r>
        <w:rPr>
          <w:rFonts w:ascii="Arial" w:hAnsi="Arial" w:cs="Arial"/>
        </w:rPr>
        <w:t xml:space="preserve">have been consistently higher among males than females and were </w:t>
      </w:r>
      <w:r w:rsidR="00D778C5">
        <w:rPr>
          <w:rFonts w:ascii="Arial" w:hAnsi="Arial" w:cs="Arial"/>
        </w:rPr>
        <w:t>39</w:t>
      </w:r>
      <w:r>
        <w:rPr>
          <w:rFonts w:ascii="Arial" w:hAnsi="Arial" w:cs="Arial"/>
        </w:rPr>
        <w:t>.</w:t>
      </w:r>
      <w:r w:rsidR="00D778C5">
        <w:rPr>
          <w:rFonts w:ascii="Arial" w:hAnsi="Arial" w:cs="Arial"/>
        </w:rPr>
        <w:t>1</w:t>
      </w:r>
      <w:r>
        <w:rPr>
          <w:rFonts w:ascii="Arial" w:hAnsi="Arial" w:cs="Arial"/>
        </w:rPr>
        <w:t xml:space="preserve"> </w:t>
      </w:r>
      <w:r w:rsidRPr="00B35011">
        <w:rPr>
          <w:rFonts w:ascii="Arial" w:hAnsi="Arial" w:cs="Arial"/>
        </w:rPr>
        <w:t xml:space="preserve">cases per 100,000 </w:t>
      </w:r>
      <w:r>
        <w:rPr>
          <w:rFonts w:ascii="Arial" w:hAnsi="Arial" w:cs="Arial"/>
        </w:rPr>
        <w:t xml:space="preserve">and </w:t>
      </w:r>
      <w:r w:rsidR="00D778C5">
        <w:rPr>
          <w:rFonts w:ascii="Arial" w:hAnsi="Arial" w:cs="Arial"/>
        </w:rPr>
        <w:t>19</w:t>
      </w:r>
      <w:r>
        <w:rPr>
          <w:rFonts w:ascii="Arial" w:hAnsi="Arial" w:cs="Arial"/>
        </w:rPr>
        <w:t>.</w:t>
      </w:r>
      <w:r w:rsidR="00D778C5">
        <w:rPr>
          <w:rFonts w:ascii="Arial" w:hAnsi="Arial" w:cs="Arial"/>
        </w:rPr>
        <w:t>3</w:t>
      </w:r>
      <w:r>
        <w:rPr>
          <w:rFonts w:ascii="Arial" w:hAnsi="Arial" w:cs="Arial"/>
        </w:rPr>
        <w:t xml:space="preserve"> cases per 100,000 population in 201</w:t>
      </w:r>
      <w:r w:rsidR="00D778C5">
        <w:rPr>
          <w:rFonts w:ascii="Arial" w:hAnsi="Arial" w:cs="Arial"/>
        </w:rPr>
        <w:t>8</w:t>
      </w:r>
      <w:r>
        <w:rPr>
          <w:rFonts w:ascii="Arial" w:hAnsi="Arial" w:cs="Arial"/>
        </w:rPr>
        <w:t xml:space="preserve"> respectively (Figure 10.3.1).</w:t>
      </w:r>
      <w:r w:rsidR="00952FC7">
        <w:rPr>
          <w:rFonts w:ascii="Arial" w:eastAsia="ArialMTPro-Light" w:hAnsi="Arial" w:cs="Arial"/>
        </w:rPr>
        <w:t xml:space="preserve"> </w:t>
      </w:r>
      <w:r w:rsidR="00DA5E54">
        <w:rPr>
          <w:rFonts w:ascii="Arial" w:eastAsia="ArialMTPro-Light" w:hAnsi="Arial" w:cs="Arial"/>
        </w:rPr>
        <w:t>Because</w:t>
      </w:r>
      <w:r w:rsidR="007616B1" w:rsidRPr="00DB6020">
        <w:rPr>
          <w:rFonts w:ascii="Arial" w:eastAsia="ArialMTPro-Light" w:hAnsi="Arial" w:cs="Arial"/>
        </w:rPr>
        <w:t xml:space="preserve"> the primary route of </w:t>
      </w:r>
      <w:r w:rsidR="00DA5E54">
        <w:rPr>
          <w:rFonts w:ascii="Arial" w:eastAsia="ArialMTPro-Light" w:hAnsi="Arial" w:cs="Arial"/>
        </w:rPr>
        <w:t>HCV</w:t>
      </w:r>
      <w:r w:rsidR="00DA5E54" w:rsidRPr="00DB6020">
        <w:rPr>
          <w:rFonts w:ascii="Arial" w:eastAsia="ArialMTPro-Light" w:hAnsi="Arial" w:cs="Arial"/>
        </w:rPr>
        <w:t xml:space="preserve"> </w:t>
      </w:r>
      <w:r w:rsidR="007616B1" w:rsidRPr="00DB6020">
        <w:rPr>
          <w:rFonts w:ascii="Arial" w:eastAsia="ArialMTPro-Light" w:hAnsi="Arial" w:cs="Arial"/>
        </w:rPr>
        <w:t>transmission is sharing injecting equipment, a practice that typically starts in late adolescence</w:t>
      </w:r>
      <w:r w:rsidR="007616B1">
        <w:rPr>
          <w:rFonts w:ascii="Arial" w:eastAsia="ArialMTPro-Light" w:hAnsi="Arial" w:cs="Arial"/>
        </w:rPr>
        <w:t xml:space="preserve"> (15</w:t>
      </w:r>
      <w:r w:rsidR="00CA2AD7">
        <w:rPr>
          <w:rFonts w:ascii="Arial" w:eastAsia="ArialMTPro-Light" w:hAnsi="Arial" w:cs="Arial"/>
        </w:rPr>
        <w:t>–</w:t>
      </w:r>
      <w:r w:rsidR="007616B1">
        <w:rPr>
          <w:rFonts w:ascii="Arial" w:eastAsia="ArialMTPro-Light" w:hAnsi="Arial" w:cs="Arial"/>
        </w:rPr>
        <w:t>19 years)</w:t>
      </w:r>
      <w:r w:rsidR="007616B1" w:rsidRPr="00DB6020">
        <w:rPr>
          <w:rFonts w:ascii="Arial" w:eastAsia="ArialMTPro-Light" w:hAnsi="Arial" w:cs="Arial"/>
        </w:rPr>
        <w:t xml:space="preserve"> or early adulthood, trends in the rate of notifications in those under 2</w:t>
      </w:r>
      <w:r w:rsidR="0015373A">
        <w:rPr>
          <w:rFonts w:ascii="Arial" w:eastAsia="ArialMTPro-Light" w:hAnsi="Arial" w:cs="Arial"/>
        </w:rPr>
        <w:t>0</w:t>
      </w:r>
      <w:r w:rsidR="007616B1" w:rsidRPr="00DB6020">
        <w:rPr>
          <w:rFonts w:ascii="Arial" w:eastAsia="ArialMTPro-Light" w:hAnsi="Arial" w:cs="Arial"/>
        </w:rPr>
        <w:t xml:space="preserve"> years</w:t>
      </w:r>
      <w:r w:rsidR="007616B1">
        <w:rPr>
          <w:rFonts w:ascii="Arial" w:eastAsia="ArialMTPro-Light" w:hAnsi="Arial" w:cs="Arial"/>
        </w:rPr>
        <w:t xml:space="preserve"> that are injecting drug users</w:t>
      </w:r>
      <w:r w:rsidR="007616B1" w:rsidRPr="00DB6020">
        <w:rPr>
          <w:rFonts w:ascii="Arial" w:eastAsia="ArialMTPro-Light" w:hAnsi="Arial" w:cs="Arial"/>
        </w:rPr>
        <w:t xml:space="preserve"> can be a proxy for the </w:t>
      </w:r>
      <w:r w:rsidR="007616B1">
        <w:rPr>
          <w:rFonts w:ascii="Arial" w:eastAsia="ArialMTPro-Light" w:hAnsi="Arial" w:cs="Arial"/>
        </w:rPr>
        <w:t>notification</w:t>
      </w:r>
      <w:r w:rsidR="007616B1" w:rsidRPr="00DB6020">
        <w:rPr>
          <w:rFonts w:ascii="Arial" w:eastAsia="ArialMTPro-Light" w:hAnsi="Arial" w:cs="Arial"/>
        </w:rPr>
        <w:t xml:space="preserve"> of </w:t>
      </w:r>
      <w:r w:rsidR="009D4D76">
        <w:rPr>
          <w:rFonts w:ascii="Arial" w:eastAsia="ArialMTPro-Light" w:hAnsi="Arial" w:cs="Arial"/>
        </w:rPr>
        <w:t>HCV</w:t>
      </w:r>
      <w:r w:rsidR="007616B1" w:rsidRPr="00DB6020">
        <w:rPr>
          <w:rFonts w:ascii="Arial" w:eastAsia="ArialMTPro-Light" w:hAnsi="Arial" w:cs="Arial"/>
        </w:rPr>
        <w:t xml:space="preserve"> infection in recent years.</w:t>
      </w:r>
      <w:r w:rsidR="007616B1">
        <w:rPr>
          <w:rStyle w:val="FootnoteReference"/>
          <w:rFonts w:eastAsia="ArialMTPro-Light" w:cs="Arial"/>
        </w:rPr>
        <w:footnoteReference w:id="107"/>
      </w:r>
      <w:r w:rsidR="007616B1">
        <w:rPr>
          <w:rFonts w:ascii="Arial" w:eastAsia="ArialMTPro-Light" w:hAnsi="Arial" w:cs="Arial"/>
        </w:rPr>
        <w:t xml:space="preserve"> Among Victorian people aged under 20 years, there has been a decrease in the notification rate among 15</w:t>
      </w:r>
      <w:r w:rsidR="00CA2AD7">
        <w:rPr>
          <w:rFonts w:ascii="Arial" w:eastAsia="ArialMTPro-Light" w:hAnsi="Arial" w:cs="Arial"/>
        </w:rPr>
        <w:t>–</w:t>
      </w:r>
      <w:r w:rsidR="007616B1">
        <w:rPr>
          <w:rFonts w:ascii="Arial" w:eastAsia="ArialMTPro-Light" w:hAnsi="Arial" w:cs="Arial"/>
        </w:rPr>
        <w:t>19</w:t>
      </w:r>
      <w:r w:rsidR="00DA5E54">
        <w:rPr>
          <w:rFonts w:ascii="Arial" w:eastAsia="ArialMTPro-Light" w:hAnsi="Arial" w:cs="Arial"/>
        </w:rPr>
        <w:t>-</w:t>
      </w:r>
      <w:r w:rsidR="007616B1">
        <w:rPr>
          <w:rFonts w:ascii="Arial" w:eastAsia="ArialMTPro-Light" w:hAnsi="Arial" w:cs="Arial"/>
        </w:rPr>
        <w:t>year age group between 2014 and 2018 from 83.8 cases per 100</w:t>
      </w:r>
      <w:r w:rsidR="00DA5E54">
        <w:rPr>
          <w:rFonts w:ascii="Arial" w:eastAsia="ArialMTPro-Light" w:hAnsi="Arial" w:cs="Arial"/>
        </w:rPr>
        <w:t>,</w:t>
      </w:r>
      <w:r w:rsidR="007616B1">
        <w:rPr>
          <w:rFonts w:ascii="Arial" w:eastAsia="ArialMTPro-Light" w:hAnsi="Arial" w:cs="Arial"/>
        </w:rPr>
        <w:t>000 population in 2014 to 68.2 cases per 100</w:t>
      </w:r>
      <w:r w:rsidR="00A65297">
        <w:rPr>
          <w:rFonts w:ascii="Arial" w:eastAsia="ArialMTPro-Light" w:hAnsi="Arial" w:cs="Arial"/>
        </w:rPr>
        <w:t>,</w:t>
      </w:r>
      <w:r w:rsidR="007616B1">
        <w:rPr>
          <w:rFonts w:ascii="Arial" w:eastAsia="ArialMTPro-Light" w:hAnsi="Arial" w:cs="Arial"/>
        </w:rPr>
        <w:t xml:space="preserve">000 </w:t>
      </w:r>
      <w:r w:rsidR="007616B1">
        <w:rPr>
          <w:rFonts w:ascii="Arial" w:hAnsi="Arial" w:cs="Arial"/>
        </w:rPr>
        <w:t xml:space="preserve">population </w:t>
      </w:r>
      <w:r w:rsidR="007616B1">
        <w:rPr>
          <w:rFonts w:ascii="Arial" w:eastAsia="ArialMTPro-Light" w:hAnsi="Arial" w:cs="Arial"/>
        </w:rPr>
        <w:t>in 2018 (Figure 10.3.2).</w:t>
      </w:r>
      <w:r w:rsidR="006E169F">
        <w:rPr>
          <w:rFonts w:ascii="Arial" w:eastAsia="ArialMTPro-Light" w:hAnsi="Arial" w:cs="Arial"/>
        </w:rPr>
        <w:t xml:space="preserve"> This is despite the higher rate in this age group compared to other age groups. </w:t>
      </w:r>
      <w:r w:rsidR="0015373A">
        <w:rPr>
          <w:rFonts w:ascii="Arial" w:eastAsia="ArialMTPro-Light" w:hAnsi="Arial" w:cs="Arial"/>
        </w:rPr>
        <w:t>T</w:t>
      </w:r>
      <w:r>
        <w:rPr>
          <w:rFonts w:ascii="Arial" w:eastAsia="ArialMTPro-Light" w:hAnsi="Arial" w:cs="Arial"/>
        </w:rPr>
        <w:t>he age group 30</w:t>
      </w:r>
      <w:r w:rsidRPr="00DB6020">
        <w:rPr>
          <w:rFonts w:ascii="Arial" w:eastAsia="ArialMTPro-Light" w:hAnsi="Arial" w:cs="Arial"/>
        </w:rPr>
        <w:t>–39 years had the</w:t>
      </w:r>
      <w:r w:rsidR="0015373A">
        <w:rPr>
          <w:rFonts w:ascii="Arial" w:eastAsia="ArialMTPro-Light" w:hAnsi="Arial" w:cs="Arial"/>
        </w:rPr>
        <w:t xml:space="preserve"> next</w:t>
      </w:r>
      <w:r w:rsidRPr="00DB6020">
        <w:rPr>
          <w:rFonts w:ascii="Arial" w:eastAsia="ArialMTPro-Light" w:hAnsi="Arial" w:cs="Arial"/>
        </w:rPr>
        <w:t xml:space="preserve"> highest rate of notification, </w:t>
      </w:r>
      <w:r>
        <w:rPr>
          <w:rFonts w:ascii="Arial" w:eastAsia="ArialMTPro-Light" w:hAnsi="Arial" w:cs="Arial"/>
        </w:rPr>
        <w:t>although the rate of notification of HCV has declined from 6</w:t>
      </w:r>
      <w:r w:rsidR="0015373A">
        <w:rPr>
          <w:rFonts w:ascii="Arial" w:eastAsia="ArialMTPro-Light" w:hAnsi="Arial" w:cs="Arial"/>
        </w:rPr>
        <w:t>2</w:t>
      </w:r>
      <w:r>
        <w:rPr>
          <w:rFonts w:ascii="Arial" w:eastAsia="ArialMTPro-Light" w:hAnsi="Arial" w:cs="Arial"/>
        </w:rPr>
        <w:t>.</w:t>
      </w:r>
      <w:r w:rsidR="0015373A">
        <w:rPr>
          <w:rFonts w:ascii="Arial" w:eastAsia="ArialMTPro-Light" w:hAnsi="Arial" w:cs="Arial"/>
        </w:rPr>
        <w:t>9</w:t>
      </w:r>
      <w:r>
        <w:rPr>
          <w:rFonts w:ascii="Arial" w:eastAsia="ArialMTPro-Light" w:hAnsi="Arial" w:cs="Arial"/>
        </w:rPr>
        <w:t xml:space="preserve"> cases per 100</w:t>
      </w:r>
      <w:r w:rsidR="00DA5E54">
        <w:rPr>
          <w:rFonts w:ascii="Arial" w:eastAsia="ArialMTPro-Light" w:hAnsi="Arial" w:cs="Arial"/>
        </w:rPr>
        <w:t>,</w:t>
      </w:r>
      <w:r>
        <w:rPr>
          <w:rFonts w:ascii="Arial" w:eastAsia="ArialMTPro-Light" w:hAnsi="Arial" w:cs="Arial"/>
        </w:rPr>
        <w:t xml:space="preserve">000 </w:t>
      </w:r>
      <w:r>
        <w:rPr>
          <w:rFonts w:ascii="Arial" w:hAnsi="Arial" w:cs="Arial"/>
        </w:rPr>
        <w:t>population</w:t>
      </w:r>
      <w:r>
        <w:rPr>
          <w:rFonts w:ascii="Arial" w:eastAsia="ArialMTPro-Light" w:hAnsi="Arial" w:cs="Arial"/>
        </w:rPr>
        <w:t xml:space="preserve"> in 2014 to 5</w:t>
      </w:r>
      <w:r w:rsidR="0015373A">
        <w:rPr>
          <w:rFonts w:ascii="Arial" w:eastAsia="ArialMTPro-Light" w:hAnsi="Arial" w:cs="Arial"/>
        </w:rPr>
        <w:t>4</w:t>
      </w:r>
      <w:r>
        <w:rPr>
          <w:rFonts w:ascii="Arial" w:eastAsia="ArialMTPro-Light" w:hAnsi="Arial" w:cs="Arial"/>
        </w:rPr>
        <w:t>.</w:t>
      </w:r>
      <w:r w:rsidR="0015373A">
        <w:rPr>
          <w:rFonts w:ascii="Arial" w:eastAsia="ArialMTPro-Light" w:hAnsi="Arial" w:cs="Arial"/>
        </w:rPr>
        <w:t>8</w:t>
      </w:r>
      <w:r>
        <w:rPr>
          <w:rFonts w:ascii="Arial" w:eastAsia="ArialMTPro-Light" w:hAnsi="Arial" w:cs="Arial"/>
        </w:rPr>
        <w:t xml:space="preserve"> cases per 100</w:t>
      </w:r>
      <w:r w:rsidR="00A65297">
        <w:rPr>
          <w:rFonts w:ascii="Arial" w:eastAsia="ArialMTPro-Light" w:hAnsi="Arial" w:cs="Arial"/>
        </w:rPr>
        <w:t>,</w:t>
      </w:r>
      <w:r>
        <w:rPr>
          <w:rFonts w:ascii="Arial" w:eastAsia="ArialMTPro-Light" w:hAnsi="Arial" w:cs="Arial"/>
        </w:rPr>
        <w:t xml:space="preserve">000 </w:t>
      </w:r>
      <w:r>
        <w:rPr>
          <w:rFonts w:ascii="Arial" w:hAnsi="Arial" w:cs="Arial"/>
        </w:rPr>
        <w:t>population</w:t>
      </w:r>
      <w:r>
        <w:rPr>
          <w:rFonts w:ascii="Arial" w:eastAsia="ArialMTPro-Light" w:hAnsi="Arial" w:cs="Arial"/>
        </w:rPr>
        <w:t xml:space="preserve"> in 201</w:t>
      </w:r>
      <w:r w:rsidR="0015373A">
        <w:rPr>
          <w:rFonts w:ascii="Arial" w:eastAsia="ArialMTPro-Light" w:hAnsi="Arial" w:cs="Arial"/>
        </w:rPr>
        <w:t>8</w:t>
      </w:r>
      <w:r>
        <w:rPr>
          <w:rFonts w:ascii="Arial" w:eastAsia="ArialMTPro-Light" w:hAnsi="Arial" w:cs="Arial"/>
        </w:rPr>
        <w:t>.</w:t>
      </w:r>
      <w:r w:rsidR="00952FC7">
        <w:rPr>
          <w:rFonts w:ascii="Arial" w:eastAsia="ArialMTPro-Light" w:hAnsi="Arial" w:cs="Arial"/>
        </w:rPr>
        <w:t xml:space="preserve"> </w:t>
      </w:r>
      <w:r>
        <w:rPr>
          <w:rFonts w:ascii="Arial" w:eastAsia="ArialMTPro-Light" w:hAnsi="Arial" w:cs="Arial"/>
        </w:rPr>
        <w:t xml:space="preserve">Over the </w:t>
      </w:r>
      <w:r w:rsidR="004C6A94">
        <w:rPr>
          <w:rFonts w:ascii="Arial" w:eastAsia="ArialMTPro-Light" w:hAnsi="Arial" w:cs="Arial"/>
        </w:rPr>
        <w:t xml:space="preserve">reporting </w:t>
      </w:r>
      <w:r>
        <w:rPr>
          <w:rFonts w:ascii="Arial" w:eastAsia="ArialMTPro-Light" w:hAnsi="Arial" w:cs="Arial"/>
        </w:rPr>
        <w:t>period 2014</w:t>
      </w:r>
      <w:r w:rsidR="00DA5E54">
        <w:rPr>
          <w:rFonts w:ascii="Arial" w:eastAsia="ArialMTPro-Light" w:hAnsi="Arial" w:cs="Arial"/>
        </w:rPr>
        <w:t>–</w:t>
      </w:r>
      <w:r>
        <w:rPr>
          <w:rFonts w:ascii="Arial" w:eastAsia="ArialMTPro-Light" w:hAnsi="Arial" w:cs="Arial"/>
        </w:rPr>
        <w:t>201</w:t>
      </w:r>
      <w:r w:rsidR="00D778C5">
        <w:rPr>
          <w:rFonts w:ascii="Arial" w:eastAsia="ArialMTPro-Light" w:hAnsi="Arial" w:cs="Arial"/>
        </w:rPr>
        <w:t>8</w:t>
      </w:r>
      <w:r>
        <w:rPr>
          <w:rFonts w:ascii="Arial" w:eastAsia="ArialMTPro-Light" w:hAnsi="Arial" w:cs="Arial"/>
        </w:rPr>
        <w:t xml:space="preserve">, a </w:t>
      </w:r>
      <w:r w:rsidR="0015373A">
        <w:rPr>
          <w:rFonts w:ascii="Arial" w:eastAsia="ArialMTPro-Light" w:hAnsi="Arial" w:cs="Arial"/>
        </w:rPr>
        <w:t xml:space="preserve">relatively </w:t>
      </w:r>
      <w:r>
        <w:rPr>
          <w:rFonts w:ascii="Arial" w:eastAsia="ArialMTPro-Light" w:hAnsi="Arial" w:cs="Arial"/>
        </w:rPr>
        <w:t>s</w:t>
      </w:r>
      <w:r w:rsidR="0015373A">
        <w:rPr>
          <w:rFonts w:ascii="Arial" w:eastAsia="ArialMTPro-Light" w:hAnsi="Arial" w:cs="Arial"/>
        </w:rPr>
        <w:t>teady</w:t>
      </w:r>
      <w:r>
        <w:rPr>
          <w:rFonts w:ascii="Arial" w:eastAsia="ArialMTPro-Light" w:hAnsi="Arial" w:cs="Arial"/>
        </w:rPr>
        <w:t xml:space="preserve"> pattern was observed among people aged </w:t>
      </w:r>
      <w:r w:rsidR="0015373A">
        <w:rPr>
          <w:rFonts w:ascii="Arial" w:eastAsia="ArialMTPro-Light" w:hAnsi="Arial" w:cs="Arial"/>
        </w:rPr>
        <w:t>4</w:t>
      </w:r>
      <w:r>
        <w:rPr>
          <w:rFonts w:ascii="Arial" w:eastAsia="ArialMTPro-Light" w:hAnsi="Arial" w:cs="Arial"/>
        </w:rPr>
        <w:t>0</w:t>
      </w:r>
      <w:r w:rsidR="0015373A">
        <w:rPr>
          <w:rFonts w:ascii="Arial" w:eastAsia="ArialMTPro-Light" w:hAnsi="Arial" w:cs="Arial"/>
        </w:rPr>
        <w:t xml:space="preserve"> </w:t>
      </w:r>
      <w:r>
        <w:rPr>
          <w:rFonts w:ascii="Arial" w:eastAsia="ArialMTPro-Light" w:hAnsi="Arial" w:cs="Arial"/>
        </w:rPr>
        <w:t xml:space="preserve">years </w:t>
      </w:r>
      <w:r w:rsidR="001B50BF">
        <w:rPr>
          <w:rFonts w:ascii="Arial" w:eastAsia="ArialMTPro-Light" w:hAnsi="Arial" w:cs="Arial"/>
        </w:rPr>
        <w:t xml:space="preserve">or </w:t>
      </w:r>
      <w:r w:rsidR="0015373A">
        <w:rPr>
          <w:rFonts w:ascii="Arial" w:eastAsia="ArialMTPro-Light" w:hAnsi="Arial" w:cs="Arial"/>
        </w:rPr>
        <w:t>older</w:t>
      </w:r>
      <w:r>
        <w:rPr>
          <w:rFonts w:ascii="Arial" w:eastAsia="ArialMTPro-Light" w:hAnsi="Arial" w:cs="Arial"/>
        </w:rPr>
        <w:t>.</w:t>
      </w:r>
    </w:p>
    <w:p w14:paraId="1319DCA6" w14:textId="7904517F" w:rsidR="000C78CC" w:rsidRPr="007C285D" w:rsidRDefault="00A00AD6" w:rsidP="00ED2179">
      <w:pPr>
        <w:spacing w:after="120" w:line="270" w:lineRule="atLeast"/>
        <w:rPr>
          <w:rFonts w:ascii="Arial" w:hAnsi="Arial" w:cs="Arial"/>
        </w:rPr>
      </w:pPr>
      <w:r>
        <w:rPr>
          <w:rFonts w:ascii="Arial" w:hAnsi="Arial" w:cs="Arial"/>
        </w:rPr>
        <w:t>Figure</w:t>
      </w:r>
      <w:r w:rsidR="000C78CC" w:rsidRPr="00A86F08">
        <w:rPr>
          <w:rFonts w:ascii="Arial" w:hAnsi="Arial" w:cs="Arial"/>
        </w:rPr>
        <w:t xml:space="preserve"> 10.</w:t>
      </w:r>
      <w:r w:rsidR="000C78CC">
        <w:rPr>
          <w:rFonts w:ascii="Arial" w:hAnsi="Arial" w:cs="Arial"/>
        </w:rPr>
        <w:t>3</w:t>
      </w:r>
      <w:r>
        <w:rPr>
          <w:rFonts w:ascii="Arial" w:hAnsi="Arial" w:cs="Arial"/>
        </w:rPr>
        <w:t>.3 shows the</w:t>
      </w:r>
      <w:r w:rsidR="000C78CC" w:rsidRPr="00A86F08">
        <w:rPr>
          <w:rFonts w:ascii="Arial" w:hAnsi="Arial" w:cs="Arial"/>
        </w:rPr>
        <w:t xml:space="preserve"> distribution of </w:t>
      </w:r>
      <w:r w:rsidR="009D4D76">
        <w:rPr>
          <w:rFonts w:ascii="Arial" w:hAnsi="Arial" w:cs="Arial"/>
        </w:rPr>
        <w:t>HCV</w:t>
      </w:r>
      <w:r w:rsidR="000C78CC" w:rsidRPr="00A86F08">
        <w:rPr>
          <w:rFonts w:ascii="Arial" w:hAnsi="Arial" w:cs="Arial"/>
        </w:rPr>
        <w:t xml:space="preserve"> notification rat</w:t>
      </w:r>
      <w:r>
        <w:rPr>
          <w:rFonts w:ascii="Arial" w:hAnsi="Arial" w:cs="Arial"/>
        </w:rPr>
        <w:t>e by ICS</w:t>
      </w:r>
      <w:r w:rsidR="00B64C75">
        <w:rPr>
          <w:rFonts w:ascii="Arial" w:hAnsi="Arial" w:cs="Arial"/>
        </w:rPr>
        <w:t xml:space="preserve"> </w:t>
      </w:r>
      <w:r w:rsidR="000C78CC" w:rsidRPr="00A86F08">
        <w:rPr>
          <w:rFonts w:ascii="Arial" w:hAnsi="Arial" w:cs="Arial"/>
        </w:rPr>
        <w:t>withi</w:t>
      </w:r>
      <w:r w:rsidR="00B64C75">
        <w:rPr>
          <w:rFonts w:ascii="Arial" w:hAnsi="Arial" w:cs="Arial"/>
        </w:rPr>
        <w:t>n Victoria between 2014 and 2018</w:t>
      </w:r>
      <w:r w:rsidR="000C78CC" w:rsidRPr="00A86F08">
        <w:rPr>
          <w:rFonts w:ascii="Arial" w:hAnsi="Arial" w:cs="Arial"/>
        </w:rPr>
        <w:t>.</w:t>
      </w:r>
      <w:r w:rsidR="00952FC7">
        <w:rPr>
          <w:rFonts w:ascii="Arial" w:hAnsi="Arial" w:cs="Arial"/>
        </w:rPr>
        <w:t xml:space="preserve"> </w:t>
      </w:r>
      <w:r w:rsidR="000C78CC" w:rsidRPr="00A86F08">
        <w:rPr>
          <w:rFonts w:ascii="Arial" w:hAnsi="Arial" w:cs="Arial"/>
        </w:rPr>
        <w:t xml:space="preserve">ICSs with the </w:t>
      </w:r>
      <w:r w:rsidR="000C78CC">
        <w:rPr>
          <w:rFonts w:ascii="Arial" w:hAnsi="Arial" w:cs="Arial"/>
        </w:rPr>
        <w:t xml:space="preserve">lower </w:t>
      </w:r>
      <w:r w:rsidR="000C78CC" w:rsidRPr="00A86F08">
        <w:rPr>
          <w:rFonts w:ascii="Arial" w:hAnsi="Arial" w:cs="Arial"/>
        </w:rPr>
        <w:t xml:space="preserve">rates tended to be those that have large metropolitan areas such </w:t>
      </w:r>
      <w:r w:rsidR="000C78CC">
        <w:rPr>
          <w:rFonts w:ascii="Arial" w:hAnsi="Arial" w:cs="Arial"/>
        </w:rPr>
        <w:t xml:space="preserve">as </w:t>
      </w:r>
      <w:r w:rsidR="000C78CC" w:rsidRPr="00A86F08">
        <w:rPr>
          <w:rFonts w:ascii="Arial" w:hAnsi="Arial" w:cs="Arial"/>
        </w:rPr>
        <w:t>Melbourne</w:t>
      </w:r>
      <w:r w:rsidR="000C78CC">
        <w:rPr>
          <w:rFonts w:ascii="Arial" w:hAnsi="Arial" w:cs="Arial"/>
        </w:rPr>
        <w:t>, suggesting that the HCV burden is inequitably distributed across Victoria. However, some ICSs that in</w:t>
      </w:r>
      <w:r w:rsidR="00B64C75">
        <w:rPr>
          <w:rFonts w:ascii="Arial" w:hAnsi="Arial" w:cs="Arial"/>
        </w:rPr>
        <w:t>clude outer regional areas</w:t>
      </w:r>
      <w:r w:rsidR="00DA5E54">
        <w:rPr>
          <w:rFonts w:ascii="Arial" w:hAnsi="Arial" w:cs="Arial"/>
        </w:rPr>
        <w:t>,</w:t>
      </w:r>
      <w:r w:rsidR="00B64C75">
        <w:rPr>
          <w:rFonts w:ascii="Arial" w:hAnsi="Arial" w:cs="Arial"/>
        </w:rPr>
        <w:t xml:space="preserve"> while having higher rates</w:t>
      </w:r>
      <w:r w:rsidR="00DA5E54">
        <w:rPr>
          <w:rFonts w:ascii="Arial" w:hAnsi="Arial" w:cs="Arial"/>
        </w:rPr>
        <w:t>,</w:t>
      </w:r>
      <w:r w:rsidR="00B64C75">
        <w:rPr>
          <w:rFonts w:ascii="Arial" w:hAnsi="Arial" w:cs="Arial"/>
        </w:rPr>
        <w:t xml:space="preserve"> show a declining gradient between </w:t>
      </w:r>
      <w:r w:rsidR="000C78CC">
        <w:rPr>
          <w:rFonts w:ascii="Arial" w:hAnsi="Arial" w:cs="Arial"/>
        </w:rPr>
        <w:t>20</w:t>
      </w:r>
      <w:r w:rsidR="00B64C75">
        <w:rPr>
          <w:rFonts w:ascii="Arial" w:hAnsi="Arial" w:cs="Arial"/>
        </w:rPr>
        <w:t xml:space="preserve">14 and 2018 </w:t>
      </w:r>
      <w:r w:rsidR="001B50BF">
        <w:rPr>
          <w:rFonts w:ascii="Arial" w:hAnsi="Arial" w:cs="Arial"/>
        </w:rPr>
        <w:t>– for example,</w:t>
      </w:r>
      <w:r w:rsidR="00B64C75">
        <w:rPr>
          <w:rFonts w:ascii="Arial" w:hAnsi="Arial" w:cs="Arial"/>
        </w:rPr>
        <w:t xml:space="preserve"> GRICS, HRICS, LMICS and GICS.</w:t>
      </w:r>
    </w:p>
    <w:p w14:paraId="74897272" w14:textId="77777777" w:rsidR="00A16D42" w:rsidRDefault="000C78CC" w:rsidP="001A2A05">
      <w:pPr>
        <w:spacing w:after="120" w:line="270" w:lineRule="atLeast"/>
      </w:pPr>
      <w:r w:rsidRPr="00275B25">
        <w:rPr>
          <w:rFonts w:ascii="Arial" w:hAnsi="Arial" w:cs="Arial"/>
        </w:rPr>
        <w:t>While no target has been set for this measure</w:t>
      </w:r>
      <w:r>
        <w:rPr>
          <w:rFonts w:ascii="Arial" w:hAnsi="Arial" w:cs="Arial"/>
        </w:rPr>
        <w:t>,</w:t>
      </w:r>
      <w:r w:rsidRPr="00275B25">
        <w:rPr>
          <w:rFonts w:ascii="Arial" w:hAnsi="Arial" w:cs="Arial"/>
        </w:rPr>
        <w:t xml:space="preserve"> the </w:t>
      </w:r>
      <w:r w:rsidRPr="00275B25">
        <w:rPr>
          <w:rFonts w:ascii="Arial" w:hAnsi="Arial" w:cs="Arial"/>
          <w:bCs/>
          <w:i/>
          <w:lang w:val="en"/>
        </w:rPr>
        <w:t xml:space="preserve">WHO </w:t>
      </w:r>
      <w:r w:rsidR="00CA2AD7">
        <w:rPr>
          <w:rFonts w:ascii="Arial" w:hAnsi="Arial" w:cs="Arial"/>
          <w:bCs/>
          <w:i/>
          <w:lang w:val="en"/>
        </w:rPr>
        <w:t>g</w:t>
      </w:r>
      <w:r w:rsidRPr="00275B25">
        <w:rPr>
          <w:rFonts w:ascii="Arial" w:hAnsi="Arial" w:cs="Arial"/>
          <w:bCs/>
          <w:i/>
          <w:lang w:val="en"/>
        </w:rPr>
        <w:t xml:space="preserve">lobal </w:t>
      </w:r>
      <w:r w:rsidR="00CA2AD7">
        <w:rPr>
          <w:rFonts w:ascii="Arial" w:hAnsi="Arial" w:cs="Arial"/>
          <w:bCs/>
          <w:i/>
          <w:lang w:val="en"/>
        </w:rPr>
        <w:t>h</w:t>
      </w:r>
      <w:r w:rsidRPr="00275B25">
        <w:rPr>
          <w:rFonts w:ascii="Arial" w:hAnsi="Arial" w:cs="Arial"/>
          <w:bCs/>
          <w:i/>
          <w:lang w:val="en"/>
        </w:rPr>
        <w:t xml:space="preserve">ealth </w:t>
      </w:r>
      <w:r w:rsidR="00CA2AD7">
        <w:rPr>
          <w:rFonts w:ascii="Arial" w:hAnsi="Arial" w:cs="Arial"/>
          <w:bCs/>
          <w:i/>
          <w:lang w:val="en"/>
        </w:rPr>
        <w:t>s</w:t>
      </w:r>
      <w:r w:rsidRPr="00275B25">
        <w:rPr>
          <w:rFonts w:ascii="Arial" w:hAnsi="Arial" w:cs="Arial"/>
          <w:bCs/>
          <w:i/>
          <w:lang w:val="en"/>
        </w:rPr>
        <w:t xml:space="preserve">ector </w:t>
      </w:r>
      <w:r w:rsidR="00CA2AD7">
        <w:rPr>
          <w:rFonts w:ascii="Arial" w:hAnsi="Arial" w:cs="Arial"/>
          <w:bCs/>
          <w:i/>
          <w:lang w:val="en"/>
        </w:rPr>
        <w:t>s</w:t>
      </w:r>
      <w:r w:rsidRPr="00275B25">
        <w:rPr>
          <w:rFonts w:ascii="Arial" w:hAnsi="Arial" w:cs="Arial"/>
          <w:bCs/>
          <w:i/>
          <w:lang w:val="en"/>
        </w:rPr>
        <w:t xml:space="preserve">trategy on </w:t>
      </w:r>
      <w:r w:rsidR="00CA2AD7">
        <w:rPr>
          <w:rFonts w:ascii="Arial" w:hAnsi="Arial" w:cs="Arial"/>
          <w:bCs/>
          <w:i/>
          <w:lang w:val="en"/>
        </w:rPr>
        <w:t>v</w:t>
      </w:r>
      <w:r w:rsidRPr="00275B25">
        <w:rPr>
          <w:rFonts w:ascii="Arial" w:hAnsi="Arial" w:cs="Arial"/>
          <w:bCs/>
          <w:i/>
          <w:lang w:val="en"/>
        </w:rPr>
        <w:t xml:space="preserve">iral </w:t>
      </w:r>
      <w:r w:rsidR="00CA2AD7">
        <w:rPr>
          <w:rFonts w:ascii="Arial" w:hAnsi="Arial" w:cs="Arial"/>
          <w:bCs/>
          <w:i/>
          <w:lang w:val="en"/>
        </w:rPr>
        <w:t>h</w:t>
      </w:r>
      <w:r w:rsidRPr="00275B25">
        <w:rPr>
          <w:rFonts w:ascii="Arial" w:hAnsi="Arial" w:cs="Arial"/>
          <w:bCs/>
          <w:i/>
          <w:lang w:val="en"/>
        </w:rPr>
        <w:t>epatitis 2016</w:t>
      </w:r>
      <w:r w:rsidR="00CA2AD7">
        <w:rPr>
          <w:rFonts w:ascii="Arial" w:hAnsi="Arial" w:cs="Arial"/>
          <w:bCs/>
          <w:i/>
          <w:lang w:val="en"/>
        </w:rPr>
        <w:t>–</w:t>
      </w:r>
      <w:r w:rsidRPr="00275B25">
        <w:rPr>
          <w:rFonts w:ascii="Arial" w:hAnsi="Arial" w:cs="Arial"/>
          <w:bCs/>
          <w:i/>
          <w:lang w:val="en"/>
        </w:rPr>
        <w:t>2021</w:t>
      </w:r>
      <w:r>
        <w:rPr>
          <w:rFonts w:ascii="Arial" w:hAnsi="Arial" w:cs="Arial"/>
          <w:lang w:val="en"/>
        </w:rPr>
        <w:t xml:space="preserve"> sets a 2020 target of a 30 per cent reduction in the number of new HCV cases from 2015 as the baseline year. </w:t>
      </w:r>
      <w:r>
        <w:rPr>
          <w:rFonts w:ascii="Arial" w:hAnsi="Arial" w:cs="Arial"/>
        </w:rPr>
        <w:t>T</w:t>
      </w:r>
      <w:r w:rsidRPr="00A86F08">
        <w:rPr>
          <w:rFonts w:ascii="Arial" w:hAnsi="Arial" w:cs="Arial"/>
        </w:rPr>
        <w:t xml:space="preserve">he </w:t>
      </w:r>
      <w:r w:rsidRPr="00A86F08">
        <w:rPr>
          <w:rFonts w:ascii="Arial" w:hAnsi="Arial" w:cs="Arial"/>
          <w:i/>
        </w:rPr>
        <w:t xml:space="preserve">Victorian </w:t>
      </w:r>
      <w:r w:rsidR="00CA2AD7">
        <w:rPr>
          <w:rFonts w:ascii="Arial" w:hAnsi="Arial" w:cs="Arial"/>
          <w:i/>
        </w:rPr>
        <w:t>h</w:t>
      </w:r>
      <w:r w:rsidRPr="00A86F08">
        <w:rPr>
          <w:rFonts w:ascii="Arial" w:hAnsi="Arial" w:cs="Arial"/>
          <w:i/>
        </w:rPr>
        <w:t xml:space="preserve">epatitis </w:t>
      </w:r>
      <w:r>
        <w:rPr>
          <w:rFonts w:ascii="Arial" w:hAnsi="Arial" w:cs="Arial"/>
          <w:i/>
        </w:rPr>
        <w:t>C</w:t>
      </w:r>
      <w:r w:rsidRPr="00A86F08">
        <w:rPr>
          <w:rFonts w:ascii="Arial" w:hAnsi="Arial" w:cs="Arial"/>
          <w:i/>
        </w:rPr>
        <w:t xml:space="preserve"> </w:t>
      </w:r>
      <w:r w:rsidR="00CA2AD7">
        <w:rPr>
          <w:rFonts w:ascii="Arial" w:hAnsi="Arial" w:cs="Arial"/>
          <w:i/>
        </w:rPr>
        <w:t>s</w:t>
      </w:r>
      <w:r w:rsidRPr="00A86F08">
        <w:rPr>
          <w:rFonts w:ascii="Arial" w:hAnsi="Arial" w:cs="Arial"/>
          <w:i/>
        </w:rPr>
        <w:t>trategy 2016–20</w:t>
      </w:r>
      <w:r w:rsidRPr="00A86F08">
        <w:rPr>
          <w:rFonts w:ascii="Arial" w:hAnsi="Arial" w:cs="Arial"/>
        </w:rPr>
        <w:t xml:space="preserve"> </w:t>
      </w:r>
      <w:r>
        <w:rPr>
          <w:rFonts w:ascii="Arial" w:hAnsi="Arial" w:cs="Arial"/>
        </w:rPr>
        <w:t xml:space="preserve">includes </w:t>
      </w:r>
      <w:r w:rsidRPr="00A86F08">
        <w:rPr>
          <w:rFonts w:ascii="Arial" w:hAnsi="Arial" w:cs="Arial"/>
        </w:rPr>
        <w:t xml:space="preserve">an overarching goal to eliminate </w:t>
      </w:r>
      <w:r>
        <w:rPr>
          <w:rFonts w:ascii="Arial" w:hAnsi="Arial" w:cs="Arial"/>
        </w:rPr>
        <w:t>HCV</w:t>
      </w:r>
      <w:r w:rsidRPr="00A86F08">
        <w:rPr>
          <w:rFonts w:ascii="Arial" w:hAnsi="Arial" w:cs="Arial"/>
        </w:rPr>
        <w:t xml:space="preserve"> as a public health concern by 2030</w:t>
      </w:r>
      <w:r>
        <w:rPr>
          <w:rFonts w:ascii="Arial" w:hAnsi="Arial" w:cs="Arial"/>
        </w:rPr>
        <w:t>.</w:t>
      </w:r>
      <w:r w:rsidRPr="00A86F08">
        <w:rPr>
          <w:rStyle w:val="FootnoteReference"/>
          <w:rFonts w:eastAsia="MS Mincho" w:cs="Arial"/>
        </w:rPr>
        <w:footnoteReference w:id="108"/>
      </w:r>
      <w:r w:rsidRPr="00A86F08">
        <w:rPr>
          <w:rFonts w:ascii="Arial" w:hAnsi="Arial" w:cs="Arial"/>
        </w:rPr>
        <w:t xml:space="preserve"> This goal is underpinned by the following targets: reduce </w:t>
      </w:r>
      <w:r>
        <w:rPr>
          <w:rFonts w:ascii="Arial" w:hAnsi="Arial" w:cs="Arial"/>
        </w:rPr>
        <w:t>the number of new infections</w:t>
      </w:r>
      <w:r w:rsidRPr="00A86F08">
        <w:rPr>
          <w:rFonts w:ascii="Arial" w:hAnsi="Arial" w:cs="Arial"/>
        </w:rPr>
        <w:t xml:space="preserve"> by 90 per cent</w:t>
      </w:r>
      <w:r w:rsidR="00DA5E54">
        <w:rPr>
          <w:rFonts w:ascii="Arial" w:hAnsi="Arial" w:cs="Arial"/>
        </w:rPr>
        <w:t>;</w:t>
      </w:r>
      <w:r w:rsidRPr="00A86F08">
        <w:rPr>
          <w:rFonts w:ascii="Arial" w:hAnsi="Arial" w:cs="Arial"/>
        </w:rPr>
        <w:t xml:space="preserve"> increase diagnosis rates by 90 per cent</w:t>
      </w:r>
      <w:r w:rsidR="00DA5E54">
        <w:rPr>
          <w:rFonts w:ascii="Arial" w:hAnsi="Arial" w:cs="Arial"/>
        </w:rPr>
        <w:t>;</w:t>
      </w:r>
      <w:r w:rsidRPr="00A86F08">
        <w:rPr>
          <w:rFonts w:ascii="Arial" w:hAnsi="Arial" w:cs="Arial"/>
        </w:rPr>
        <w:t xml:space="preserve"> and increase the treatment rate for </w:t>
      </w:r>
      <w:r>
        <w:rPr>
          <w:rFonts w:ascii="Arial" w:hAnsi="Arial" w:cs="Arial"/>
        </w:rPr>
        <w:t>HCV</w:t>
      </w:r>
      <w:r w:rsidRPr="00A86F08">
        <w:rPr>
          <w:rFonts w:ascii="Arial" w:hAnsi="Arial" w:cs="Arial"/>
        </w:rPr>
        <w:t xml:space="preserve"> to 90 per cent.</w:t>
      </w:r>
      <w:bookmarkStart w:id="598" w:name="_Hlk2688259"/>
    </w:p>
    <w:p w14:paraId="708FE163" w14:textId="77777777" w:rsidR="00A16D42" w:rsidRDefault="00A16D42">
      <w:r>
        <w:br w:type="page"/>
      </w:r>
    </w:p>
    <w:p w14:paraId="2BCA3A4C" w14:textId="57F86D8F" w:rsidR="00A22BE9" w:rsidRPr="00A16D42" w:rsidRDefault="00A22BE9" w:rsidP="00A16D42">
      <w:pPr>
        <w:pStyle w:val="Heading3"/>
        <w:rPr>
          <w:rStyle w:val="Heading3Char"/>
          <w:b/>
          <w:bCs/>
        </w:rPr>
      </w:pPr>
      <w:bookmarkStart w:id="599" w:name="_Measure_10.4_–"/>
      <w:bookmarkEnd w:id="599"/>
      <w:r w:rsidRPr="00A16D42">
        <w:rPr>
          <w:rStyle w:val="Heading3Char"/>
          <w:b/>
          <w:bCs/>
        </w:rPr>
        <w:lastRenderedPageBreak/>
        <w:t>Measure 10.4 – Proportion of p</w:t>
      </w:r>
      <w:r w:rsidR="00A4670F" w:rsidRPr="00A16D42">
        <w:rPr>
          <w:rStyle w:val="Heading3Char"/>
          <w:b/>
          <w:bCs/>
        </w:rPr>
        <w:t>eople</w:t>
      </w:r>
      <w:r w:rsidR="00733767" w:rsidRPr="00A16D42">
        <w:rPr>
          <w:rStyle w:val="Heading3Char"/>
          <w:b/>
          <w:bCs/>
        </w:rPr>
        <w:t xml:space="preserve"> with </w:t>
      </w:r>
      <w:r w:rsidR="00107A1C" w:rsidRPr="00A16D42">
        <w:rPr>
          <w:rStyle w:val="Heading3Char"/>
          <w:b/>
          <w:bCs/>
        </w:rPr>
        <w:t xml:space="preserve">a </w:t>
      </w:r>
      <w:r w:rsidR="00733767" w:rsidRPr="00A16D42">
        <w:rPr>
          <w:rStyle w:val="Heading3Char"/>
          <w:b/>
          <w:bCs/>
        </w:rPr>
        <w:t>hepatitis B diagnosis with liver cancer</w:t>
      </w:r>
      <w:r w:rsidR="00A4670F" w:rsidRPr="00A16D42">
        <w:rPr>
          <w:rStyle w:val="Heading3Char"/>
          <w:b/>
          <w:bCs/>
        </w:rPr>
        <w:t>, whose hepatitis B was diagnosed late</w:t>
      </w:r>
    </w:p>
    <w:p w14:paraId="1F37F215" w14:textId="3546F4FB" w:rsidR="007C7EC6" w:rsidRDefault="00BC3FFA" w:rsidP="008C38C6">
      <w:pPr>
        <w:pStyle w:val="DHHStablecaption"/>
      </w:pPr>
      <w:bookmarkStart w:id="600" w:name="_Toc18908739"/>
      <w:bookmarkStart w:id="601" w:name="_Toc27414419"/>
      <w:r w:rsidRPr="00A4670F">
        <w:t>Table 10.4</w:t>
      </w:r>
      <w:r w:rsidR="00CA2AD7">
        <w:t>:</w:t>
      </w:r>
      <w:r w:rsidRPr="00A4670F">
        <w:t xml:space="preserve"> Proportion of people </w:t>
      </w:r>
      <w:r w:rsidR="0008094A">
        <w:t xml:space="preserve">in Victoria </w:t>
      </w:r>
      <w:r w:rsidRPr="00A4670F">
        <w:t xml:space="preserve">with </w:t>
      </w:r>
      <w:r w:rsidR="005A1356">
        <w:t>HBV</w:t>
      </w:r>
      <w:r w:rsidRPr="00A4670F">
        <w:t xml:space="preserve"> diagnosed with liver cancer, whose </w:t>
      </w:r>
      <w:r w:rsidR="00A65297">
        <w:t>HBV</w:t>
      </w:r>
      <w:r w:rsidR="00A4670F" w:rsidRPr="00A4670F">
        <w:t xml:space="preserve"> was diagnosed late</w:t>
      </w:r>
      <w:r w:rsidR="00107A1C">
        <w:t>, 2010–2014</w:t>
      </w:r>
      <w:bookmarkEnd w:id="600"/>
      <w:bookmarkEnd w:id="601"/>
    </w:p>
    <w:tbl>
      <w:tblPr>
        <w:tblStyle w:val="TableGrid"/>
        <w:tblW w:w="10699" w:type="dxa"/>
        <w:tblInd w:w="44"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1799"/>
        <w:gridCol w:w="3427"/>
        <w:gridCol w:w="4081"/>
        <w:gridCol w:w="1392"/>
      </w:tblGrid>
      <w:tr w:rsidR="005A1356" w14:paraId="6414F01E" w14:textId="77777777" w:rsidTr="007B1A47">
        <w:trPr>
          <w:trHeight w:val="538"/>
        </w:trPr>
        <w:tc>
          <w:tcPr>
            <w:tcW w:w="1799" w:type="dxa"/>
            <w:shd w:val="clear" w:color="auto" w:fill="EDCDCF"/>
          </w:tcPr>
          <w:p w14:paraId="3320A864" w14:textId="70338B79" w:rsidR="005A1356" w:rsidRPr="00850B4C" w:rsidRDefault="005A1356" w:rsidP="0094586B">
            <w:pPr>
              <w:pStyle w:val="DHHStablecolhead"/>
            </w:pPr>
            <w:r w:rsidRPr="00850B4C">
              <w:t>Years</w:t>
            </w:r>
          </w:p>
        </w:tc>
        <w:tc>
          <w:tcPr>
            <w:tcW w:w="3427" w:type="dxa"/>
            <w:shd w:val="clear" w:color="auto" w:fill="EDCDCF"/>
          </w:tcPr>
          <w:p w14:paraId="06E8E045" w14:textId="26EB52B0" w:rsidR="005A1356" w:rsidRPr="00850B4C" w:rsidRDefault="005A1356" w:rsidP="0094586B">
            <w:pPr>
              <w:pStyle w:val="DHHStablecolhead"/>
            </w:pPr>
            <w:r w:rsidRPr="00850B4C">
              <w:t>Late diagnosis of HBV with liver cancer</w:t>
            </w:r>
          </w:p>
        </w:tc>
        <w:tc>
          <w:tcPr>
            <w:tcW w:w="4081" w:type="dxa"/>
            <w:shd w:val="clear" w:color="auto" w:fill="EDCDCF"/>
          </w:tcPr>
          <w:p w14:paraId="2EF065AC" w14:textId="5AF71F13" w:rsidR="005A1356" w:rsidRPr="00850B4C" w:rsidRDefault="005A1356" w:rsidP="0094586B">
            <w:pPr>
              <w:pStyle w:val="DHHStablecolhead"/>
            </w:pPr>
            <w:r w:rsidRPr="00850B4C">
              <w:t>People living with HBV diagnosed with liver cancer</w:t>
            </w:r>
          </w:p>
        </w:tc>
        <w:tc>
          <w:tcPr>
            <w:tcW w:w="1392" w:type="dxa"/>
            <w:shd w:val="clear" w:color="auto" w:fill="EDCDCF"/>
          </w:tcPr>
          <w:p w14:paraId="57795093" w14:textId="19310BDE" w:rsidR="005A1356" w:rsidRPr="00850B4C" w:rsidRDefault="005A1356" w:rsidP="0094586B">
            <w:pPr>
              <w:pStyle w:val="DHHStablecolhead"/>
            </w:pPr>
            <w:r w:rsidRPr="00850B4C">
              <w:t>Proportion (%)</w:t>
            </w:r>
          </w:p>
        </w:tc>
      </w:tr>
      <w:tr w:rsidR="005A1356" w14:paraId="5E0EE7CE" w14:textId="77777777" w:rsidTr="007B1A47">
        <w:trPr>
          <w:trHeight w:val="305"/>
        </w:trPr>
        <w:tc>
          <w:tcPr>
            <w:tcW w:w="1799" w:type="dxa"/>
            <w:shd w:val="clear" w:color="auto" w:fill="auto"/>
          </w:tcPr>
          <w:p w14:paraId="124C8B23" w14:textId="4DAE514E" w:rsidR="005A1356" w:rsidRPr="005A1356" w:rsidRDefault="005A1356" w:rsidP="0094586B">
            <w:pPr>
              <w:pStyle w:val="DHHStabletext"/>
            </w:pPr>
            <w:r w:rsidRPr="005A1356">
              <w:t>2010</w:t>
            </w:r>
            <w:r w:rsidR="00CA2AD7">
              <w:t>–</w:t>
            </w:r>
            <w:r w:rsidRPr="005A1356">
              <w:t>2013</w:t>
            </w:r>
          </w:p>
        </w:tc>
        <w:tc>
          <w:tcPr>
            <w:tcW w:w="3427" w:type="dxa"/>
            <w:shd w:val="clear" w:color="auto" w:fill="auto"/>
          </w:tcPr>
          <w:p w14:paraId="1D828832" w14:textId="6A904519" w:rsidR="005A1356" w:rsidRPr="005A1356" w:rsidRDefault="005A1356" w:rsidP="0094586B">
            <w:pPr>
              <w:pStyle w:val="DHHStabletext"/>
            </w:pPr>
            <w:r w:rsidRPr="005A1356">
              <w:t>41</w:t>
            </w:r>
          </w:p>
        </w:tc>
        <w:tc>
          <w:tcPr>
            <w:tcW w:w="4081" w:type="dxa"/>
            <w:shd w:val="clear" w:color="auto" w:fill="auto"/>
          </w:tcPr>
          <w:p w14:paraId="33AFAEC5" w14:textId="65B0F328" w:rsidR="005A1356" w:rsidRPr="005A1356" w:rsidRDefault="005A1356" w:rsidP="0094586B">
            <w:pPr>
              <w:pStyle w:val="DHHStabletext"/>
            </w:pPr>
            <w:r w:rsidRPr="005A1356">
              <w:t>169</w:t>
            </w:r>
          </w:p>
        </w:tc>
        <w:tc>
          <w:tcPr>
            <w:tcW w:w="1392" w:type="dxa"/>
            <w:shd w:val="clear" w:color="auto" w:fill="auto"/>
          </w:tcPr>
          <w:p w14:paraId="75D095C7" w14:textId="06B241AB" w:rsidR="005A1356" w:rsidRPr="005A1356" w:rsidRDefault="005A1356" w:rsidP="0094586B">
            <w:pPr>
              <w:pStyle w:val="DHHStabletext"/>
            </w:pPr>
            <w:r w:rsidRPr="005A1356">
              <w:t>24</w:t>
            </w:r>
          </w:p>
        </w:tc>
      </w:tr>
      <w:tr w:rsidR="001D1467" w14:paraId="5DF415ED" w14:textId="77777777" w:rsidTr="007B1A47">
        <w:trPr>
          <w:trHeight w:val="305"/>
        </w:trPr>
        <w:tc>
          <w:tcPr>
            <w:tcW w:w="1799" w:type="dxa"/>
            <w:shd w:val="clear" w:color="auto" w:fill="auto"/>
          </w:tcPr>
          <w:p w14:paraId="2B2B3242" w14:textId="63A356B1" w:rsidR="001D1467" w:rsidRPr="005A1356" w:rsidRDefault="001D1467" w:rsidP="0094586B">
            <w:pPr>
              <w:pStyle w:val="DHHStabletext"/>
            </w:pPr>
            <w:r>
              <w:t>2014</w:t>
            </w:r>
          </w:p>
        </w:tc>
        <w:tc>
          <w:tcPr>
            <w:tcW w:w="3427" w:type="dxa"/>
            <w:shd w:val="clear" w:color="auto" w:fill="auto"/>
          </w:tcPr>
          <w:p w14:paraId="3333C87F" w14:textId="4EF1BF01" w:rsidR="001D1467" w:rsidRPr="005A1356" w:rsidRDefault="001D1467" w:rsidP="0094586B">
            <w:pPr>
              <w:pStyle w:val="DHHStabletext"/>
            </w:pPr>
            <w:r>
              <w:t>10</w:t>
            </w:r>
          </w:p>
        </w:tc>
        <w:tc>
          <w:tcPr>
            <w:tcW w:w="4081" w:type="dxa"/>
            <w:shd w:val="clear" w:color="auto" w:fill="auto"/>
          </w:tcPr>
          <w:p w14:paraId="649F84A7" w14:textId="553D80F0" w:rsidR="001D1467" w:rsidRPr="005A1356" w:rsidRDefault="001D1467" w:rsidP="0094586B">
            <w:pPr>
              <w:pStyle w:val="DHHStabletext"/>
            </w:pPr>
            <w:r>
              <w:t>42</w:t>
            </w:r>
          </w:p>
        </w:tc>
        <w:tc>
          <w:tcPr>
            <w:tcW w:w="1392" w:type="dxa"/>
            <w:shd w:val="clear" w:color="auto" w:fill="auto"/>
          </w:tcPr>
          <w:p w14:paraId="56B0F6AC" w14:textId="1295E8D1" w:rsidR="001D1467" w:rsidRPr="005A1356" w:rsidRDefault="001D1467" w:rsidP="0094586B">
            <w:pPr>
              <w:pStyle w:val="DHHStabletext"/>
            </w:pPr>
            <w:r>
              <w:t>24</w:t>
            </w:r>
          </w:p>
        </w:tc>
      </w:tr>
    </w:tbl>
    <w:p w14:paraId="2BFB2DD0" w14:textId="7F990829" w:rsidR="007C7EC6" w:rsidRPr="004F15AB" w:rsidRDefault="007C7EC6" w:rsidP="00660649">
      <w:pPr>
        <w:pStyle w:val="DHHStablefigurenote"/>
      </w:pPr>
      <w:r w:rsidRPr="004F15AB">
        <w:t>Source:</w:t>
      </w:r>
      <w:r w:rsidR="00952FC7">
        <w:t xml:space="preserve"> </w:t>
      </w:r>
      <w:r w:rsidR="006A7D15" w:rsidRPr="004F15AB">
        <w:t xml:space="preserve">Linked </w:t>
      </w:r>
      <w:r w:rsidR="00030566">
        <w:t xml:space="preserve">data from </w:t>
      </w:r>
      <w:r w:rsidR="006A7D15" w:rsidRPr="004F15AB">
        <w:t xml:space="preserve">Public Health Events Surveillance System, Department of Health and Human Services and </w:t>
      </w:r>
      <w:r w:rsidR="00107A1C">
        <w:t>VCR</w:t>
      </w:r>
      <w:r w:rsidRPr="004F15AB">
        <w:t>, Cancer Council Victoria</w:t>
      </w:r>
      <w:r w:rsidR="006A7D15" w:rsidRPr="004F15AB">
        <w:t>.</w:t>
      </w:r>
    </w:p>
    <w:p w14:paraId="21B12888" w14:textId="3CD6C4C8" w:rsidR="000741D3" w:rsidRPr="000741D3" w:rsidRDefault="006A7D15" w:rsidP="00660649">
      <w:pPr>
        <w:pStyle w:val="DHHStablefigurenote"/>
      </w:pPr>
      <w:r w:rsidRPr="004F15AB">
        <w:t>The</w:t>
      </w:r>
      <w:r w:rsidR="00030566">
        <w:t>se</w:t>
      </w:r>
      <w:r w:rsidRPr="004F15AB">
        <w:t xml:space="preserve"> data w</w:t>
      </w:r>
      <w:r w:rsidR="00030566">
        <w:t>ere</w:t>
      </w:r>
      <w:r w:rsidRPr="004F15AB">
        <w:t xml:space="preserve"> derived from the </w:t>
      </w:r>
      <w:r w:rsidR="00107A1C">
        <w:t>L</w:t>
      </w:r>
      <w:r w:rsidRPr="004F15AB">
        <w:t xml:space="preserve">iver </w:t>
      </w:r>
      <w:r w:rsidR="00107A1C">
        <w:t>C</w:t>
      </w:r>
      <w:r w:rsidRPr="004F15AB">
        <w:t xml:space="preserve">ancer </w:t>
      </w:r>
      <w:r w:rsidR="00107A1C">
        <w:t>P</w:t>
      </w:r>
      <w:r w:rsidRPr="004F15AB">
        <w:t xml:space="preserve">revention </w:t>
      </w:r>
      <w:r w:rsidR="00107A1C">
        <w:t>S</w:t>
      </w:r>
      <w:r w:rsidRPr="004F15AB">
        <w:t>tudy linking viral hepatitis diagnosis, treatment and outcomes conducted by the WHO Collaborating Centre for Viral Hepatitis</w:t>
      </w:r>
      <w:r w:rsidR="00030566">
        <w:t>, Victorian Infectious Diseases Reference Laboratory, The Peter Doherty Institute for Infection and Immunity</w:t>
      </w:r>
      <w:r w:rsidRPr="004F15AB">
        <w:t>.</w:t>
      </w:r>
      <w:r w:rsidR="00952FC7">
        <w:t xml:space="preserve"> </w:t>
      </w:r>
      <w:r w:rsidRPr="004F15AB">
        <w:t>This study was funded by a Royal Melbourne Hospital</w:t>
      </w:r>
      <w:r w:rsidR="00030566">
        <w:t xml:space="preserve"> Research</w:t>
      </w:r>
      <w:r w:rsidRPr="004F15AB">
        <w:t xml:space="preserve"> </w:t>
      </w:r>
      <w:r w:rsidR="00030566">
        <w:t>P</w:t>
      </w:r>
      <w:r w:rsidRPr="004F15AB">
        <w:t xml:space="preserve">roject </w:t>
      </w:r>
      <w:r w:rsidR="00030566">
        <w:t>G</w:t>
      </w:r>
      <w:r w:rsidRPr="004F15AB">
        <w:t>rant.</w:t>
      </w:r>
    </w:p>
    <w:p w14:paraId="246CBF0D" w14:textId="527E2DC2" w:rsidR="000741D3" w:rsidRPr="000741D3" w:rsidRDefault="000741D3" w:rsidP="00660649">
      <w:pPr>
        <w:pStyle w:val="DHHStablefigurenote"/>
      </w:pPr>
      <w:r w:rsidRPr="000741D3">
        <w:t xml:space="preserve">At the time of writing the Liver Cancer Prevention Study was exploring other data sources such as Victorian hospital data and the National Death Index to ascertain whether there are </w:t>
      </w:r>
      <w:r w:rsidR="00107A1C">
        <w:t>more people</w:t>
      </w:r>
      <w:r w:rsidRPr="000741D3">
        <w:t xml:space="preserve"> living with viral </w:t>
      </w:r>
      <w:r w:rsidR="00A65297">
        <w:t>HBV</w:t>
      </w:r>
      <w:r w:rsidRPr="000741D3">
        <w:t xml:space="preserve"> who have been diagnosed with liver cancer </w:t>
      </w:r>
      <w:r w:rsidR="00107A1C">
        <w:t>who</w:t>
      </w:r>
      <w:r w:rsidR="00107A1C" w:rsidRPr="000741D3">
        <w:t xml:space="preserve"> </w:t>
      </w:r>
      <w:r w:rsidRPr="000741D3">
        <w:t xml:space="preserve">are not included in the </w:t>
      </w:r>
      <w:r w:rsidR="004C18EC">
        <w:t>VCR</w:t>
      </w:r>
      <w:r w:rsidRPr="000741D3">
        <w:t>.</w:t>
      </w:r>
      <w:r w:rsidR="00952FC7">
        <w:t xml:space="preserve"> </w:t>
      </w:r>
      <w:r w:rsidRPr="000741D3">
        <w:t xml:space="preserve">A planned future round of data linkage for the </w:t>
      </w:r>
      <w:r w:rsidR="00DA4C30">
        <w:t>L</w:t>
      </w:r>
      <w:r w:rsidRPr="000741D3">
        <w:t xml:space="preserve">iver </w:t>
      </w:r>
      <w:r w:rsidR="00DA4C30">
        <w:t>C</w:t>
      </w:r>
      <w:r w:rsidRPr="000741D3">
        <w:t xml:space="preserve">ancer </w:t>
      </w:r>
      <w:r w:rsidR="00DA4C30">
        <w:t>P</w:t>
      </w:r>
      <w:r w:rsidRPr="000741D3">
        <w:t xml:space="preserve">revention </w:t>
      </w:r>
      <w:r w:rsidR="00DA4C30">
        <w:t>S</w:t>
      </w:r>
      <w:r w:rsidRPr="000741D3">
        <w:t>tudy will be able to provide more precise data for this measure.</w:t>
      </w:r>
    </w:p>
    <w:p w14:paraId="082B32D4" w14:textId="77777777" w:rsidR="003A5E4E" w:rsidRPr="00671C7A" w:rsidRDefault="003A5E4E" w:rsidP="00D01B48">
      <w:pPr>
        <w:pStyle w:val="Heading4"/>
        <w:spacing w:before="0" w:line="270" w:lineRule="atLeast"/>
        <w:rPr>
          <w:lang w:eastAsia="en-AU"/>
        </w:rPr>
      </w:pPr>
      <w:r>
        <w:rPr>
          <w:lang w:eastAsia="en-AU"/>
        </w:rPr>
        <w:t>Measure assessment</w:t>
      </w:r>
    </w:p>
    <w:p w14:paraId="7C5951B8" w14:textId="77777777" w:rsidR="00D01B48" w:rsidRPr="005609AD" w:rsidRDefault="003A5E4E" w:rsidP="00D01B48">
      <w:pPr>
        <w:autoSpaceDE w:val="0"/>
        <w:autoSpaceDN w:val="0"/>
        <w:adjustRightInd w:val="0"/>
        <w:spacing w:after="120" w:line="270" w:lineRule="atLeast"/>
        <w:rPr>
          <w:rFonts w:ascii="Arial" w:hAnsi="Arial" w:cs="Arial"/>
          <w:color w:val="C00000"/>
        </w:rPr>
      </w:pPr>
      <w:r>
        <w:rPr>
          <w:rFonts w:ascii="Arial" w:hAnsi="Arial" w:cs="Arial"/>
        </w:rPr>
        <w:t>Traffic light rating:</w:t>
      </w:r>
      <w:r w:rsidR="00B475A7">
        <w:rPr>
          <w:rFonts w:ascii="Arial" w:hAnsi="Arial" w:cs="Arial"/>
        </w:rPr>
        <w:t xml:space="preserve"> </w:t>
      </w:r>
      <w:r w:rsidR="00D01B48" w:rsidRPr="0097280A">
        <w:rPr>
          <w:rFonts w:ascii="Arial" w:hAnsi="Arial" w:cs="Arial"/>
          <w:b/>
          <w:color w:val="C00000"/>
        </w:rPr>
        <w:t>Red</w:t>
      </w:r>
      <w:r w:rsidR="00D01B48">
        <w:rPr>
          <w:rFonts w:ascii="Arial" w:hAnsi="Arial" w:cs="Arial"/>
          <w:b/>
          <w:color w:val="C00000"/>
        </w:rPr>
        <w:t xml:space="preserve"> </w:t>
      </w:r>
      <w:r w:rsidR="00D01B48">
        <w:rPr>
          <w:rFonts w:ascii="Arial" w:hAnsi="Arial" w:cs="Arial"/>
          <w:color w:val="C00000"/>
        </w:rPr>
        <w:t>(result is of concern)</w:t>
      </w:r>
    </w:p>
    <w:p w14:paraId="11FDAD50" w14:textId="3C5E7481" w:rsidR="00B475A7" w:rsidRDefault="003A5E4E" w:rsidP="00D01B48">
      <w:pPr>
        <w:autoSpaceDE w:val="0"/>
        <w:autoSpaceDN w:val="0"/>
        <w:adjustRightInd w:val="0"/>
        <w:spacing w:after="120" w:line="270" w:lineRule="atLeast"/>
        <w:rPr>
          <w:rFonts w:ascii="Arial" w:hAnsi="Arial" w:cs="Arial"/>
        </w:rPr>
      </w:pPr>
      <w:r>
        <w:rPr>
          <w:rFonts w:ascii="Arial" w:hAnsi="Arial" w:cs="Arial"/>
        </w:rPr>
        <w:t>Overall trend:</w:t>
      </w:r>
      <w:r w:rsidR="008607DA">
        <w:rPr>
          <w:rFonts w:ascii="Arial" w:hAnsi="Arial" w:cs="Arial"/>
        </w:rPr>
        <w:t xml:space="preserve"> </w:t>
      </w:r>
      <w:r w:rsidR="001D1467">
        <w:rPr>
          <w:rFonts w:ascii="Arial" w:hAnsi="Arial" w:cs="Arial"/>
        </w:rPr>
        <w:t>Static or unchanging</w:t>
      </w:r>
    </w:p>
    <w:p w14:paraId="06907852" w14:textId="524DE80B" w:rsidR="00942061" w:rsidRPr="0090139A" w:rsidRDefault="00B475A7" w:rsidP="00ED2179">
      <w:pPr>
        <w:autoSpaceDE w:val="0"/>
        <w:autoSpaceDN w:val="0"/>
        <w:adjustRightInd w:val="0"/>
        <w:spacing w:after="120" w:line="270" w:lineRule="atLeast"/>
        <w:rPr>
          <w:rFonts w:ascii="Arial" w:hAnsi="Arial" w:cs="Arial"/>
          <w:lang w:val="en"/>
        </w:rPr>
      </w:pPr>
      <w:r w:rsidRPr="00D36E22">
        <w:rPr>
          <w:rFonts w:ascii="Arial" w:hAnsi="Arial" w:cs="Arial"/>
        </w:rPr>
        <w:t>Commentary:</w:t>
      </w:r>
      <w:r w:rsidR="00BA4220" w:rsidRPr="00D36E22">
        <w:rPr>
          <w:rFonts w:ascii="Arial" w:hAnsi="Arial" w:cs="Arial"/>
        </w:rPr>
        <w:t xml:space="preserve"> </w:t>
      </w:r>
      <w:r w:rsidR="00633D7C" w:rsidRPr="00942061">
        <w:rPr>
          <w:rFonts w:ascii="Arial" w:hAnsi="Arial" w:cs="Arial"/>
          <w:lang w:val="en"/>
        </w:rPr>
        <w:t>Chronic HBV infections may remain clinically silent for decades, and symptoms do occur at a late stage</w:t>
      </w:r>
      <w:r w:rsidR="001C106C">
        <w:rPr>
          <w:rFonts w:ascii="Arial" w:hAnsi="Arial" w:cs="Arial"/>
          <w:lang w:val="en"/>
        </w:rPr>
        <w:t xml:space="preserve">, </w:t>
      </w:r>
      <w:r w:rsidR="00030566">
        <w:rPr>
          <w:rFonts w:ascii="Arial" w:hAnsi="Arial" w:cs="Arial"/>
          <w:lang w:val="en"/>
        </w:rPr>
        <w:t xml:space="preserve">often </w:t>
      </w:r>
      <w:r w:rsidR="001C106C">
        <w:rPr>
          <w:rFonts w:ascii="Arial" w:hAnsi="Arial" w:cs="Arial"/>
          <w:lang w:val="en"/>
        </w:rPr>
        <w:t>developing into liver cancer</w:t>
      </w:r>
      <w:r w:rsidR="00030566">
        <w:rPr>
          <w:rFonts w:ascii="Arial" w:hAnsi="Arial" w:cs="Arial"/>
          <w:lang w:val="en"/>
        </w:rPr>
        <w:t xml:space="preserve"> when untreated</w:t>
      </w:r>
      <w:r w:rsidR="00633D7C">
        <w:rPr>
          <w:rFonts w:ascii="Arial" w:hAnsi="Arial" w:cs="Arial"/>
          <w:lang w:val="en"/>
        </w:rPr>
        <w:t xml:space="preserve">. </w:t>
      </w:r>
      <w:r w:rsidR="00BA4220" w:rsidRPr="00D36E22">
        <w:rPr>
          <w:rFonts w:ascii="Arial" w:hAnsi="Arial" w:cs="Arial"/>
          <w:color w:val="1C1D1E"/>
          <w:lang w:val="en"/>
        </w:rPr>
        <w:t>Globally 770,000 cases of liver cancer</w:t>
      </w:r>
      <w:r w:rsidR="00633D7C">
        <w:rPr>
          <w:rFonts w:ascii="Arial" w:hAnsi="Arial" w:cs="Arial"/>
          <w:color w:val="1C1D1E"/>
          <w:lang w:val="en"/>
        </w:rPr>
        <w:t xml:space="preserve"> (</w:t>
      </w:r>
      <w:r w:rsidR="00633D7C" w:rsidRPr="00633D7C">
        <w:rPr>
          <w:rFonts w:ascii="Arial" w:hAnsi="Arial" w:cs="Arial"/>
        </w:rPr>
        <w:t xml:space="preserve">also known as </w:t>
      </w:r>
      <w:r w:rsidR="00633D7C" w:rsidRPr="00633D7C">
        <w:rPr>
          <w:rFonts w:ascii="Arial" w:hAnsi="Arial" w:cs="Arial"/>
          <w:bCs/>
        </w:rPr>
        <w:t xml:space="preserve">hepatocellular carcinoma </w:t>
      </w:r>
      <w:r w:rsidR="00633D7C" w:rsidRPr="00633D7C">
        <w:rPr>
          <w:rFonts w:ascii="Arial" w:hAnsi="Arial" w:cs="Arial"/>
        </w:rPr>
        <w:t xml:space="preserve">or </w:t>
      </w:r>
      <w:r w:rsidR="00633D7C" w:rsidRPr="00633D7C">
        <w:rPr>
          <w:rFonts w:ascii="Arial" w:hAnsi="Arial" w:cs="Arial"/>
          <w:bCs/>
        </w:rPr>
        <w:t>HCC)</w:t>
      </w:r>
      <w:r w:rsidR="00BA4220" w:rsidRPr="00D36E22">
        <w:rPr>
          <w:rFonts w:ascii="Arial" w:hAnsi="Arial" w:cs="Arial"/>
          <w:color w:val="1C1D1E"/>
          <w:lang w:val="en"/>
        </w:rPr>
        <w:t xml:space="preserve"> occurred worldwide in 2012, of which 430,000 are estimated to be attributable to</w:t>
      </w:r>
      <w:r w:rsidR="003B3D90">
        <w:rPr>
          <w:rFonts w:ascii="Arial" w:hAnsi="Arial" w:cs="Arial"/>
          <w:color w:val="1C1D1E"/>
          <w:lang w:val="en"/>
        </w:rPr>
        <w:t xml:space="preserve"> </w:t>
      </w:r>
      <w:r w:rsidR="00BA4220" w:rsidRPr="00D36E22">
        <w:rPr>
          <w:rFonts w:ascii="Arial" w:hAnsi="Arial" w:cs="Arial"/>
          <w:color w:val="1C1D1E"/>
          <w:lang w:val="en"/>
        </w:rPr>
        <w:t>HBV</w:t>
      </w:r>
      <w:r w:rsidR="003B3D90">
        <w:rPr>
          <w:rFonts w:ascii="Arial" w:hAnsi="Arial" w:cs="Arial"/>
          <w:color w:val="1C1D1E"/>
          <w:lang w:val="en"/>
        </w:rPr>
        <w:t>.</w:t>
      </w:r>
      <w:r w:rsidR="003B3D90">
        <w:rPr>
          <w:rStyle w:val="FootnoteReference"/>
          <w:rFonts w:cs="Arial"/>
          <w:color w:val="1C1D1E"/>
          <w:lang w:val="en"/>
        </w:rPr>
        <w:footnoteReference w:id="109"/>
      </w:r>
      <w:r w:rsidR="0038668A">
        <w:rPr>
          <w:rFonts w:ascii="Arial" w:hAnsi="Arial" w:cs="Arial"/>
          <w:color w:val="1C1D1E"/>
          <w:lang w:val="en"/>
        </w:rPr>
        <w:t xml:space="preserve"> </w:t>
      </w:r>
      <w:r w:rsidR="00633D7C">
        <w:rPr>
          <w:rFonts w:ascii="Arial" w:hAnsi="Arial" w:cs="Arial"/>
          <w:lang w:val="en"/>
        </w:rPr>
        <w:t xml:space="preserve">In </w:t>
      </w:r>
      <w:r w:rsidR="001C106C">
        <w:rPr>
          <w:rFonts w:ascii="Arial" w:hAnsi="Arial" w:cs="Arial"/>
          <w:lang w:val="en"/>
        </w:rPr>
        <w:t>Victoria</w:t>
      </w:r>
      <w:r w:rsidR="006E2C2B">
        <w:rPr>
          <w:rFonts w:ascii="Arial" w:hAnsi="Arial" w:cs="Arial"/>
          <w:lang w:val="en"/>
        </w:rPr>
        <w:t>,</w:t>
      </w:r>
      <w:r w:rsidR="001C106C">
        <w:rPr>
          <w:rFonts w:ascii="Arial" w:hAnsi="Arial" w:cs="Arial"/>
          <w:lang w:val="en"/>
        </w:rPr>
        <w:t xml:space="preserve"> </w:t>
      </w:r>
      <w:r w:rsidR="001C106C" w:rsidRPr="001C106C">
        <w:rPr>
          <w:rStyle w:val="Strong"/>
          <w:rFonts w:ascii="Arial" w:hAnsi="Arial" w:cs="Arial"/>
          <w:b w:val="0"/>
        </w:rPr>
        <w:t xml:space="preserve">chronic </w:t>
      </w:r>
      <w:r w:rsidR="00A65297">
        <w:rPr>
          <w:rStyle w:val="Strong"/>
          <w:rFonts w:ascii="Arial" w:hAnsi="Arial" w:cs="Arial"/>
          <w:b w:val="0"/>
        </w:rPr>
        <w:t>HBV</w:t>
      </w:r>
      <w:r w:rsidR="001C106C" w:rsidRPr="001C106C">
        <w:rPr>
          <w:rStyle w:val="Strong"/>
          <w:rFonts w:ascii="Arial" w:hAnsi="Arial" w:cs="Arial"/>
          <w:b w:val="0"/>
        </w:rPr>
        <w:t xml:space="preserve"> infection </w:t>
      </w:r>
      <w:r w:rsidR="001C106C">
        <w:rPr>
          <w:rStyle w:val="Strong"/>
          <w:rFonts w:ascii="Arial" w:hAnsi="Arial" w:cs="Arial"/>
          <w:b w:val="0"/>
        </w:rPr>
        <w:t>has been identified as</w:t>
      </w:r>
      <w:r w:rsidR="001C106C" w:rsidRPr="001C106C">
        <w:rPr>
          <w:rStyle w:val="Strong"/>
          <w:rFonts w:ascii="Arial" w:hAnsi="Arial" w:cs="Arial"/>
          <w:b w:val="0"/>
        </w:rPr>
        <w:t xml:space="preserve"> a major contributor to rising liver cancer incidence</w:t>
      </w:r>
      <w:r w:rsidR="001C106C">
        <w:rPr>
          <w:rStyle w:val="Strong"/>
          <w:rFonts w:ascii="Arial" w:hAnsi="Arial" w:cs="Arial"/>
          <w:b w:val="0"/>
        </w:rPr>
        <w:t>.</w:t>
      </w:r>
      <w:r w:rsidR="00461BE4">
        <w:rPr>
          <w:rStyle w:val="FootnoteReference"/>
          <w:rFonts w:cs="Arial"/>
          <w:bCs/>
        </w:rPr>
        <w:footnoteReference w:id="110"/>
      </w:r>
    </w:p>
    <w:p w14:paraId="45DFAEAD" w14:textId="6A7DC517" w:rsidR="009E0C2E" w:rsidRPr="00C007B5" w:rsidRDefault="0038668A" w:rsidP="00ED2179">
      <w:pPr>
        <w:autoSpaceDE w:val="0"/>
        <w:autoSpaceDN w:val="0"/>
        <w:adjustRightInd w:val="0"/>
        <w:spacing w:after="120" w:line="270" w:lineRule="atLeast"/>
        <w:rPr>
          <w:rFonts w:ascii="Arial" w:hAnsi="Arial" w:cs="Arial"/>
          <w:lang w:val="en"/>
        </w:rPr>
      </w:pPr>
      <w:r>
        <w:rPr>
          <w:rFonts w:ascii="Arial" w:hAnsi="Arial" w:cs="Arial"/>
          <w:color w:val="1C1D1E"/>
          <w:lang w:val="en"/>
        </w:rPr>
        <w:t xml:space="preserve">Late </w:t>
      </w:r>
      <w:r>
        <w:rPr>
          <w:rFonts w:ascii="Arial" w:hAnsi="Arial" w:cs="Arial"/>
          <w:lang w:val="en"/>
        </w:rPr>
        <w:t>diagnosis of HBV</w:t>
      </w:r>
      <w:r w:rsidR="000364D9">
        <w:rPr>
          <w:rStyle w:val="FootnoteReference"/>
          <w:rFonts w:cs="Arial"/>
          <w:lang w:val="en"/>
        </w:rPr>
        <w:footnoteReference w:id="111"/>
      </w:r>
      <w:r>
        <w:rPr>
          <w:rFonts w:ascii="Arial" w:hAnsi="Arial" w:cs="Arial"/>
          <w:lang w:val="en"/>
        </w:rPr>
        <w:t xml:space="preserve"> represents a missed opportunity to reduce the risk of </w:t>
      </w:r>
      <w:r w:rsidR="00112EAE">
        <w:rPr>
          <w:rFonts w:ascii="Arial" w:hAnsi="Arial" w:cs="Arial"/>
          <w:lang w:val="en"/>
        </w:rPr>
        <w:t>liver cancer.</w:t>
      </w:r>
      <w:r w:rsidR="00BD3D59">
        <w:rPr>
          <w:rFonts w:ascii="Arial" w:hAnsi="Arial" w:cs="Arial"/>
          <w:lang w:val="en"/>
        </w:rPr>
        <w:t xml:space="preserve"> </w:t>
      </w:r>
      <w:r w:rsidR="00060131">
        <w:rPr>
          <w:rFonts w:ascii="Arial" w:hAnsi="Arial" w:cs="Arial"/>
          <w:lang w:val="en"/>
        </w:rPr>
        <w:t>While no target has been set for this measure</w:t>
      </w:r>
      <w:r w:rsidR="00C007B5">
        <w:rPr>
          <w:rFonts w:ascii="Arial" w:hAnsi="Arial" w:cs="Arial"/>
          <w:lang w:val="en"/>
        </w:rPr>
        <w:t>,</w:t>
      </w:r>
      <w:r w:rsidR="00060131">
        <w:rPr>
          <w:rFonts w:ascii="Arial" w:hAnsi="Arial" w:cs="Arial"/>
          <w:lang w:val="en"/>
        </w:rPr>
        <w:t xml:space="preserve"> </w:t>
      </w:r>
      <w:r w:rsidR="00BD3D59">
        <w:rPr>
          <w:rFonts w:ascii="Arial" w:hAnsi="Arial" w:cs="Arial"/>
          <w:lang w:val="en"/>
        </w:rPr>
        <w:t xml:space="preserve">Table 10.4 shows that in Victoria </w:t>
      </w:r>
      <w:r w:rsidR="001332D7">
        <w:rPr>
          <w:rFonts w:ascii="Arial" w:hAnsi="Arial" w:cs="Arial"/>
          <w:lang w:val="en"/>
        </w:rPr>
        <w:t>from 2010</w:t>
      </w:r>
      <w:r w:rsidR="00030566">
        <w:rPr>
          <w:rFonts w:ascii="Arial" w:hAnsi="Arial" w:cs="Arial"/>
        </w:rPr>
        <w:t>–2014</w:t>
      </w:r>
      <w:r w:rsidR="001332D7">
        <w:rPr>
          <w:rFonts w:ascii="Arial" w:hAnsi="Arial" w:cs="Arial"/>
          <w:lang w:val="en"/>
        </w:rPr>
        <w:t xml:space="preserve">, </w:t>
      </w:r>
      <w:r w:rsidR="00BD3D59">
        <w:rPr>
          <w:rFonts w:ascii="Arial" w:hAnsi="Arial" w:cs="Arial"/>
          <w:lang w:val="en"/>
        </w:rPr>
        <w:t>2</w:t>
      </w:r>
      <w:r w:rsidR="00C76464">
        <w:rPr>
          <w:rFonts w:ascii="Arial" w:hAnsi="Arial" w:cs="Arial"/>
          <w:lang w:val="en"/>
        </w:rPr>
        <w:t>4 per cent</w:t>
      </w:r>
      <w:r w:rsidR="00E431A1">
        <w:rPr>
          <w:rFonts w:ascii="Arial" w:hAnsi="Arial" w:cs="Arial"/>
          <w:lang w:val="en"/>
        </w:rPr>
        <w:t xml:space="preserve"> of those</w:t>
      </w:r>
      <w:r w:rsidR="00C4595D">
        <w:rPr>
          <w:rFonts w:ascii="Arial" w:hAnsi="Arial" w:cs="Arial"/>
          <w:lang w:val="en"/>
        </w:rPr>
        <w:t xml:space="preserve"> people</w:t>
      </w:r>
      <w:r w:rsidR="00C007B5">
        <w:rPr>
          <w:rFonts w:ascii="Arial" w:hAnsi="Arial" w:cs="Arial"/>
          <w:lang w:val="en"/>
        </w:rPr>
        <w:t xml:space="preserve"> with HBV diagnosed with liver cancer were diagnosed with HBV in the two years before</w:t>
      </w:r>
      <w:r w:rsidR="00885B9B">
        <w:rPr>
          <w:rFonts w:ascii="Arial" w:hAnsi="Arial" w:cs="Arial"/>
          <w:lang w:val="en"/>
        </w:rPr>
        <w:t>, at the same time as or after liver cancer diagnosis</w:t>
      </w:r>
      <w:r w:rsidR="00C007B5">
        <w:rPr>
          <w:rFonts w:ascii="Arial" w:hAnsi="Arial" w:cs="Arial"/>
          <w:lang w:val="en"/>
        </w:rPr>
        <w:t xml:space="preserve">. </w:t>
      </w:r>
      <w:r w:rsidR="009E0C2E">
        <w:rPr>
          <w:rFonts w:ascii="Arial" w:hAnsi="Arial" w:cs="Arial"/>
          <w:lang w:val="en"/>
        </w:rPr>
        <w:t>People with better engagement with the healthcare system</w:t>
      </w:r>
      <w:r w:rsidR="005701CB">
        <w:rPr>
          <w:rFonts w:ascii="Arial" w:hAnsi="Arial" w:cs="Arial"/>
          <w:lang w:val="en"/>
        </w:rPr>
        <w:t xml:space="preserve"> </w:t>
      </w:r>
      <w:r w:rsidR="00E101A3">
        <w:rPr>
          <w:rFonts w:ascii="Arial" w:hAnsi="Arial" w:cs="Arial"/>
          <w:lang w:val="en"/>
        </w:rPr>
        <w:t>are more likely to be</w:t>
      </w:r>
      <w:r w:rsidR="009E0C2E">
        <w:rPr>
          <w:rFonts w:ascii="Arial" w:hAnsi="Arial" w:cs="Arial"/>
          <w:lang w:val="en"/>
        </w:rPr>
        <w:t xml:space="preserve"> diagnosed earlier</w:t>
      </w:r>
      <w:r w:rsidR="00C007B5">
        <w:rPr>
          <w:rFonts w:ascii="Arial" w:hAnsi="Arial" w:cs="Arial"/>
          <w:lang w:val="en"/>
        </w:rPr>
        <w:t>.</w:t>
      </w:r>
      <w:r w:rsidR="009E0C2E" w:rsidRPr="001A2A05">
        <w:rPr>
          <w:rStyle w:val="FootnoteReference"/>
          <w:rFonts w:cs="Arial"/>
        </w:rPr>
        <w:footnoteReference w:id="112"/>
      </w:r>
      <w:r w:rsidR="00651130">
        <w:rPr>
          <w:rFonts w:ascii="Arial" w:hAnsi="Arial" w:cs="Arial"/>
          <w:lang w:val="en"/>
        </w:rPr>
        <w:t xml:space="preserve"> Early diagnosis provides the opportunity for effective care and antiviral treatment which substantially reduces liver cancer risk.</w:t>
      </w:r>
      <w:r w:rsidR="009E0C2E">
        <w:br w:type="page"/>
      </w:r>
    </w:p>
    <w:p w14:paraId="6DAFCFAC" w14:textId="3EA87DF1" w:rsidR="00733767" w:rsidRDefault="00A22BE9" w:rsidP="00733767">
      <w:pPr>
        <w:pStyle w:val="Heading3"/>
        <w:rPr>
          <w:lang w:eastAsia="en-AU"/>
        </w:rPr>
      </w:pPr>
      <w:bookmarkStart w:id="602" w:name="_Measure_10.5_–"/>
      <w:bookmarkStart w:id="603" w:name="_Toc19008104"/>
      <w:bookmarkEnd w:id="602"/>
      <w:r>
        <w:rPr>
          <w:lang w:eastAsia="en-AU"/>
        </w:rPr>
        <w:lastRenderedPageBreak/>
        <w:t xml:space="preserve">Measure 10.5 – </w:t>
      </w:r>
      <w:r w:rsidR="005A1356">
        <w:rPr>
          <w:lang w:eastAsia="en-AU"/>
        </w:rPr>
        <w:t xml:space="preserve">Proportion of people with </w:t>
      </w:r>
      <w:r w:rsidR="00107A1C">
        <w:rPr>
          <w:lang w:eastAsia="en-AU"/>
        </w:rPr>
        <w:t xml:space="preserve">a </w:t>
      </w:r>
      <w:r w:rsidR="005A1356">
        <w:rPr>
          <w:lang w:eastAsia="en-AU"/>
        </w:rPr>
        <w:t>hepatitis C diagnosis with liver cancer, whose hepatitis C was diagnosed late</w:t>
      </w:r>
      <w:bookmarkEnd w:id="603"/>
    </w:p>
    <w:p w14:paraId="436CEF2D" w14:textId="4EEAA046" w:rsidR="000A0F8A" w:rsidRDefault="000A0F8A" w:rsidP="008C38C6">
      <w:pPr>
        <w:pStyle w:val="DHHStablecaption"/>
      </w:pPr>
      <w:bookmarkStart w:id="604" w:name="_Toc18908740"/>
      <w:bookmarkStart w:id="605" w:name="_Toc27414420"/>
      <w:r w:rsidRPr="00A4670F">
        <w:t>Table 10.</w:t>
      </w:r>
      <w:r>
        <w:t>5</w:t>
      </w:r>
      <w:r w:rsidR="00CA2AD7">
        <w:t>:</w:t>
      </w:r>
      <w:r w:rsidRPr="00A4670F">
        <w:t xml:space="preserve"> Proportion of people </w:t>
      </w:r>
      <w:r w:rsidR="0008094A">
        <w:t xml:space="preserve">in Victoria </w:t>
      </w:r>
      <w:r w:rsidRPr="00A4670F">
        <w:t xml:space="preserve">with </w:t>
      </w:r>
      <w:r>
        <w:t>HCV</w:t>
      </w:r>
      <w:r w:rsidRPr="00A4670F">
        <w:t xml:space="preserve"> diagnosed with liver cancer, whose </w:t>
      </w:r>
      <w:r w:rsidR="00A65297">
        <w:t>H</w:t>
      </w:r>
      <w:r w:rsidR="00676448">
        <w:t>C</w:t>
      </w:r>
      <w:r w:rsidR="00A65297">
        <w:t>V</w:t>
      </w:r>
      <w:r w:rsidRPr="00A4670F">
        <w:t xml:space="preserve"> was diagnosed late</w:t>
      </w:r>
      <w:r w:rsidR="00107A1C">
        <w:t>, 2010–2014</w:t>
      </w:r>
      <w:bookmarkEnd w:id="604"/>
      <w:bookmarkEnd w:id="605"/>
    </w:p>
    <w:tbl>
      <w:tblPr>
        <w:tblStyle w:val="TableGrid"/>
        <w:tblW w:w="10637"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1844"/>
        <w:gridCol w:w="3459"/>
        <w:gridCol w:w="4095"/>
        <w:gridCol w:w="1239"/>
      </w:tblGrid>
      <w:tr w:rsidR="000A0F8A" w14:paraId="3DBF924F" w14:textId="77777777" w:rsidTr="00D6450C">
        <w:trPr>
          <w:trHeight w:val="596"/>
        </w:trPr>
        <w:tc>
          <w:tcPr>
            <w:tcW w:w="1844" w:type="dxa"/>
            <w:shd w:val="clear" w:color="auto" w:fill="EDCDCF"/>
          </w:tcPr>
          <w:p w14:paraId="4520645E" w14:textId="77777777" w:rsidR="000A0F8A" w:rsidRPr="00850B4C" w:rsidRDefault="000A0F8A" w:rsidP="0094586B">
            <w:pPr>
              <w:pStyle w:val="DHHStablecolhead"/>
            </w:pPr>
            <w:r w:rsidRPr="00850B4C">
              <w:t>Years</w:t>
            </w:r>
          </w:p>
        </w:tc>
        <w:tc>
          <w:tcPr>
            <w:tcW w:w="3459" w:type="dxa"/>
            <w:shd w:val="clear" w:color="auto" w:fill="EDCDCF"/>
          </w:tcPr>
          <w:p w14:paraId="06B74DE2" w14:textId="61D73862" w:rsidR="000A0F8A" w:rsidRPr="00850B4C" w:rsidRDefault="000A0F8A" w:rsidP="0094586B">
            <w:pPr>
              <w:pStyle w:val="DHHStablecolhead"/>
            </w:pPr>
            <w:r w:rsidRPr="00850B4C">
              <w:t>Late diagnosis of HCV with liver cancer</w:t>
            </w:r>
          </w:p>
        </w:tc>
        <w:tc>
          <w:tcPr>
            <w:tcW w:w="4095" w:type="dxa"/>
            <w:shd w:val="clear" w:color="auto" w:fill="EDCDCF"/>
          </w:tcPr>
          <w:p w14:paraId="41338183" w14:textId="0CEF0DE0" w:rsidR="000A0F8A" w:rsidRPr="00850B4C" w:rsidRDefault="000A0F8A" w:rsidP="0094586B">
            <w:pPr>
              <w:pStyle w:val="DHHStablecolhead"/>
            </w:pPr>
            <w:r w:rsidRPr="00850B4C">
              <w:t>People living with HCV diagnosed with liver cancer</w:t>
            </w:r>
          </w:p>
        </w:tc>
        <w:tc>
          <w:tcPr>
            <w:tcW w:w="1239" w:type="dxa"/>
            <w:shd w:val="clear" w:color="auto" w:fill="EDCDCF"/>
          </w:tcPr>
          <w:p w14:paraId="6FFC5115" w14:textId="77777777" w:rsidR="000A0F8A" w:rsidRPr="00850B4C" w:rsidRDefault="000A0F8A" w:rsidP="0094586B">
            <w:pPr>
              <w:pStyle w:val="DHHStablecolhead"/>
            </w:pPr>
            <w:r w:rsidRPr="00850B4C">
              <w:t>Proportion (%)</w:t>
            </w:r>
          </w:p>
        </w:tc>
      </w:tr>
      <w:tr w:rsidR="000A0F8A" w14:paraId="7B152F80" w14:textId="77777777" w:rsidTr="00D6450C">
        <w:trPr>
          <w:trHeight w:val="338"/>
        </w:trPr>
        <w:tc>
          <w:tcPr>
            <w:tcW w:w="1844" w:type="dxa"/>
            <w:shd w:val="clear" w:color="auto" w:fill="auto"/>
          </w:tcPr>
          <w:p w14:paraId="795CA7F4" w14:textId="2BEB4CEC" w:rsidR="000A0F8A" w:rsidRPr="005A1356" w:rsidRDefault="000A0F8A" w:rsidP="0094586B">
            <w:pPr>
              <w:pStyle w:val="DHHStabletext"/>
            </w:pPr>
            <w:r w:rsidRPr="005A1356">
              <w:t>2010</w:t>
            </w:r>
            <w:r w:rsidR="00CA2AD7">
              <w:t>–</w:t>
            </w:r>
            <w:r w:rsidRPr="005A1356">
              <w:t>2013</w:t>
            </w:r>
          </w:p>
        </w:tc>
        <w:tc>
          <w:tcPr>
            <w:tcW w:w="3459" w:type="dxa"/>
            <w:shd w:val="clear" w:color="auto" w:fill="auto"/>
          </w:tcPr>
          <w:p w14:paraId="72A431E0" w14:textId="71E85A00" w:rsidR="000A0F8A" w:rsidRPr="005A1356" w:rsidRDefault="000A0F8A" w:rsidP="0094586B">
            <w:pPr>
              <w:pStyle w:val="DHHStabletext"/>
            </w:pPr>
            <w:r>
              <w:t>66</w:t>
            </w:r>
          </w:p>
        </w:tc>
        <w:tc>
          <w:tcPr>
            <w:tcW w:w="4095" w:type="dxa"/>
            <w:shd w:val="clear" w:color="auto" w:fill="auto"/>
          </w:tcPr>
          <w:p w14:paraId="201A507E" w14:textId="55835489" w:rsidR="000A0F8A" w:rsidRPr="005A1356" w:rsidRDefault="000A0F8A" w:rsidP="0094586B">
            <w:pPr>
              <w:pStyle w:val="DHHStabletext"/>
            </w:pPr>
            <w:r>
              <w:t>379</w:t>
            </w:r>
          </w:p>
        </w:tc>
        <w:tc>
          <w:tcPr>
            <w:tcW w:w="1239" w:type="dxa"/>
            <w:shd w:val="clear" w:color="auto" w:fill="auto"/>
          </w:tcPr>
          <w:p w14:paraId="2C8EBDD4" w14:textId="235BD463" w:rsidR="000A0F8A" w:rsidRPr="005A1356" w:rsidRDefault="000A0F8A" w:rsidP="0094586B">
            <w:pPr>
              <w:pStyle w:val="DHHStabletext"/>
            </w:pPr>
            <w:r>
              <w:t>17</w:t>
            </w:r>
          </w:p>
        </w:tc>
      </w:tr>
      <w:tr w:rsidR="001D1467" w14:paraId="3CF8A758" w14:textId="77777777" w:rsidTr="00D6450C">
        <w:trPr>
          <w:trHeight w:val="338"/>
        </w:trPr>
        <w:tc>
          <w:tcPr>
            <w:tcW w:w="1844" w:type="dxa"/>
            <w:shd w:val="clear" w:color="auto" w:fill="auto"/>
          </w:tcPr>
          <w:p w14:paraId="062B4B05" w14:textId="0E76EA8F" w:rsidR="001D1467" w:rsidRPr="005A1356" w:rsidRDefault="001D1467" w:rsidP="0094586B">
            <w:pPr>
              <w:pStyle w:val="DHHStabletext"/>
            </w:pPr>
            <w:r>
              <w:t>2014</w:t>
            </w:r>
          </w:p>
        </w:tc>
        <w:tc>
          <w:tcPr>
            <w:tcW w:w="3459" w:type="dxa"/>
            <w:shd w:val="clear" w:color="auto" w:fill="auto"/>
          </w:tcPr>
          <w:p w14:paraId="45E9A987" w14:textId="441B77AD" w:rsidR="001D1467" w:rsidRDefault="001D1467" w:rsidP="0094586B">
            <w:pPr>
              <w:pStyle w:val="DHHStabletext"/>
            </w:pPr>
            <w:r>
              <w:t>22</w:t>
            </w:r>
          </w:p>
        </w:tc>
        <w:tc>
          <w:tcPr>
            <w:tcW w:w="4095" w:type="dxa"/>
            <w:shd w:val="clear" w:color="auto" w:fill="auto"/>
          </w:tcPr>
          <w:p w14:paraId="3019680D" w14:textId="383075F4" w:rsidR="001D1467" w:rsidRDefault="001D1467" w:rsidP="0094586B">
            <w:pPr>
              <w:pStyle w:val="DHHStabletext"/>
            </w:pPr>
            <w:r>
              <w:t>142</w:t>
            </w:r>
          </w:p>
        </w:tc>
        <w:tc>
          <w:tcPr>
            <w:tcW w:w="1239" w:type="dxa"/>
            <w:shd w:val="clear" w:color="auto" w:fill="auto"/>
          </w:tcPr>
          <w:p w14:paraId="59B9838D" w14:textId="7F1C57CB" w:rsidR="001D1467" w:rsidRDefault="001D1467" w:rsidP="0094586B">
            <w:pPr>
              <w:pStyle w:val="DHHStabletext"/>
            </w:pPr>
            <w:r>
              <w:t>15</w:t>
            </w:r>
          </w:p>
        </w:tc>
      </w:tr>
    </w:tbl>
    <w:p w14:paraId="2251DF56" w14:textId="127F8529" w:rsidR="00D76658" w:rsidRDefault="00D76658" w:rsidP="00660649">
      <w:pPr>
        <w:pStyle w:val="DHHStablefigurenote"/>
      </w:pPr>
      <w:r w:rsidRPr="007C7EC6">
        <w:t>Source:</w:t>
      </w:r>
      <w:r w:rsidR="00952FC7">
        <w:t xml:space="preserve"> </w:t>
      </w:r>
      <w:r>
        <w:t xml:space="preserve">Linked </w:t>
      </w:r>
      <w:r w:rsidR="00971A37">
        <w:t xml:space="preserve">data from </w:t>
      </w:r>
      <w:r>
        <w:t>Public Health Events Surveillance System, Department of Health and Human Services and</w:t>
      </w:r>
      <w:r w:rsidR="004C18EC">
        <w:t xml:space="preserve"> VCR</w:t>
      </w:r>
      <w:r w:rsidRPr="007C7EC6">
        <w:t>, Cancer Council Victoria</w:t>
      </w:r>
      <w:r>
        <w:t>.</w:t>
      </w:r>
    </w:p>
    <w:p w14:paraId="78306AC8" w14:textId="00F7362B" w:rsidR="00461D73" w:rsidRPr="007C7EC6" w:rsidRDefault="00461D73" w:rsidP="00660649">
      <w:pPr>
        <w:pStyle w:val="DHHStablefigurenote"/>
      </w:pPr>
      <w:r>
        <w:t>The</w:t>
      </w:r>
      <w:r w:rsidR="00030566">
        <w:t>se</w:t>
      </w:r>
      <w:r>
        <w:t xml:space="preserve"> data w</w:t>
      </w:r>
      <w:r w:rsidR="00030566">
        <w:t>ere</w:t>
      </w:r>
      <w:r>
        <w:t xml:space="preserve"> derived from the </w:t>
      </w:r>
      <w:r w:rsidR="00107A1C">
        <w:t>L</w:t>
      </w:r>
      <w:r>
        <w:t xml:space="preserve">iver </w:t>
      </w:r>
      <w:r w:rsidR="00107A1C">
        <w:t>C</w:t>
      </w:r>
      <w:r>
        <w:t xml:space="preserve">ancer </w:t>
      </w:r>
      <w:r w:rsidR="00107A1C">
        <w:t>P</w:t>
      </w:r>
      <w:r>
        <w:t xml:space="preserve">revention </w:t>
      </w:r>
      <w:r w:rsidR="00107A1C">
        <w:t>S</w:t>
      </w:r>
      <w:r>
        <w:t>tudy linking viral hepatitis diagnosis, treatment and outcomes conducted by the WHO Collaborating Centre for Viral Hepatitis</w:t>
      </w:r>
      <w:r w:rsidR="00FC7F25">
        <w:t>, Victorian Infectious Diseases Reference Laboratory, The Peter Doherty Institute for Infection and Immunity</w:t>
      </w:r>
      <w:r>
        <w:t>.</w:t>
      </w:r>
      <w:r w:rsidR="00952FC7">
        <w:t xml:space="preserve"> </w:t>
      </w:r>
      <w:r>
        <w:t xml:space="preserve">This study was funded by a Royal Melbourne Hospital </w:t>
      </w:r>
      <w:r w:rsidR="00FC7F25">
        <w:t xml:space="preserve">Research </w:t>
      </w:r>
      <w:r>
        <w:t>Project Grant.</w:t>
      </w:r>
    </w:p>
    <w:p w14:paraId="1E27CEAC" w14:textId="7C7F8005" w:rsidR="00461D73" w:rsidRPr="00D126C3" w:rsidRDefault="00D126C3" w:rsidP="00660649">
      <w:pPr>
        <w:pStyle w:val="DHHStablefigurenote"/>
      </w:pPr>
      <w:r w:rsidRPr="000741D3">
        <w:t xml:space="preserve">At the time of writing the Liver Cancer Prevention Study was exploring other data sources such as Victorian hospital data and the National Death Index to ascertain whether there are </w:t>
      </w:r>
      <w:r w:rsidR="00107A1C">
        <w:t>more people</w:t>
      </w:r>
      <w:r w:rsidRPr="000741D3">
        <w:t xml:space="preserve"> living with viral </w:t>
      </w:r>
      <w:r w:rsidR="00A65297">
        <w:t>HBV</w:t>
      </w:r>
      <w:r w:rsidRPr="000741D3">
        <w:t xml:space="preserve"> who have been diagnosed with liver cancer </w:t>
      </w:r>
      <w:r w:rsidR="00107A1C">
        <w:t>who</w:t>
      </w:r>
      <w:r w:rsidR="00107A1C" w:rsidRPr="000741D3">
        <w:t xml:space="preserve"> </w:t>
      </w:r>
      <w:r w:rsidRPr="000741D3">
        <w:t xml:space="preserve">are not included in the </w:t>
      </w:r>
      <w:r w:rsidR="004C18EC">
        <w:t>VCR</w:t>
      </w:r>
      <w:r w:rsidRPr="000741D3">
        <w:t>.</w:t>
      </w:r>
      <w:r w:rsidR="00952FC7">
        <w:t xml:space="preserve"> </w:t>
      </w:r>
      <w:r w:rsidRPr="000741D3">
        <w:t xml:space="preserve">A planned future round of data linkage for the </w:t>
      </w:r>
      <w:r w:rsidR="00107A1C">
        <w:t>L</w:t>
      </w:r>
      <w:r w:rsidRPr="000741D3">
        <w:t xml:space="preserve">iver </w:t>
      </w:r>
      <w:r w:rsidR="00107A1C">
        <w:t>C</w:t>
      </w:r>
      <w:r w:rsidRPr="000741D3">
        <w:t xml:space="preserve">ancer </w:t>
      </w:r>
      <w:r w:rsidR="00107A1C">
        <w:t>P</w:t>
      </w:r>
      <w:r w:rsidRPr="000741D3">
        <w:t xml:space="preserve">revention </w:t>
      </w:r>
      <w:r w:rsidR="00107A1C">
        <w:t>S</w:t>
      </w:r>
      <w:r w:rsidRPr="000741D3">
        <w:t>tudy will be able to provide more precise data for this measure.</w:t>
      </w:r>
    </w:p>
    <w:p w14:paraId="0CBEFD96" w14:textId="77DE8928" w:rsidR="003A5E4E" w:rsidRPr="00671C7A" w:rsidRDefault="003A5E4E" w:rsidP="00D01B48">
      <w:pPr>
        <w:pStyle w:val="Heading4"/>
        <w:spacing w:before="0" w:line="270" w:lineRule="atLeast"/>
        <w:rPr>
          <w:lang w:eastAsia="en-AU"/>
        </w:rPr>
      </w:pPr>
      <w:r>
        <w:rPr>
          <w:lang w:eastAsia="en-AU"/>
        </w:rPr>
        <w:t>Measure assessment</w:t>
      </w:r>
    </w:p>
    <w:p w14:paraId="13233653" w14:textId="772300F2" w:rsidR="00EA3932" w:rsidRPr="00D01B48" w:rsidRDefault="003A5E4E" w:rsidP="00D01B48">
      <w:pPr>
        <w:autoSpaceDE w:val="0"/>
        <w:autoSpaceDN w:val="0"/>
        <w:adjustRightInd w:val="0"/>
        <w:spacing w:after="120" w:line="270" w:lineRule="atLeast"/>
        <w:rPr>
          <w:rFonts w:ascii="Arial" w:hAnsi="Arial" w:cs="Arial"/>
          <w:color w:val="C00000"/>
        </w:rPr>
      </w:pPr>
      <w:r>
        <w:rPr>
          <w:rFonts w:ascii="Arial" w:hAnsi="Arial" w:cs="Arial"/>
        </w:rPr>
        <w:t>Traffic light rating:</w:t>
      </w:r>
      <w:r w:rsidR="007C7EC6">
        <w:rPr>
          <w:rFonts w:ascii="Arial" w:hAnsi="Arial" w:cs="Arial"/>
        </w:rPr>
        <w:t xml:space="preserve"> </w:t>
      </w:r>
      <w:r w:rsidR="00D01B48" w:rsidRPr="0097280A">
        <w:rPr>
          <w:rFonts w:ascii="Arial" w:hAnsi="Arial" w:cs="Arial"/>
          <w:b/>
          <w:color w:val="C00000"/>
        </w:rPr>
        <w:t>Red</w:t>
      </w:r>
      <w:r w:rsidR="00D01B48">
        <w:rPr>
          <w:rFonts w:ascii="Arial" w:hAnsi="Arial" w:cs="Arial"/>
          <w:b/>
          <w:color w:val="C00000"/>
        </w:rPr>
        <w:t xml:space="preserve"> </w:t>
      </w:r>
      <w:r w:rsidR="00D01B48">
        <w:rPr>
          <w:rFonts w:ascii="Arial" w:hAnsi="Arial" w:cs="Arial"/>
          <w:color w:val="C00000"/>
        </w:rPr>
        <w:t>(result is of concern)</w:t>
      </w:r>
    </w:p>
    <w:p w14:paraId="6CA32F76" w14:textId="3A51C557" w:rsidR="001D038E" w:rsidRDefault="003A5E4E" w:rsidP="00D01B48">
      <w:pPr>
        <w:autoSpaceDE w:val="0"/>
        <w:autoSpaceDN w:val="0"/>
        <w:adjustRightInd w:val="0"/>
        <w:spacing w:after="120" w:line="270" w:lineRule="atLeast"/>
        <w:rPr>
          <w:rFonts w:ascii="Arial" w:hAnsi="Arial" w:cs="Arial"/>
        </w:rPr>
      </w:pPr>
      <w:r>
        <w:rPr>
          <w:rFonts w:ascii="Arial" w:hAnsi="Arial" w:cs="Arial"/>
        </w:rPr>
        <w:t>Overall trend:</w:t>
      </w:r>
      <w:r w:rsidR="008607DA">
        <w:rPr>
          <w:rFonts w:ascii="Arial" w:hAnsi="Arial" w:cs="Arial"/>
        </w:rPr>
        <w:t xml:space="preserve"> </w:t>
      </w:r>
      <w:r w:rsidR="00F9270F">
        <w:rPr>
          <w:rFonts w:ascii="Arial" w:hAnsi="Arial" w:cs="Arial"/>
        </w:rPr>
        <w:t>Static or unchanging</w:t>
      </w:r>
    </w:p>
    <w:p w14:paraId="55DF5D59" w14:textId="7293C3E9" w:rsidR="00104832" w:rsidRPr="00ED2179" w:rsidRDefault="00C92DE1" w:rsidP="00D01B48">
      <w:pPr>
        <w:autoSpaceDE w:val="0"/>
        <w:autoSpaceDN w:val="0"/>
        <w:adjustRightInd w:val="0"/>
        <w:spacing w:after="120" w:line="270" w:lineRule="atLeast"/>
        <w:rPr>
          <w:rFonts w:ascii="Arial" w:hAnsi="Arial" w:cs="Arial"/>
        </w:rPr>
      </w:pPr>
      <w:r w:rsidRPr="00365DBF">
        <w:rPr>
          <w:rFonts w:ascii="Arial" w:hAnsi="Arial" w:cs="Arial"/>
        </w:rPr>
        <w:t xml:space="preserve">Commentary: </w:t>
      </w:r>
      <w:r w:rsidR="00365DBF" w:rsidRPr="00365DBF">
        <w:rPr>
          <w:rFonts w:ascii="Arial" w:hAnsi="Arial" w:cs="Arial"/>
          <w:lang w:val="en"/>
        </w:rPr>
        <w:t xml:space="preserve">Chronic HCV infections may remain clinically silent for decades, and symptoms do occur at a late stage, </w:t>
      </w:r>
      <w:r w:rsidR="00F9270F">
        <w:rPr>
          <w:rFonts w:ascii="Arial" w:hAnsi="Arial" w:cs="Arial"/>
          <w:lang w:val="en"/>
        </w:rPr>
        <w:t xml:space="preserve">often </w:t>
      </w:r>
      <w:r w:rsidR="00365DBF" w:rsidRPr="00365DBF">
        <w:rPr>
          <w:rFonts w:ascii="Arial" w:hAnsi="Arial" w:cs="Arial"/>
          <w:lang w:val="en"/>
        </w:rPr>
        <w:t>developing into liver cancer</w:t>
      </w:r>
      <w:r w:rsidR="00F9270F">
        <w:rPr>
          <w:rFonts w:ascii="Arial" w:hAnsi="Arial" w:cs="Arial"/>
          <w:lang w:val="en"/>
        </w:rPr>
        <w:t xml:space="preserve"> when untreated</w:t>
      </w:r>
      <w:r w:rsidR="00365DBF" w:rsidRPr="00365DBF">
        <w:rPr>
          <w:rFonts w:ascii="Arial" w:hAnsi="Arial" w:cs="Arial"/>
          <w:lang w:val="en"/>
        </w:rPr>
        <w:t xml:space="preserve">. </w:t>
      </w:r>
      <w:r w:rsidR="00D36E22" w:rsidRPr="00365DBF">
        <w:rPr>
          <w:rFonts w:ascii="Arial" w:hAnsi="Arial" w:cs="Arial"/>
          <w:color w:val="1C1D1E"/>
          <w:lang w:val="en"/>
        </w:rPr>
        <w:t>Globally 770,000 cases of liver cancer occurred worldwide in 2012, of which 150,000 are estimated to be attributable to HCV</w:t>
      </w:r>
      <w:r w:rsidR="002E3042" w:rsidRPr="00365DBF">
        <w:rPr>
          <w:rFonts w:ascii="Arial" w:hAnsi="Arial" w:cs="Arial"/>
          <w:color w:val="1C1D1E"/>
          <w:lang w:val="en"/>
        </w:rPr>
        <w:t>.</w:t>
      </w:r>
      <w:r w:rsidR="002E3042" w:rsidRPr="00365DBF">
        <w:rPr>
          <w:rStyle w:val="FootnoteReference"/>
          <w:rFonts w:cs="Arial"/>
          <w:color w:val="1C1D1E"/>
          <w:lang w:val="en"/>
        </w:rPr>
        <w:footnoteReference w:id="113"/>
      </w:r>
      <w:r w:rsidR="00D36E22" w:rsidRPr="00365DBF">
        <w:rPr>
          <w:rFonts w:ascii="Arial" w:hAnsi="Arial" w:cs="Arial"/>
          <w:color w:val="1C1D1E"/>
          <w:lang w:val="en"/>
        </w:rPr>
        <w:t xml:space="preserve"> </w:t>
      </w:r>
      <w:r w:rsidR="00365DBF" w:rsidRPr="00365DBF">
        <w:rPr>
          <w:rFonts w:ascii="Arial" w:hAnsi="Arial" w:cs="Arial"/>
          <w:lang w:val="en"/>
        </w:rPr>
        <w:t xml:space="preserve">In Victoria, and as with </w:t>
      </w:r>
      <w:r w:rsidR="00365DBF" w:rsidRPr="00365DBF">
        <w:rPr>
          <w:rStyle w:val="Strong"/>
          <w:rFonts w:ascii="Arial" w:hAnsi="Arial" w:cs="Arial"/>
          <w:b w:val="0"/>
        </w:rPr>
        <w:t>chronic HBV, chronic HCV infection has been identified as a major contributor to rising liver cancer incidence</w:t>
      </w:r>
      <w:r w:rsidR="00365DBF" w:rsidRPr="00365DBF">
        <w:rPr>
          <w:rStyle w:val="FootnoteReference"/>
          <w:rFonts w:cs="Arial"/>
          <w:bCs/>
        </w:rPr>
        <w:footnoteReference w:id="114"/>
      </w:r>
      <w:r w:rsidR="00365DBF" w:rsidRPr="00365DBF">
        <w:rPr>
          <w:rStyle w:val="Strong"/>
          <w:rFonts w:ascii="Arial" w:hAnsi="Arial" w:cs="Arial"/>
          <w:b w:val="0"/>
        </w:rPr>
        <w:t xml:space="preserve"> and that </w:t>
      </w:r>
      <w:r w:rsidR="00365DBF" w:rsidRPr="00365DBF">
        <w:rPr>
          <w:rFonts w:ascii="Arial" w:hAnsi="Arial" w:cs="Arial"/>
        </w:rPr>
        <w:t>the very low uptake of treatment</w:t>
      </w:r>
      <w:r w:rsidR="00104832">
        <w:rPr>
          <w:rFonts w:ascii="Arial" w:hAnsi="Arial" w:cs="Arial"/>
        </w:rPr>
        <w:t xml:space="preserve"> </w:t>
      </w:r>
      <w:r w:rsidR="00F9270F">
        <w:rPr>
          <w:rFonts w:ascii="Arial" w:hAnsi="Arial" w:cs="Arial"/>
        </w:rPr>
        <w:t>(</w:t>
      </w:r>
      <w:r w:rsidR="00104832">
        <w:rPr>
          <w:rFonts w:ascii="Arial" w:hAnsi="Arial" w:cs="Arial"/>
        </w:rPr>
        <w:t>due</w:t>
      </w:r>
      <w:r w:rsidR="00F9270F">
        <w:rPr>
          <w:rFonts w:ascii="Arial" w:hAnsi="Arial" w:cs="Arial"/>
        </w:rPr>
        <w:t xml:space="preserve"> in part</w:t>
      </w:r>
      <w:r w:rsidR="00104832">
        <w:rPr>
          <w:rFonts w:ascii="Arial" w:hAnsi="Arial" w:cs="Arial"/>
        </w:rPr>
        <w:t xml:space="preserve"> to the systemic discrimination associated with the </w:t>
      </w:r>
      <w:r w:rsidR="00D3005D">
        <w:rPr>
          <w:rFonts w:ascii="Arial" w:hAnsi="Arial" w:cs="Arial"/>
        </w:rPr>
        <w:t>condition</w:t>
      </w:r>
      <w:r w:rsidR="00F9270F">
        <w:rPr>
          <w:rFonts w:ascii="Arial" w:hAnsi="Arial" w:cs="Arial"/>
        </w:rPr>
        <w:t>)</w:t>
      </w:r>
      <w:r w:rsidR="00365DBF" w:rsidRPr="00365DBF">
        <w:rPr>
          <w:rFonts w:ascii="Arial" w:hAnsi="Arial" w:cs="Arial"/>
        </w:rPr>
        <w:t xml:space="preserve"> is </w:t>
      </w:r>
      <w:r w:rsidR="00D3005D">
        <w:rPr>
          <w:rFonts w:ascii="Arial" w:hAnsi="Arial" w:cs="Arial"/>
        </w:rPr>
        <w:t xml:space="preserve">a </w:t>
      </w:r>
      <w:r w:rsidR="00365DBF" w:rsidRPr="00365DBF">
        <w:rPr>
          <w:rFonts w:ascii="Arial" w:hAnsi="Arial" w:cs="Arial"/>
        </w:rPr>
        <w:t>contributing</w:t>
      </w:r>
      <w:r w:rsidR="00D3005D">
        <w:rPr>
          <w:rFonts w:ascii="Arial" w:hAnsi="Arial" w:cs="Arial"/>
        </w:rPr>
        <w:t xml:space="preserve"> factor</w:t>
      </w:r>
      <w:r w:rsidR="00365DBF" w:rsidRPr="00365DBF">
        <w:rPr>
          <w:rFonts w:ascii="Arial" w:hAnsi="Arial" w:cs="Arial"/>
        </w:rPr>
        <w:t xml:space="preserve"> to </w:t>
      </w:r>
      <w:r w:rsidR="00365DBF">
        <w:rPr>
          <w:rFonts w:ascii="Arial" w:hAnsi="Arial" w:cs="Arial"/>
        </w:rPr>
        <w:t xml:space="preserve">this rise in the </w:t>
      </w:r>
      <w:r w:rsidR="00365DBF" w:rsidRPr="00365DBF">
        <w:rPr>
          <w:rFonts w:ascii="Arial" w:hAnsi="Arial" w:cs="Arial"/>
        </w:rPr>
        <w:t>incidence of liver cancer.</w:t>
      </w:r>
      <w:r w:rsidR="00104832">
        <w:rPr>
          <w:rStyle w:val="FootnoteReference"/>
          <w:rFonts w:cs="Arial"/>
        </w:rPr>
        <w:footnoteReference w:id="115"/>
      </w:r>
    </w:p>
    <w:p w14:paraId="2EB4B944" w14:textId="0237826E" w:rsidR="00C2742B" w:rsidRDefault="00365DBF">
      <w:pPr>
        <w:pStyle w:val="DHHSbody"/>
        <w:rPr>
          <w:lang w:val="en"/>
        </w:rPr>
      </w:pPr>
      <w:r w:rsidRPr="00365DBF">
        <w:rPr>
          <w:color w:val="1C1D1E"/>
          <w:lang w:val="en"/>
        </w:rPr>
        <w:t xml:space="preserve">Late </w:t>
      </w:r>
      <w:r w:rsidRPr="00365DBF">
        <w:rPr>
          <w:lang w:val="en"/>
        </w:rPr>
        <w:t>diagnosis of HCV</w:t>
      </w:r>
      <w:r w:rsidR="00CF2150">
        <w:rPr>
          <w:rStyle w:val="FootnoteReference"/>
          <w:rFonts w:cs="Arial"/>
          <w:b/>
          <w:lang w:val="en"/>
        </w:rPr>
        <w:footnoteReference w:id="116"/>
      </w:r>
      <w:r w:rsidRPr="00365DBF">
        <w:rPr>
          <w:lang w:val="en"/>
        </w:rPr>
        <w:t xml:space="preserve"> represents a missed opportunity to reduce the risk of liver cancer. While no target has been set for this measure, Table 10.5 shows that in Victoria </w:t>
      </w:r>
      <w:r w:rsidR="00D56AB6">
        <w:rPr>
          <w:lang w:val="en"/>
        </w:rPr>
        <w:t>between 2010</w:t>
      </w:r>
      <w:r w:rsidR="00CA2AD7">
        <w:rPr>
          <w:lang w:val="en"/>
        </w:rPr>
        <w:t>–</w:t>
      </w:r>
      <w:r w:rsidR="00D56AB6">
        <w:rPr>
          <w:lang w:val="en"/>
        </w:rPr>
        <w:t xml:space="preserve">2013, </w:t>
      </w:r>
      <w:r w:rsidRPr="00365DBF">
        <w:rPr>
          <w:lang w:val="en"/>
        </w:rPr>
        <w:t>17 per cent of those people with HCV diagnosed with liver cancer were diagnosed with HCV in the two years before, at the same time as or after liver cancer diagnosis.</w:t>
      </w:r>
      <w:r w:rsidR="00D56AB6">
        <w:rPr>
          <w:lang w:val="en"/>
        </w:rPr>
        <w:t xml:space="preserve"> In 2014 this figure </w:t>
      </w:r>
      <w:r w:rsidR="00F9270F">
        <w:rPr>
          <w:lang w:val="en"/>
        </w:rPr>
        <w:t>was 15 per cent, a statistically insignificant difference compared to the previous time period.</w:t>
      </w:r>
      <w:r w:rsidR="00D3005D">
        <w:rPr>
          <w:lang w:val="en"/>
        </w:rPr>
        <w:t xml:space="preserve"> The Victorian </w:t>
      </w:r>
      <w:r w:rsidR="009D4D76">
        <w:rPr>
          <w:lang w:val="en"/>
        </w:rPr>
        <w:t>HCV</w:t>
      </w:r>
      <w:r w:rsidR="00D3005D">
        <w:rPr>
          <w:lang w:val="en"/>
        </w:rPr>
        <w:t xml:space="preserve"> strategy reinforces the government’s commitment to eliminate the stigma and discrimination experienced by people living with </w:t>
      </w:r>
      <w:r w:rsidR="009D4D76">
        <w:rPr>
          <w:lang w:val="en"/>
        </w:rPr>
        <w:t>HCV</w:t>
      </w:r>
      <w:r w:rsidR="00D3005D">
        <w:rPr>
          <w:lang w:val="en"/>
        </w:rPr>
        <w:t xml:space="preserve"> in Victoria</w:t>
      </w:r>
      <w:r w:rsidR="00F9270F">
        <w:rPr>
          <w:lang w:val="en"/>
        </w:rPr>
        <w:t>,</w:t>
      </w:r>
      <w:r w:rsidR="00D3005D">
        <w:rPr>
          <w:rStyle w:val="FootnoteReference"/>
          <w:rFonts w:cs="Arial"/>
          <w:b/>
          <w:lang w:val="en"/>
        </w:rPr>
        <w:footnoteReference w:id="117"/>
      </w:r>
      <w:bookmarkEnd w:id="598"/>
      <w:r w:rsidR="00F9270F">
        <w:rPr>
          <w:lang w:val="en"/>
        </w:rPr>
        <w:t xml:space="preserve"> and to continue to increase the proportion of people living with hepatitis C who have been diagnosed and treated, in order to decrease their risk of liver cancer.</w:t>
      </w:r>
    </w:p>
    <w:p w14:paraId="7ECE10E1" w14:textId="5B7C7F02" w:rsidR="00CC52BE" w:rsidRPr="001A2A05" w:rsidRDefault="00CC52BE" w:rsidP="007D6BCA">
      <w:pPr>
        <w:pStyle w:val="Heading1"/>
        <w:rPr>
          <w:lang w:val="en"/>
        </w:rPr>
      </w:pPr>
      <w:r>
        <w:br w:type="page"/>
      </w:r>
      <w:bookmarkStart w:id="606" w:name="_Toc19008105"/>
      <w:bookmarkStart w:id="607" w:name="_Toc33457074"/>
      <w:r w:rsidRPr="00B91C4A">
        <w:lastRenderedPageBreak/>
        <w:t>Outcome: Detect cancers early</w:t>
      </w:r>
      <w:bookmarkEnd w:id="606"/>
      <w:bookmarkEnd w:id="607"/>
    </w:p>
    <w:p w14:paraId="426A8851" w14:textId="2C0AAB49" w:rsidR="00DF376C" w:rsidRPr="00B91C4A" w:rsidRDefault="00DF376C" w:rsidP="006053E7">
      <w:pPr>
        <w:pStyle w:val="Heading2"/>
      </w:pPr>
      <w:bookmarkStart w:id="608" w:name="_Toc19008106"/>
      <w:bookmarkStart w:id="609" w:name="_Toc33457075"/>
      <w:r w:rsidRPr="00B91C4A">
        <w:t>Key result: Increase early</w:t>
      </w:r>
      <w:r w:rsidR="004C18EC" w:rsidRPr="00B91C4A">
        <w:t>-</w:t>
      </w:r>
      <w:r w:rsidRPr="00B91C4A">
        <w:t>stage diagnosis</w:t>
      </w:r>
      <w:bookmarkEnd w:id="608"/>
      <w:bookmarkEnd w:id="609"/>
    </w:p>
    <w:p w14:paraId="0BFC5994" w14:textId="3F79BA8E" w:rsidR="00DF376C" w:rsidRDefault="00DF376C" w:rsidP="00DF376C">
      <w:pPr>
        <w:pStyle w:val="Heading3"/>
        <w:rPr>
          <w:lang w:eastAsia="en-AU"/>
        </w:rPr>
      </w:pPr>
      <w:bookmarkStart w:id="610" w:name="_Measure_11.1_–"/>
      <w:bookmarkStart w:id="611" w:name="_Toc19008107"/>
      <w:bookmarkEnd w:id="610"/>
      <w:r>
        <w:rPr>
          <w:lang w:eastAsia="en-AU"/>
        </w:rPr>
        <w:t>Measure 11.1 – Proportion</w:t>
      </w:r>
      <w:r w:rsidR="00C85FCE">
        <w:rPr>
          <w:lang w:eastAsia="en-AU"/>
        </w:rPr>
        <w:t xml:space="preserve"> of all cancers diagnosed</w:t>
      </w:r>
      <w:r w:rsidR="00A60F88">
        <w:rPr>
          <w:lang w:eastAsia="en-AU"/>
        </w:rPr>
        <w:t xml:space="preserve"> at stages 1 </w:t>
      </w:r>
      <w:r w:rsidR="002714EF">
        <w:rPr>
          <w:lang w:eastAsia="en-AU"/>
        </w:rPr>
        <w:t>or</w:t>
      </w:r>
      <w:r w:rsidR="00A60F88">
        <w:rPr>
          <w:lang w:eastAsia="en-AU"/>
        </w:rPr>
        <w:t xml:space="preserve"> 2</w:t>
      </w:r>
      <w:bookmarkEnd w:id="611"/>
    </w:p>
    <w:p w14:paraId="19B8FD4E" w14:textId="77777777" w:rsidR="001B5858" w:rsidRDefault="00B812DB" w:rsidP="001A2A05">
      <w:pPr>
        <w:pStyle w:val="DHHSbody"/>
        <w:rPr>
          <w:lang w:eastAsia="en-AU"/>
        </w:rPr>
      </w:pPr>
      <w:r>
        <w:rPr>
          <w:lang w:eastAsia="en-AU"/>
        </w:rPr>
        <w:t>Currently</w:t>
      </w:r>
      <w:r w:rsidR="00781327">
        <w:rPr>
          <w:lang w:eastAsia="en-AU"/>
        </w:rPr>
        <w:t xml:space="preserve"> staging information is</w:t>
      </w:r>
      <w:r>
        <w:rPr>
          <w:lang w:eastAsia="en-AU"/>
        </w:rPr>
        <w:t xml:space="preserve"> </w:t>
      </w:r>
      <w:r w:rsidR="007D18B3">
        <w:rPr>
          <w:lang w:eastAsia="en-AU"/>
        </w:rPr>
        <w:t xml:space="preserve">not </w:t>
      </w:r>
      <w:r w:rsidR="00781327">
        <w:rPr>
          <w:lang w:eastAsia="en-AU"/>
        </w:rPr>
        <w:t xml:space="preserve">captured for </w:t>
      </w:r>
      <w:r>
        <w:rPr>
          <w:lang w:eastAsia="en-AU"/>
        </w:rPr>
        <w:t xml:space="preserve">all cancers </w:t>
      </w:r>
      <w:r w:rsidR="007D18B3">
        <w:rPr>
          <w:lang w:eastAsia="en-AU"/>
        </w:rPr>
        <w:t>by the Victorian Cancer Registry</w:t>
      </w:r>
      <w:r w:rsidR="004C18EC">
        <w:rPr>
          <w:lang w:eastAsia="en-AU"/>
        </w:rPr>
        <w:t xml:space="preserve"> (VCR)</w:t>
      </w:r>
      <w:r w:rsidR="007D18B3">
        <w:rPr>
          <w:lang w:eastAsia="en-AU"/>
        </w:rPr>
        <w:t>.</w:t>
      </w:r>
      <w:r w:rsidR="00330DC3">
        <w:rPr>
          <w:lang w:eastAsia="en-AU"/>
        </w:rPr>
        <w:t xml:space="preserve"> Refer to Appendix 1.</w:t>
      </w:r>
    </w:p>
    <w:p w14:paraId="1D341189" w14:textId="77777777" w:rsidR="001B5858" w:rsidRDefault="001B5858">
      <w:pPr>
        <w:rPr>
          <w:rFonts w:ascii="Arial" w:eastAsia="Times" w:hAnsi="Arial"/>
        </w:rPr>
      </w:pPr>
      <w:r>
        <w:br w:type="page"/>
      </w:r>
    </w:p>
    <w:p w14:paraId="4496BC52" w14:textId="68DA63D0" w:rsidR="00170972" w:rsidRPr="001B5858" w:rsidRDefault="00DF376C" w:rsidP="001B5858">
      <w:pPr>
        <w:pStyle w:val="Heading3"/>
        <w:rPr>
          <w:rStyle w:val="Heading3Char"/>
          <w:b/>
          <w:bCs/>
        </w:rPr>
      </w:pPr>
      <w:bookmarkStart w:id="612" w:name="_Measure_11.2_–"/>
      <w:bookmarkEnd w:id="612"/>
      <w:r w:rsidRPr="001B5858">
        <w:rPr>
          <w:rStyle w:val="Heading3Char"/>
          <w:b/>
          <w:bCs/>
        </w:rPr>
        <w:lastRenderedPageBreak/>
        <w:t>Measure 11.2 –</w:t>
      </w:r>
      <w:r w:rsidR="00A60F88" w:rsidRPr="001B5858">
        <w:rPr>
          <w:rStyle w:val="Heading3Char"/>
          <w:b/>
          <w:bCs/>
        </w:rPr>
        <w:t xml:space="preserve"> Proportion of female breast c</w:t>
      </w:r>
      <w:r w:rsidR="00337038" w:rsidRPr="001B5858">
        <w:rPr>
          <w:rStyle w:val="Heading3Char"/>
          <w:b/>
          <w:bCs/>
        </w:rPr>
        <w:t>ancers diagnosed at stages 1 or</w:t>
      </w:r>
      <w:r w:rsidR="00A60F88" w:rsidRPr="001B5858">
        <w:rPr>
          <w:rStyle w:val="Heading3Char"/>
          <w:b/>
          <w:bCs/>
        </w:rPr>
        <w:t xml:space="preserve"> 2</w:t>
      </w:r>
    </w:p>
    <w:p w14:paraId="5DEBBAFF" w14:textId="05ACD7FF" w:rsidR="00DF7766" w:rsidRDefault="00AD7D76" w:rsidP="00867A76">
      <w:pPr>
        <w:pStyle w:val="DHHSfigurecaption"/>
      </w:pPr>
      <w:bookmarkStart w:id="613" w:name="_Toc19008108"/>
      <w:bookmarkStart w:id="614" w:name="_Toc19008334"/>
      <w:bookmarkStart w:id="615" w:name="_Toc19008481"/>
      <w:bookmarkStart w:id="616" w:name="_Toc19008628"/>
      <w:bookmarkStart w:id="617" w:name="_Toc27414336"/>
      <w:r w:rsidRPr="00AD7D76">
        <w:t>Figure 11.2</w:t>
      </w:r>
      <w:r w:rsidR="00CA2AD7">
        <w:t>:</w:t>
      </w:r>
      <w:r w:rsidRPr="00AD7D76">
        <w:t xml:space="preserve"> Proportion of female breast cancers diagnosed at stages 1 and 2, by age, </w:t>
      </w:r>
      <w:r w:rsidR="00D3516B">
        <w:t>I</w:t>
      </w:r>
      <w:r w:rsidRPr="00AD7D76">
        <w:t>ndigenous status and language spoken at home, 2014</w:t>
      </w:r>
      <w:r w:rsidR="00CA2AD7">
        <w:t>–</w:t>
      </w:r>
      <w:r w:rsidRPr="00AD7D76">
        <w:t>2016</w:t>
      </w:r>
      <w:bookmarkEnd w:id="613"/>
      <w:bookmarkEnd w:id="614"/>
      <w:bookmarkEnd w:id="615"/>
      <w:bookmarkEnd w:id="616"/>
      <w:bookmarkEnd w:id="617"/>
    </w:p>
    <w:p w14:paraId="5E1281D7" w14:textId="49683024" w:rsidR="00CA62CC" w:rsidRDefault="00FD5A28" w:rsidP="00AD7D76">
      <w:pPr>
        <w:pStyle w:val="DHHSbody"/>
        <w:ind w:right="-595"/>
        <w:rPr>
          <w:b/>
          <w:lang w:eastAsia="en-AU"/>
        </w:rPr>
      </w:pPr>
      <w:r>
        <w:rPr>
          <w:b/>
          <w:noProof/>
          <w:lang w:eastAsia="en-AU"/>
        </w:rPr>
        <w:drawing>
          <wp:inline distT="0" distB="0" distL="0" distR="0" wp14:anchorId="1E6A43DF" wp14:editId="7F38CC16">
            <wp:extent cx="6724650" cy="5657850"/>
            <wp:effectExtent l="0" t="0" r="0" b="0"/>
            <wp:docPr id="488" name="Picture 488" descr="This figure shows a data summary of 'Measure 11.2 – Proportion of female breast cancers diagnosed at stage 1 and 2' via subgroups namely age, Indigenous status and language spoken at home for the study period 2014-2016. The data set is available under 'Measure 11.2 – Proportion of female breast cancers diagnosed at stage 1 and 2'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724650" cy="5657850"/>
                    </a:xfrm>
                    <a:prstGeom prst="rect">
                      <a:avLst/>
                    </a:prstGeom>
                    <a:noFill/>
                  </pic:spPr>
                </pic:pic>
              </a:graphicData>
            </a:graphic>
          </wp:inline>
        </w:drawing>
      </w:r>
    </w:p>
    <w:p w14:paraId="58DCC178" w14:textId="2BB61F39" w:rsidR="00D53842" w:rsidRPr="00D53842" w:rsidRDefault="00A95A6C" w:rsidP="00A73034">
      <w:pPr>
        <w:pStyle w:val="DHHStablefigurenote"/>
        <w:rPr>
          <w:color w:val="000000"/>
        </w:rPr>
      </w:pPr>
      <w:r w:rsidRPr="00D53842">
        <w:t>Note:</w:t>
      </w:r>
      <w:r w:rsidR="00952FC7">
        <w:t xml:space="preserve"> </w:t>
      </w:r>
      <w:r w:rsidR="00D53842" w:rsidRPr="00D53842">
        <w:rPr>
          <w:color w:val="000000"/>
        </w:rPr>
        <w:t>The following was included:</w:t>
      </w:r>
    </w:p>
    <w:p w14:paraId="500FF165" w14:textId="49FFBD21" w:rsidR="00D53842" w:rsidRPr="00D53842" w:rsidRDefault="00C2742B" w:rsidP="00160602">
      <w:pPr>
        <w:pStyle w:val="DHHStablefigurenote"/>
        <w:numPr>
          <w:ilvl w:val="0"/>
          <w:numId w:val="48"/>
        </w:numPr>
      </w:pPr>
      <w:r>
        <w:t>n</w:t>
      </w:r>
      <w:r w:rsidR="00D53842" w:rsidRPr="00D53842">
        <w:t>ew diagnoses with stage recorded as 1</w:t>
      </w:r>
      <w:r w:rsidR="0015057E">
        <w:t>–</w:t>
      </w:r>
      <w:r w:rsidR="00D53842" w:rsidRPr="00D53842">
        <w:t>4 in the VCR, or with metastases recorded in the VCR (TNM</w:t>
      </w:r>
      <w:r w:rsidR="00EB0BB7">
        <w:t xml:space="preserve"> </w:t>
      </w:r>
      <w:r w:rsidR="00D53842" w:rsidRPr="00D53842">
        <w:t>=</w:t>
      </w:r>
      <w:r w:rsidR="00EB0BB7">
        <w:t xml:space="preserve"> </w:t>
      </w:r>
      <w:r w:rsidR="00D53842" w:rsidRPr="00D53842">
        <w:t>M1)</w:t>
      </w:r>
    </w:p>
    <w:p w14:paraId="208B7D9A" w14:textId="77777777" w:rsidR="00A73034" w:rsidRDefault="00C2742B" w:rsidP="00160602">
      <w:pPr>
        <w:pStyle w:val="DHHStablefigurenote"/>
        <w:numPr>
          <w:ilvl w:val="0"/>
          <w:numId w:val="48"/>
        </w:numPr>
      </w:pPr>
      <w:r>
        <w:t>p</w:t>
      </w:r>
      <w:r w:rsidR="00D53842" w:rsidRPr="00D53842">
        <w:t>atients diagnosed after neoadjuvant treatment</w:t>
      </w:r>
      <w:r w:rsidR="00A73034">
        <w:t xml:space="preserve"> </w:t>
      </w:r>
    </w:p>
    <w:p w14:paraId="3C5711B6" w14:textId="69F96B05" w:rsidR="00D53842" w:rsidRPr="00A73034" w:rsidRDefault="00C2742B" w:rsidP="00160602">
      <w:pPr>
        <w:pStyle w:val="DHHStablefigurenote"/>
        <w:numPr>
          <w:ilvl w:val="0"/>
          <w:numId w:val="48"/>
        </w:numPr>
      </w:pPr>
      <w:r>
        <w:t>f</w:t>
      </w:r>
      <w:r w:rsidR="00D53842" w:rsidRPr="00D53842">
        <w:t>or patients with multiple diagnoses within the year of interest, each diagnosis was included. Therefore, the number of new cancers does not necessarily equal the number of distinct patients.</w:t>
      </w:r>
    </w:p>
    <w:p w14:paraId="1C2AA3C4" w14:textId="7C159461" w:rsidR="002B3108" w:rsidRPr="00D53842" w:rsidRDefault="00D53842" w:rsidP="00A73034">
      <w:pPr>
        <w:pStyle w:val="DHHStablefigurenote"/>
        <w:rPr>
          <w:color w:val="000000"/>
        </w:rPr>
      </w:pPr>
      <w:r w:rsidRPr="00D53842">
        <w:rPr>
          <w:color w:val="000000"/>
        </w:rPr>
        <w:t>The following was excluded:</w:t>
      </w:r>
      <w:r w:rsidR="00A73034">
        <w:rPr>
          <w:color w:val="000000"/>
        </w:rPr>
        <w:t xml:space="preserve"> </w:t>
      </w:r>
      <w:r w:rsidR="00C2742B">
        <w:t>a</w:t>
      </w:r>
      <w:r w:rsidR="00F40C1D">
        <w:t>l</w:t>
      </w:r>
      <w:r w:rsidRPr="00D53842">
        <w:rPr>
          <w:color w:val="000000"/>
        </w:rPr>
        <w:t>l cases of male breast cancer</w:t>
      </w:r>
      <w:r>
        <w:rPr>
          <w:rStyle w:val="FootnoteReference"/>
          <w:rFonts w:cs="Arial"/>
          <w:i w:val="0"/>
          <w:color w:val="000000"/>
          <w:szCs w:val="18"/>
        </w:rPr>
        <w:footnoteReference w:id="118"/>
      </w:r>
      <w:r w:rsidR="00A73034">
        <w:rPr>
          <w:color w:val="000000"/>
        </w:rPr>
        <w:t xml:space="preserve"> and </w:t>
      </w:r>
      <w:r w:rsidR="00C2742B">
        <w:t>a</w:t>
      </w:r>
      <w:r w:rsidRPr="00D53842">
        <w:t>ll patients with unknown stage.</w:t>
      </w:r>
    </w:p>
    <w:p w14:paraId="093E15AE" w14:textId="23F54E55" w:rsidR="00D57F68" w:rsidRPr="001A2A05" w:rsidRDefault="002B3108" w:rsidP="00A73034">
      <w:pPr>
        <w:pStyle w:val="DHHStablefigurenote"/>
      </w:pPr>
      <w:r w:rsidRPr="00D53842">
        <w:rPr>
          <w:color w:val="000000"/>
        </w:rPr>
        <w:t>Appendix 2 provides the data</w:t>
      </w:r>
      <w:r w:rsidR="00B50CEE" w:rsidRPr="00D53842">
        <w:rPr>
          <w:color w:val="000000"/>
        </w:rPr>
        <w:t>set.</w:t>
      </w:r>
      <w:r w:rsidR="00D57F68" w:rsidRPr="00D53842">
        <w:rPr>
          <w:b/>
        </w:rPr>
        <w:br w:type="page"/>
      </w:r>
    </w:p>
    <w:p w14:paraId="63A02BAC" w14:textId="359856AF" w:rsidR="003F3F3E" w:rsidRDefault="001838D0" w:rsidP="00867A76">
      <w:pPr>
        <w:pStyle w:val="DHHSfigurecaption"/>
      </w:pPr>
      <w:bookmarkStart w:id="618" w:name="_Toc19008109"/>
      <w:bookmarkStart w:id="619" w:name="_Toc19008335"/>
      <w:bookmarkStart w:id="620" w:name="_Toc19008482"/>
      <w:bookmarkStart w:id="621" w:name="_Toc19008629"/>
      <w:bookmarkStart w:id="622" w:name="_Toc27414337"/>
      <w:r>
        <w:lastRenderedPageBreak/>
        <w:t>Figure</w:t>
      </w:r>
      <w:r w:rsidR="003F3F3E" w:rsidRPr="001D32D0">
        <w:t xml:space="preserve"> 11.2</w:t>
      </w:r>
      <w:r w:rsidR="003F3F3E">
        <w:t>.1</w:t>
      </w:r>
      <w:r w:rsidR="00CA2AD7">
        <w:t>:</w:t>
      </w:r>
      <w:r w:rsidR="003F3F3E" w:rsidRPr="001D32D0">
        <w:t xml:space="preserve"> Proportion of female breast cancers diagnosed at stage</w:t>
      </w:r>
      <w:r w:rsidR="003F3F3E">
        <w:t>s</w:t>
      </w:r>
      <w:r w:rsidR="003F3F3E" w:rsidRPr="001D32D0">
        <w:t xml:space="preserve"> 1 and 2, by remoteness area, </w:t>
      </w:r>
      <w:r w:rsidR="00EB0BB7">
        <w:t>ICS</w:t>
      </w:r>
      <w:r w:rsidR="003F3F3E" w:rsidRPr="001D32D0">
        <w:t xml:space="preserve"> and </w:t>
      </w:r>
      <w:r w:rsidR="00DE7FFE">
        <w:t>SES</w:t>
      </w:r>
      <w:r w:rsidR="003F3F3E" w:rsidRPr="001D32D0">
        <w:t>, 2014</w:t>
      </w:r>
      <w:r w:rsidR="00CA2AD7">
        <w:t>–</w:t>
      </w:r>
      <w:r w:rsidR="003F3F3E" w:rsidRPr="001D32D0">
        <w:t>2016</w:t>
      </w:r>
      <w:bookmarkEnd w:id="618"/>
      <w:bookmarkEnd w:id="619"/>
      <w:bookmarkEnd w:id="620"/>
      <w:bookmarkEnd w:id="621"/>
      <w:bookmarkEnd w:id="622"/>
    </w:p>
    <w:p w14:paraId="77D4050F" w14:textId="26D0CE30" w:rsidR="00092BC1" w:rsidRDefault="00FD5A28" w:rsidP="00715800">
      <w:pPr>
        <w:pStyle w:val="DHHSbody"/>
        <w:ind w:right="-1"/>
        <w:rPr>
          <w:b/>
          <w:lang w:eastAsia="en-AU"/>
        </w:rPr>
      </w:pPr>
      <w:r>
        <w:rPr>
          <w:b/>
          <w:noProof/>
          <w:lang w:eastAsia="en-AU"/>
        </w:rPr>
        <w:drawing>
          <wp:inline distT="0" distB="0" distL="0" distR="0" wp14:anchorId="59EF022C" wp14:editId="235A3365">
            <wp:extent cx="6748780" cy="6315710"/>
            <wp:effectExtent l="0" t="0" r="0" b="8890"/>
            <wp:docPr id="489" name="Picture 489" descr="This figure shows a data summary of 'Measure 11.2 – Proportion of female breast cancers diagnosed at stage 1 and 2' via subgroups namely remoteness area, Integrated Cancer Service and socioeconomic status for the study period 2014-2016. The data set is available under 'Measure 11.2 – Proportion of female breast cancers diagnosed at stage 1 and 2' in a separate volume, the Victorian cancer plan monitoring and evaluation framework: baseline report: Appendix 2: Datasets available on Cancer care &lt;https://www2.health.vic.gov.au/about/health-strategies/cancer-care&gt;&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748780" cy="6315710"/>
                    </a:xfrm>
                    <a:prstGeom prst="rect">
                      <a:avLst/>
                    </a:prstGeom>
                    <a:noFill/>
                  </pic:spPr>
                </pic:pic>
              </a:graphicData>
            </a:graphic>
          </wp:inline>
        </w:drawing>
      </w:r>
    </w:p>
    <w:p w14:paraId="07B93C3B" w14:textId="122EC464" w:rsidR="000711F0" w:rsidRPr="00B50CEE" w:rsidRDefault="00425FC5" w:rsidP="00A73034">
      <w:pPr>
        <w:pStyle w:val="DHHStablefigurenote"/>
      </w:pPr>
      <w:r>
        <w:t xml:space="preserve">Note: </w:t>
      </w:r>
      <w:r w:rsidR="00B50CEE">
        <w:t>Appendix 2 provides the dataset.</w:t>
      </w:r>
    </w:p>
    <w:p w14:paraId="65C3765F" w14:textId="5F1D41DE" w:rsidR="00170972" w:rsidRPr="00671C7A" w:rsidRDefault="00170972" w:rsidP="00170972">
      <w:pPr>
        <w:pStyle w:val="Heading4"/>
        <w:rPr>
          <w:lang w:eastAsia="en-AU"/>
        </w:rPr>
      </w:pPr>
      <w:r>
        <w:rPr>
          <w:lang w:eastAsia="en-AU"/>
        </w:rPr>
        <w:t>Measure assessment</w:t>
      </w:r>
    </w:p>
    <w:p w14:paraId="16A0F986" w14:textId="13FBD58E" w:rsidR="00170972" w:rsidRDefault="00170972" w:rsidP="00EA3932">
      <w:pPr>
        <w:autoSpaceDE w:val="0"/>
        <w:autoSpaceDN w:val="0"/>
        <w:adjustRightInd w:val="0"/>
        <w:rPr>
          <w:rFonts w:ascii="Arial" w:hAnsi="Arial" w:cs="Arial"/>
          <w:color w:val="C5511A"/>
        </w:rPr>
      </w:pPr>
      <w:r>
        <w:rPr>
          <w:rFonts w:ascii="Arial" w:hAnsi="Arial" w:cs="Arial"/>
        </w:rPr>
        <w:t xml:space="preserve">Traffic light rating: </w:t>
      </w:r>
      <w:r w:rsidR="004D18E4"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3F3C6BCC" w14:textId="77777777" w:rsidR="00EA3932" w:rsidRPr="0097280A" w:rsidRDefault="00EA3932" w:rsidP="00EA3932">
      <w:pPr>
        <w:autoSpaceDE w:val="0"/>
        <w:autoSpaceDN w:val="0"/>
        <w:adjustRightInd w:val="0"/>
        <w:rPr>
          <w:rFonts w:ascii="Arial" w:hAnsi="Arial" w:cs="Arial"/>
        </w:rPr>
      </w:pPr>
    </w:p>
    <w:p w14:paraId="38914972" w14:textId="6FB69A4A" w:rsidR="00170972" w:rsidRPr="0081564D" w:rsidRDefault="00170972" w:rsidP="00170972">
      <w:pPr>
        <w:spacing w:after="120" w:line="270" w:lineRule="atLeast"/>
        <w:rPr>
          <w:rFonts w:ascii="Arial" w:hAnsi="Arial" w:cs="Arial"/>
        </w:rPr>
      </w:pPr>
      <w:r w:rsidRPr="0081564D">
        <w:rPr>
          <w:rFonts w:ascii="Arial" w:hAnsi="Arial" w:cs="Arial"/>
        </w:rPr>
        <w:t xml:space="preserve">Overall trend: </w:t>
      </w:r>
      <w:r w:rsidR="004D18E4" w:rsidRPr="0081564D">
        <w:rPr>
          <w:rFonts w:ascii="Arial" w:hAnsi="Arial" w:cs="Arial"/>
        </w:rPr>
        <w:t>Static or unchanging</w:t>
      </w:r>
    </w:p>
    <w:p w14:paraId="497CA14A" w14:textId="7A7C4F82" w:rsidR="0081564D" w:rsidRDefault="00170972" w:rsidP="0081564D">
      <w:pPr>
        <w:pStyle w:val="DHHSbody"/>
        <w:rPr>
          <w:rFonts w:cs="Arial"/>
          <w:lang w:eastAsia="en-AU"/>
        </w:rPr>
      </w:pPr>
      <w:r w:rsidRPr="0081564D">
        <w:rPr>
          <w:rFonts w:cs="Arial"/>
          <w:lang w:eastAsia="en-AU"/>
        </w:rPr>
        <w:t xml:space="preserve">Commentary: Cancers can be assigned a ‘stage’ that reflects </w:t>
      </w:r>
      <w:r w:rsidR="00281C92">
        <w:rPr>
          <w:rFonts w:cs="Arial"/>
          <w:lang w:eastAsia="en-AU"/>
        </w:rPr>
        <w:t>how far the disease has spread</w:t>
      </w:r>
      <w:r w:rsidRPr="0081564D">
        <w:rPr>
          <w:rFonts w:cs="Arial"/>
          <w:lang w:eastAsia="en-AU"/>
        </w:rPr>
        <w:t>. Stage range</w:t>
      </w:r>
      <w:r w:rsidR="00781327">
        <w:rPr>
          <w:rFonts w:cs="Arial"/>
          <w:lang w:eastAsia="en-AU"/>
        </w:rPr>
        <w:t>s</w:t>
      </w:r>
      <w:r w:rsidRPr="0081564D">
        <w:rPr>
          <w:rFonts w:cs="Arial"/>
          <w:lang w:eastAsia="en-AU"/>
        </w:rPr>
        <w:t xml:space="preserve"> from 1 (best prognosis) to 4 (worst prognosis</w:t>
      </w:r>
      <w:r w:rsidRPr="00112A28">
        <w:rPr>
          <w:rFonts w:cs="Arial"/>
          <w:lang w:eastAsia="en-AU"/>
        </w:rPr>
        <w:t>).</w:t>
      </w:r>
      <w:r w:rsidRPr="00112A28">
        <w:rPr>
          <w:rStyle w:val="FootnoteReference"/>
          <w:rFonts w:cs="Arial"/>
          <w:lang w:eastAsia="en-AU"/>
        </w:rPr>
        <w:footnoteReference w:id="119"/>
      </w:r>
      <w:r w:rsidR="008757A9" w:rsidRPr="00135A8F">
        <w:rPr>
          <w:rFonts w:cs="Arial"/>
          <w:lang w:val="en"/>
        </w:rPr>
        <w:t xml:space="preserve"> At an international level it is important to note that due to differences in the scope of data collection, methodology and availability of information for staging, the distribution at a global stage at </w:t>
      </w:r>
      <w:r w:rsidR="008757A9" w:rsidRPr="00135A8F">
        <w:rPr>
          <w:rFonts w:cs="Arial"/>
          <w:lang w:val="en"/>
        </w:rPr>
        <w:lastRenderedPageBreak/>
        <w:t>diagnosis will vary considerably.</w:t>
      </w:r>
      <w:r w:rsidR="00281C92">
        <w:rPr>
          <w:rFonts w:cs="Arial"/>
          <w:lang w:val="en"/>
        </w:rPr>
        <w:t xml:space="preserve"> </w:t>
      </w:r>
      <w:r w:rsidR="0071529D" w:rsidRPr="0081564D">
        <w:rPr>
          <w:rFonts w:cs="Arial"/>
          <w:lang w:eastAsia="en-AU"/>
        </w:rPr>
        <w:t xml:space="preserve">This measure presents, for the first time, </w:t>
      </w:r>
      <w:r w:rsidR="003A1D6C" w:rsidRPr="0081564D">
        <w:rPr>
          <w:rFonts w:cs="Arial"/>
          <w:lang w:eastAsia="en-AU"/>
        </w:rPr>
        <w:t>state</w:t>
      </w:r>
      <w:r w:rsidR="00DE536E">
        <w:rPr>
          <w:rFonts w:cs="Arial"/>
          <w:lang w:eastAsia="en-AU"/>
        </w:rPr>
        <w:t>-</w:t>
      </w:r>
      <w:r w:rsidR="003A1D6C" w:rsidRPr="0081564D">
        <w:rPr>
          <w:rFonts w:cs="Arial"/>
          <w:lang w:eastAsia="en-AU"/>
        </w:rPr>
        <w:t xml:space="preserve">specific stage 1 and </w:t>
      </w:r>
      <w:r w:rsidR="00AF3AB4" w:rsidRPr="0081564D">
        <w:rPr>
          <w:rFonts w:cs="Arial"/>
          <w:lang w:eastAsia="en-AU"/>
        </w:rPr>
        <w:t>2</w:t>
      </w:r>
      <w:r w:rsidR="003A1D6C" w:rsidRPr="0081564D">
        <w:rPr>
          <w:rFonts w:cs="Arial"/>
          <w:lang w:eastAsia="en-AU"/>
        </w:rPr>
        <w:t xml:space="preserve"> at diagnosis data for female breast cancer in Victoria</w:t>
      </w:r>
      <w:r w:rsidR="00DE536E">
        <w:rPr>
          <w:rFonts w:cs="Arial"/>
          <w:lang w:eastAsia="en-AU"/>
        </w:rPr>
        <w:t>,</w:t>
      </w:r>
      <w:r w:rsidR="00FB40A1" w:rsidRPr="0081564D">
        <w:rPr>
          <w:rFonts w:cs="Arial"/>
          <w:lang w:eastAsia="en-AU"/>
        </w:rPr>
        <w:t xml:space="preserve"> which has been identified as the second most common new cancer in Victoria</w:t>
      </w:r>
      <w:r w:rsidR="003A1D6C" w:rsidRPr="0081564D">
        <w:rPr>
          <w:rFonts w:cs="Arial"/>
          <w:lang w:eastAsia="en-AU"/>
        </w:rPr>
        <w:t>.</w:t>
      </w:r>
      <w:r w:rsidR="00FB40A1" w:rsidRPr="0081564D">
        <w:rPr>
          <w:rStyle w:val="FootnoteReference"/>
          <w:rFonts w:cs="Arial"/>
          <w:lang w:eastAsia="en-AU"/>
        </w:rPr>
        <w:footnoteReference w:id="120"/>
      </w:r>
      <w:r w:rsidR="003B7A36" w:rsidRPr="0081564D">
        <w:rPr>
          <w:rFonts w:cs="Arial"/>
          <w:lang w:eastAsia="en-AU"/>
        </w:rPr>
        <w:t xml:space="preserve"> </w:t>
      </w:r>
      <w:r w:rsidR="00DE536E">
        <w:rPr>
          <w:rFonts w:cs="Arial"/>
          <w:lang w:eastAsia="en-AU"/>
        </w:rPr>
        <w:t>More than</w:t>
      </w:r>
      <w:r w:rsidR="00DE536E" w:rsidRPr="0081564D">
        <w:rPr>
          <w:rFonts w:cs="Arial"/>
          <w:lang w:eastAsia="en-AU"/>
        </w:rPr>
        <w:t xml:space="preserve"> </w:t>
      </w:r>
      <w:r w:rsidR="0071529D" w:rsidRPr="0081564D">
        <w:rPr>
          <w:rFonts w:cs="Arial"/>
          <w:lang w:val="en"/>
        </w:rPr>
        <w:t>84 per cent</w:t>
      </w:r>
      <w:r w:rsidR="00BB0C8E" w:rsidRPr="0081564D">
        <w:rPr>
          <w:rFonts w:cs="Arial"/>
          <w:lang w:val="en"/>
        </w:rPr>
        <w:t xml:space="preserve"> of cancers were diagnosed as early stage (stage 1 or stage 2) for breast (female)</w:t>
      </w:r>
      <w:r w:rsidR="007C2DCC" w:rsidRPr="0081564D">
        <w:rPr>
          <w:rFonts w:cs="Arial"/>
          <w:lang w:val="en"/>
        </w:rPr>
        <w:t xml:space="preserve"> cancer</w:t>
      </w:r>
      <w:r w:rsidR="0071529D" w:rsidRPr="0081564D">
        <w:rPr>
          <w:rFonts w:cs="Arial"/>
          <w:lang w:val="en"/>
        </w:rPr>
        <w:t xml:space="preserve"> </w:t>
      </w:r>
      <w:r w:rsidR="00032AFE" w:rsidRPr="0081564D">
        <w:rPr>
          <w:rFonts w:cs="Arial"/>
          <w:lang w:val="en"/>
        </w:rPr>
        <w:t xml:space="preserve">and generally increased with age </w:t>
      </w:r>
      <w:r w:rsidR="0071529D" w:rsidRPr="0081564D">
        <w:rPr>
          <w:rFonts w:cs="Arial"/>
          <w:lang w:val="en"/>
        </w:rPr>
        <w:t xml:space="preserve">between 2014 </w:t>
      </w:r>
      <w:r w:rsidR="0003766E">
        <w:rPr>
          <w:rFonts w:cs="Arial"/>
          <w:lang w:val="en"/>
        </w:rPr>
        <w:t xml:space="preserve">(84.3 per cent) </w:t>
      </w:r>
      <w:r w:rsidR="0071529D" w:rsidRPr="0081564D">
        <w:rPr>
          <w:rFonts w:cs="Arial"/>
          <w:lang w:val="en"/>
        </w:rPr>
        <w:t>and 2016</w:t>
      </w:r>
      <w:r w:rsidR="0003766E">
        <w:rPr>
          <w:rFonts w:cs="Arial"/>
          <w:lang w:val="en"/>
        </w:rPr>
        <w:t xml:space="preserve"> (84.8 per cent)</w:t>
      </w:r>
      <w:r w:rsidR="0071529D" w:rsidRPr="0081564D">
        <w:rPr>
          <w:rFonts w:cs="Arial"/>
          <w:lang w:val="en"/>
        </w:rPr>
        <w:t xml:space="preserve"> (Figure 11.2)</w:t>
      </w:r>
      <w:r w:rsidR="007648B6" w:rsidRPr="0081564D">
        <w:rPr>
          <w:rFonts w:cs="Arial"/>
          <w:lang w:val="en"/>
        </w:rPr>
        <w:t>.</w:t>
      </w:r>
      <w:r w:rsidR="00952FC7">
        <w:rPr>
          <w:rFonts w:cs="Arial"/>
          <w:lang w:val="en"/>
        </w:rPr>
        <w:t xml:space="preserve"> </w:t>
      </w:r>
      <w:r w:rsidR="008547EE" w:rsidRPr="0081564D">
        <w:rPr>
          <w:rFonts w:cs="Arial"/>
          <w:lang w:val="en"/>
        </w:rPr>
        <w:t>The highest proportion of early</w:t>
      </w:r>
      <w:r w:rsidR="00DE536E">
        <w:rPr>
          <w:rFonts w:cs="Arial"/>
          <w:lang w:val="en"/>
        </w:rPr>
        <w:t>-</w:t>
      </w:r>
      <w:r w:rsidR="008547EE" w:rsidRPr="0081564D">
        <w:rPr>
          <w:rFonts w:cs="Arial"/>
          <w:lang w:val="en"/>
        </w:rPr>
        <w:t>stage cancers were in females aged 60</w:t>
      </w:r>
      <w:r w:rsidR="00CA2AD7">
        <w:rPr>
          <w:rFonts w:cs="Arial"/>
          <w:lang w:val="en"/>
        </w:rPr>
        <w:t>–</w:t>
      </w:r>
      <w:r w:rsidR="008547EE" w:rsidRPr="0081564D">
        <w:rPr>
          <w:rFonts w:cs="Arial"/>
          <w:lang w:val="en"/>
        </w:rPr>
        <w:t>69 years at around 88 per cent between 2014 and 2016</w:t>
      </w:r>
      <w:r w:rsidR="0034084F" w:rsidRPr="0081564D">
        <w:rPr>
          <w:rFonts w:cs="Arial"/>
          <w:lang w:val="en"/>
        </w:rPr>
        <w:t>.</w:t>
      </w:r>
      <w:r w:rsidR="00F544AE" w:rsidRPr="0081564D">
        <w:rPr>
          <w:rFonts w:cs="Arial"/>
          <w:lang w:val="en"/>
        </w:rPr>
        <w:t xml:space="preserve"> </w:t>
      </w:r>
      <w:r w:rsidR="009E65E6" w:rsidRPr="0081564D">
        <w:rPr>
          <w:rFonts w:cs="Arial"/>
          <w:lang w:val="en"/>
        </w:rPr>
        <w:t>This trend may reflect an increase in the participation rate of breast cancer screening through BreastScreen Australia</w:t>
      </w:r>
      <w:r w:rsidR="00DE536E">
        <w:rPr>
          <w:rFonts w:cs="Arial"/>
          <w:lang w:val="en"/>
        </w:rPr>
        <w:t>,</w:t>
      </w:r>
      <w:r w:rsidR="009E65E6" w:rsidRPr="0081564D">
        <w:rPr>
          <w:rFonts w:cs="Arial"/>
          <w:lang w:val="en"/>
        </w:rPr>
        <w:t xml:space="preserve"> which targets </w:t>
      </w:r>
      <w:r w:rsidR="009E65E6" w:rsidRPr="0081564D">
        <w:rPr>
          <w:rFonts w:cs="Arial"/>
        </w:rPr>
        <w:t xml:space="preserve">women aged 50–74 for </w:t>
      </w:r>
      <w:r w:rsidR="00CA2AD7">
        <w:rPr>
          <w:rFonts w:cs="Arial"/>
        </w:rPr>
        <w:t>two</w:t>
      </w:r>
      <w:r w:rsidR="009E65E6" w:rsidRPr="0081564D">
        <w:rPr>
          <w:rFonts w:cs="Arial"/>
        </w:rPr>
        <w:t xml:space="preserve">-yearly screening mammograms. </w:t>
      </w:r>
      <w:r w:rsidR="00DE536E">
        <w:rPr>
          <w:rFonts w:cs="Arial"/>
        </w:rPr>
        <w:t>N</w:t>
      </w:r>
      <w:r w:rsidR="009E65E6" w:rsidRPr="0081564D">
        <w:rPr>
          <w:rFonts w:cs="Arial"/>
        </w:rPr>
        <w:t xml:space="preserve">ew technologies such as magnetic resonance imaging (MRI) of the breast and increased breast </w:t>
      </w:r>
      <w:r w:rsidR="00781327">
        <w:rPr>
          <w:rFonts w:cs="Arial"/>
        </w:rPr>
        <w:t xml:space="preserve">cancer </w:t>
      </w:r>
      <w:r w:rsidR="009E65E6" w:rsidRPr="0081564D">
        <w:rPr>
          <w:rFonts w:cs="Arial"/>
        </w:rPr>
        <w:t xml:space="preserve">awareness may also have </w:t>
      </w:r>
      <w:r w:rsidR="00FD1A1D" w:rsidRPr="0081564D">
        <w:rPr>
          <w:rFonts w:cs="Arial"/>
          <w:color w:val="000000"/>
        </w:rPr>
        <w:t>contributed to the increased diagnosis of breast cancer.</w:t>
      </w:r>
      <w:r w:rsidR="00DA2713" w:rsidRPr="0081564D">
        <w:rPr>
          <w:rStyle w:val="FootnoteReference"/>
          <w:rFonts w:cs="Arial"/>
          <w:color w:val="000000"/>
        </w:rPr>
        <w:footnoteReference w:id="121"/>
      </w:r>
      <w:r w:rsidR="00DA2713" w:rsidRPr="0081564D">
        <w:rPr>
          <w:rFonts w:cs="Arial"/>
          <w:color w:val="000000"/>
        </w:rPr>
        <w:t xml:space="preserve"> </w:t>
      </w:r>
      <w:r w:rsidR="0034084F" w:rsidRPr="0081564D">
        <w:rPr>
          <w:rFonts w:cs="Arial"/>
          <w:lang w:val="en"/>
        </w:rPr>
        <w:t xml:space="preserve">The </w:t>
      </w:r>
      <w:r w:rsidR="000453BE">
        <w:rPr>
          <w:rFonts w:cs="Arial"/>
          <w:lang w:val="en"/>
        </w:rPr>
        <w:t xml:space="preserve">lower </w:t>
      </w:r>
      <w:r w:rsidR="0034084F" w:rsidRPr="0081564D">
        <w:rPr>
          <w:rFonts w:cs="Arial"/>
          <w:lang w:val="en"/>
        </w:rPr>
        <w:t xml:space="preserve">proportion of </w:t>
      </w:r>
      <w:r w:rsidR="000453BE">
        <w:rPr>
          <w:rFonts w:cs="Arial"/>
          <w:lang w:val="en"/>
        </w:rPr>
        <w:t>early</w:t>
      </w:r>
      <w:r w:rsidR="00DE536E">
        <w:rPr>
          <w:rFonts w:cs="Arial"/>
          <w:lang w:val="en"/>
        </w:rPr>
        <w:t>-</w:t>
      </w:r>
      <w:r w:rsidR="000453BE">
        <w:rPr>
          <w:rFonts w:cs="Arial"/>
          <w:lang w:val="en"/>
        </w:rPr>
        <w:t xml:space="preserve">stage </w:t>
      </w:r>
      <w:r w:rsidR="0034084F" w:rsidRPr="0081564D">
        <w:rPr>
          <w:rFonts w:cs="Arial"/>
          <w:lang w:val="en"/>
        </w:rPr>
        <w:t xml:space="preserve">breast cancer detected in women 80 years of age </w:t>
      </w:r>
      <w:r w:rsidR="001B50BF">
        <w:rPr>
          <w:rFonts w:cs="Arial"/>
          <w:lang w:val="en"/>
        </w:rPr>
        <w:t>or</w:t>
      </w:r>
      <w:r w:rsidR="001B50BF" w:rsidRPr="0081564D">
        <w:rPr>
          <w:rFonts w:cs="Arial"/>
          <w:lang w:val="en"/>
        </w:rPr>
        <w:t xml:space="preserve"> </w:t>
      </w:r>
      <w:r w:rsidR="0034084F" w:rsidRPr="0081564D">
        <w:rPr>
          <w:rFonts w:cs="Arial"/>
          <w:lang w:val="en"/>
        </w:rPr>
        <w:t>older may reflect lower rates of screening</w:t>
      </w:r>
      <w:r w:rsidR="00D5051A" w:rsidRPr="0081564D">
        <w:rPr>
          <w:rFonts w:cs="Arial"/>
          <w:lang w:val="en"/>
        </w:rPr>
        <w:t>,</w:t>
      </w:r>
      <w:r w:rsidR="0034084F" w:rsidRPr="0081564D">
        <w:rPr>
          <w:rStyle w:val="FootnoteReference"/>
          <w:rFonts w:cs="Arial"/>
          <w:lang w:val="en"/>
        </w:rPr>
        <w:footnoteReference w:id="122"/>
      </w:r>
      <w:r w:rsidR="0034084F" w:rsidRPr="0081564D">
        <w:rPr>
          <w:rFonts w:cs="Arial"/>
          <w:lang w:val="en"/>
        </w:rPr>
        <w:t xml:space="preserve"> </w:t>
      </w:r>
      <w:r w:rsidR="000453BE">
        <w:rPr>
          <w:rFonts w:cs="Arial"/>
          <w:lang w:val="en"/>
        </w:rPr>
        <w:t>high</w:t>
      </w:r>
      <w:r w:rsidR="0034084F" w:rsidRPr="0081564D">
        <w:rPr>
          <w:rFonts w:cs="Arial"/>
          <w:lang w:val="en"/>
        </w:rPr>
        <w:t xml:space="preserve"> detection of cancers by </w:t>
      </w:r>
      <w:r w:rsidR="0034084F" w:rsidRPr="0081564D">
        <w:rPr>
          <w:rFonts w:cs="Arial"/>
          <w:lang w:eastAsia="en-AU"/>
        </w:rPr>
        <w:t>mammography before 80 years of age, and/or incomplete detection.</w:t>
      </w:r>
    </w:p>
    <w:p w14:paraId="4CB3FC46" w14:textId="53229C16" w:rsidR="004574D9" w:rsidRPr="00D7069B" w:rsidRDefault="006D05E6" w:rsidP="004574D9">
      <w:pPr>
        <w:pStyle w:val="DHHSbody"/>
        <w:rPr>
          <w:rFonts w:cs="Arial"/>
          <w:lang w:eastAsia="en-AU"/>
        </w:rPr>
      </w:pPr>
      <w:r w:rsidRPr="0081564D">
        <w:rPr>
          <w:rFonts w:cs="Arial"/>
          <w:lang w:val="en"/>
        </w:rPr>
        <w:t xml:space="preserve">Due to the small number of incident cancer cases in a single year </w:t>
      </w:r>
      <w:r w:rsidR="00F95D24" w:rsidRPr="0081564D">
        <w:rPr>
          <w:rFonts w:cs="Arial"/>
          <w:lang w:val="en"/>
        </w:rPr>
        <w:t>ov</w:t>
      </w:r>
      <w:r w:rsidR="003B5661" w:rsidRPr="0081564D">
        <w:rPr>
          <w:rFonts w:cs="Arial"/>
          <w:lang w:val="en"/>
        </w:rPr>
        <w:t>e</w:t>
      </w:r>
      <w:r w:rsidR="00F95D24" w:rsidRPr="0081564D">
        <w:rPr>
          <w:rFonts w:cs="Arial"/>
          <w:lang w:val="en"/>
        </w:rPr>
        <w:t>r</w:t>
      </w:r>
      <w:r w:rsidR="003B5661" w:rsidRPr="0081564D">
        <w:rPr>
          <w:rFonts w:cs="Arial"/>
          <w:lang w:val="en"/>
        </w:rPr>
        <w:t xml:space="preserve"> </w:t>
      </w:r>
      <w:r w:rsidR="00F95D24" w:rsidRPr="0081564D">
        <w:rPr>
          <w:rFonts w:cs="Arial"/>
          <w:lang w:val="en"/>
        </w:rPr>
        <w:t>the three</w:t>
      </w:r>
      <w:r w:rsidR="003B5661" w:rsidRPr="0081564D">
        <w:rPr>
          <w:rFonts w:cs="Arial"/>
          <w:lang w:val="en"/>
        </w:rPr>
        <w:t>-</w:t>
      </w:r>
      <w:r w:rsidR="00F95D24" w:rsidRPr="0081564D">
        <w:rPr>
          <w:rFonts w:cs="Arial"/>
          <w:lang w:val="en"/>
        </w:rPr>
        <w:t xml:space="preserve">year period </w:t>
      </w:r>
      <w:r w:rsidR="00D5051A" w:rsidRPr="0081564D">
        <w:rPr>
          <w:rFonts w:cs="Arial"/>
          <w:lang w:val="en"/>
        </w:rPr>
        <w:t>(</w:t>
      </w:r>
      <w:r w:rsidRPr="0081564D">
        <w:rPr>
          <w:rFonts w:cs="Arial"/>
          <w:lang w:val="en"/>
        </w:rPr>
        <w:t>2014, 2</w:t>
      </w:r>
      <w:r w:rsidR="00FD4926" w:rsidRPr="0081564D">
        <w:rPr>
          <w:rFonts w:cs="Arial"/>
          <w:lang w:val="en"/>
        </w:rPr>
        <w:t>01</w:t>
      </w:r>
      <w:r w:rsidRPr="0081564D">
        <w:rPr>
          <w:rFonts w:cs="Arial"/>
          <w:lang w:val="en"/>
        </w:rPr>
        <w:t>5 and 2016</w:t>
      </w:r>
      <w:r w:rsidR="00D5051A" w:rsidRPr="0081564D">
        <w:rPr>
          <w:rFonts w:cs="Arial"/>
          <w:lang w:val="en"/>
        </w:rPr>
        <w:t>)</w:t>
      </w:r>
      <w:r w:rsidRPr="0081564D">
        <w:rPr>
          <w:rFonts w:cs="Arial"/>
          <w:lang w:val="en"/>
        </w:rPr>
        <w:t>, results of analysis by</w:t>
      </w:r>
      <w:r w:rsidR="00071ED1">
        <w:rPr>
          <w:rFonts w:cs="Arial"/>
          <w:lang w:val="en"/>
        </w:rPr>
        <w:t xml:space="preserve"> </w:t>
      </w:r>
      <w:r w:rsidR="00DC7655">
        <w:rPr>
          <w:rFonts w:cs="Arial"/>
          <w:lang w:val="en"/>
        </w:rPr>
        <w:t>A</w:t>
      </w:r>
      <w:r w:rsidR="00781327">
        <w:rPr>
          <w:rFonts w:cs="Arial"/>
          <w:lang w:val="en"/>
        </w:rPr>
        <w:t>boriginal</w:t>
      </w:r>
      <w:r w:rsidR="00071ED1">
        <w:rPr>
          <w:rFonts w:cs="Arial"/>
          <w:lang w:val="en"/>
        </w:rPr>
        <w:t xml:space="preserve"> Victorian</w:t>
      </w:r>
      <w:r w:rsidRPr="0081564D">
        <w:rPr>
          <w:rFonts w:cs="Arial"/>
          <w:lang w:val="en"/>
        </w:rPr>
        <w:t xml:space="preserve"> status should be interpreted with </w:t>
      </w:r>
      <w:r w:rsidR="00604420" w:rsidRPr="0081564D">
        <w:rPr>
          <w:rFonts w:cs="Arial"/>
          <w:lang w:val="en"/>
        </w:rPr>
        <w:t>caution.</w:t>
      </w:r>
      <w:r w:rsidR="003F339C">
        <w:rPr>
          <w:rFonts w:cs="Arial"/>
          <w:lang w:val="en"/>
        </w:rPr>
        <w:t xml:space="preserve"> Nevertheless, Figure </w:t>
      </w:r>
      <w:r w:rsidR="00C92E32">
        <w:rPr>
          <w:rFonts w:cs="Arial"/>
          <w:lang w:val="en"/>
        </w:rPr>
        <w:t xml:space="preserve">11.2 shows an increase in </w:t>
      </w:r>
      <w:r w:rsidR="00DC7655">
        <w:rPr>
          <w:rFonts w:cs="Arial"/>
          <w:lang w:val="en"/>
        </w:rPr>
        <w:t>A</w:t>
      </w:r>
      <w:r w:rsidR="003527D7">
        <w:rPr>
          <w:rFonts w:cs="Arial"/>
          <w:lang w:val="en"/>
        </w:rPr>
        <w:t xml:space="preserve">boriginal </w:t>
      </w:r>
      <w:r w:rsidR="00071ED1">
        <w:rPr>
          <w:rFonts w:cs="Arial"/>
          <w:lang w:val="en"/>
        </w:rPr>
        <w:t xml:space="preserve">Victorian </w:t>
      </w:r>
      <w:r w:rsidR="00C92E32">
        <w:rPr>
          <w:rFonts w:cs="Arial"/>
          <w:lang w:val="en"/>
        </w:rPr>
        <w:t>cases of female breast cancer being diagnosed at an earlier stage over the reporting period.</w:t>
      </w:r>
      <w:r w:rsidR="00604420" w:rsidRPr="0081564D">
        <w:rPr>
          <w:rFonts w:cs="Arial"/>
          <w:lang w:val="en"/>
        </w:rPr>
        <w:t xml:space="preserve"> It is recognised that groups </w:t>
      </w:r>
      <w:r w:rsidR="005C697C" w:rsidRPr="0081564D">
        <w:rPr>
          <w:rFonts w:cs="Arial"/>
          <w:lang w:val="en"/>
        </w:rPr>
        <w:t xml:space="preserve">in Victoria </w:t>
      </w:r>
      <w:r w:rsidR="00604420" w:rsidRPr="0081564D">
        <w:rPr>
          <w:rFonts w:cs="Arial"/>
          <w:lang w:val="en"/>
        </w:rPr>
        <w:t>with</w:t>
      </w:r>
      <w:r w:rsidR="009A5757" w:rsidRPr="0081564D">
        <w:rPr>
          <w:rFonts w:cs="Arial"/>
          <w:lang w:val="en"/>
        </w:rPr>
        <w:t xml:space="preserve"> the lowest </w:t>
      </w:r>
      <w:r w:rsidR="00D5051A" w:rsidRPr="0081564D">
        <w:rPr>
          <w:rFonts w:cs="Arial"/>
          <w:lang w:val="en"/>
        </w:rPr>
        <w:t>participation rate in screening are women from Aboriginal and Torres Strait Islander and culturally diverse backgrounds (where the language spoken at home may be a language other than English)</w:t>
      </w:r>
      <w:r w:rsidR="00791B1F">
        <w:rPr>
          <w:rStyle w:val="FootnoteReference"/>
          <w:rFonts w:cs="Arial"/>
          <w:lang w:val="en"/>
        </w:rPr>
        <w:footnoteReference w:id="123"/>
      </w:r>
      <w:r w:rsidR="00C14E48" w:rsidRPr="0081564D">
        <w:rPr>
          <w:rFonts w:cs="Arial"/>
          <w:lang w:val="en"/>
        </w:rPr>
        <w:t xml:space="preserve"> (Figure 11.2)</w:t>
      </w:r>
      <w:r w:rsidR="00357568" w:rsidRPr="0081564D">
        <w:rPr>
          <w:rFonts w:cs="Arial"/>
          <w:lang w:val="en"/>
        </w:rPr>
        <w:t>. As a result, these women are</w:t>
      </w:r>
      <w:r w:rsidR="00502689" w:rsidRPr="0081564D">
        <w:rPr>
          <w:rFonts w:cs="Arial"/>
          <w:lang w:val="en"/>
        </w:rPr>
        <w:t xml:space="preserve"> </w:t>
      </w:r>
      <w:r w:rsidR="00357568" w:rsidRPr="0081564D">
        <w:rPr>
          <w:rFonts w:cs="Arial"/>
          <w:lang w:eastAsia="en-AU"/>
        </w:rPr>
        <w:t xml:space="preserve">more likely to have later stage cancer diagnosis and therefore poorer outcomes. </w:t>
      </w:r>
      <w:r w:rsidR="00FD7EA5" w:rsidRPr="0081564D">
        <w:rPr>
          <w:rFonts w:cs="Arial"/>
          <w:lang w:eastAsia="en-AU"/>
        </w:rPr>
        <w:t xml:space="preserve">To </w:t>
      </w:r>
      <w:r w:rsidR="0031242E" w:rsidRPr="0081564D">
        <w:rPr>
          <w:rFonts w:cs="Arial"/>
          <w:lang w:eastAsia="en-AU"/>
        </w:rPr>
        <w:t>reverse</w:t>
      </w:r>
      <w:r w:rsidR="00FD7EA5" w:rsidRPr="0081564D">
        <w:rPr>
          <w:rFonts w:cs="Arial"/>
          <w:lang w:eastAsia="en-AU"/>
        </w:rPr>
        <w:t xml:space="preserve"> this trend</w:t>
      </w:r>
      <w:r w:rsidR="00880F77" w:rsidRPr="0081564D">
        <w:rPr>
          <w:rFonts w:cs="Arial"/>
          <w:lang w:eastAsia="en-AU"/>
        </w:rPr>
        <w:t>,</w:t>
      </w:r>
      <w:r w:rsidR="0081564D" w:rsidRPr="0081564D">
        <w:rPr>
          <w:rFonts w:cs="Arial"/>
          <w:lang w:eastAsia="en-AU"/>
        </w:rPr>
        <w:t xml:space="preserve"> </w:t>
      </w:r>
      <w:r w:rsidR="00C5600E">
        <w:rPr>
          <w:rFonts w:cs="Arial"/>
          <w:lang w:eastAsia="en-AU"/>
        </w:rPr>
        <w:t xml:space="preserve">the Department of Health and Human Services, in </w:t>
      </w:r>
      <w:r w:rsidR="001C7443">
        <w:rPr>
          <w:lang w:val="en"/>
        </w:rPr>
        <w:t xml:space="preserve">collaboration with </w:t>
      </w:r>
      <w:r w:rsidR="000453BE">
        <w:rPr>
          <w:lang w:val="en"/>
        </w:rPr>
        <w:t xml:space="preserve">BreastScreen Victoria and </w:t>
      </w:r>
      <w:r w:rsidR="001C7443">
        <w:rPr>
          <w:lang w:val="en"/>
        </w:rPr>
        <w:t>cancer screening programs and key partners</w:t>
      </w:r>
      <w:r w:rsidR="00D7069B">
        <w:rPr>
          <w:lang w:val="en"/>
        </w:rPr>
        <w:t>, has implemented a range of initiatives to reduce health disparities.</w:t>
      </w:r>
      <w:r w:rsidR="00952FC7">
        <w:rPr>
          <w:lang w:val="en"/>
        </w:rPr>
        <w:t xml:space="preserve"> </w:t>
      </w:r>
    </w:p>
    <w:p w14:paraId="0F194498" w14:textId="77777777" w:rsidR="001B5858" w:rsidRDefault="00994B92" w:rsidP="001B5858">
      <w:pPr>
        <w:pStyle w:val="DHHSbody"/>
        <w:rPr>
          <w:lang w:eastAsia="en-AU"/>
        </w:rPr>
      </w:pPr>
      <w:r w:rsidRPr="004574D9">
        <w:rPr>
          <w:rFonts w:cs="Arial"/>
          <w:lang w:val="en"/>
        </w:rPr>
        <w:t>In the three</w:t>
      </w:r>
      <w:r w:rsidR="003B5661" w:rsidRPr="004574D9">
        <w:rPr>
          <w:rFonts w:cs="Arial"/>
          <w:lang w:val="en"/>
        </w:rPr>
        <w:t>-</w:t>
      </w:r>
      <w:r w:rsidRPr="004574D9">
        <w:rPr>
          <w:rFonts w:cs="Arial"/>
          <w:lang w:val="en"/>
        </w:rPr>
        <w:t xml:space="preserve">year period </w:t>
      </w:r>
      <w:r w:rsidR="000D79A4">
        <w:rPr>
          <w:rFonts w:cs="Arial"/>
          <w:lang w:val="en"/>
        </w:rPr>
        <w:t>(</w:t>
      </w:r>
      <w:r w:rsidRPr="004574D9">
        <w:rPr>
          <w:rFonts w:cs="Arial"/>
          <w:lang w:val="en"/>
        </w:rPr>
        <w:t>2014</w:t>
      </w:r>
      <w:r w:rsidR="00CA2AD7">
        <w:rPr>
          <w:rFonts w:cs="Arial"/>
          <w:lang w:val="en"/>
        </w:rPr>
        <w:t>–</w:t>
      </w:r>
      <w:r w:rsidRPr="004574D9">
        <w:rPr>
          <w:rFonts w:cs="Arial"/>
          <w:lang w:val="en"/>
        </w:rPr>
        <w:t>2016</w:t>
      </w:r>
      <w:r w:rsidR="000D79A4">
        <w:rPr>
          <w:rFonts w:cs="Arial"/>
          <w:lang w:val="en"/>
        </w:rPr>
        <w:t>)</w:t>
      </w:r>
      <w:r w:rsidR="00914D6B" w:rsidRPr="004574D9">
        <w:rPr>
          <w:rFonts w:cs="Arial"/>
          <w:lang w:val="en"/>
        </w:rPr>
        <w:t xml:space="preserve"> </w:t>
      </w:r>
      <w:r w:rsidR="00880F77" w:rsidRPr="004574D9">
        <w:rPr>
          <w:rFonts w:cs="Arial"/>
          <w:lang w:val="en"/>
        </w:rPr>
        <w:t xml:space="preserve">there were </w:t>
      </w:r>
      <w:r w:rsidR="0031529D" w:rsidRPr="004574D9">
        <w:rPr>
          <w:rFonts w:cs="Arial"/>
          <w:lang w:val="en"/>
        </w:rPr>
        <w:t xml:space="preserve">similar </w:t>
      </w:r>
      <w:r w:rsidR="003458E8" w:rsidRPr="004574D9">
        <w:rPr>
          <w:rFonts w:cs="Arial"/>
          <w:lang w:val="en"/>
        </w:rPr>
        <w:t xml:space="preserve">stage (1 and 2) </w:t>
      </w:r>
      <w:r w:rsidR="00880F77" w:rsidRPr="004574D9">
        <w:rPr>
          <w:rFonts w:cs="Arial"/>
          <w:lang w:val="en"/>
        </w:rPr>
        <w:t>distribution pattern</w:t>
      </w:r>
      <w:r w:rsidR="003458E8" w:rsidRPr="004574D9">
        <w:rPr>
          <w:rFonts w:cs="Arial"/>
          <w:lang w:val="en"/>
        </w:rPr>
        <w:t>s</w:t>
      </w:r>
      <w:r w:rsidR="00880F77" w:rsidRPr="004574D9">
        <w:rPr>
          <w:rFonts w:cs="Arial"/>
          <w:lang w:val="en"/>
        </w:rPr>
        <w:t xml:space="preserve"> </w:t>
      </w:r>
      <w:r w:rsidR="0031529D" w:rsidRPr="004574D9">
        <w:rPr>
          <w:rFonts w:cs="Arial"/>
          <w:lang w:val="en"/>
        </w:rPr>
        <w:t>for female (breast)</w:t>
      </w:r>
      <w:r w:rsidR="00880F77" w:rsidRPr="004574D9">
        <w:rPr>
          <w:rFonts w:cs="Arial"/>
          <w:lang w:val="en"/>
        </w:rPr>
        <w:t xml:space="preserve"> cancer </w:t>
      </w:r>
      <w:r w:rsidR="0031529D" w:rsidRPr="004574D9">
        <w:rPr>
          <w:rFonts w:cs="Arial"/>
          <w:lang w:val="en"/>
        </w:rPr>
        <w:t xml:space="preserve">across </w:t>
      </w:r>
      <w:r w:rsidR="003458E8" w:rsidRPr="004574D9">
        <w:rPr>
          <w:rFonts w:cs="Arial"/>
          <w:lang w:val="en"/>
        </w:rPr>
        <w:t xml:space="preserve">remoteness area and </w:t>
      </w:r>
      <w:r w:rsidR="00DE7FFE">
        <w:rPr>
          <w:lang w:eastAsia="en-AU"/>
        </w:rPr>
        <w:t xml:space="preserve">SES </w:t>
      </w:r>
      <w:r w:rsidR="003458E8" w:rsidRPr="004574D9">
        <w:rPr>
          <w:rFonts w:cs="Arial"/>
          <w:lang w:val="en"/>
        </w:rPr>
        <w:t>(Figure 11.2.1)</w:t>
      </w:r>
      <w:r w:rsidR="0031529D" w:rsidRPr="004574D9">
        <w:rPr>
          <w:rFonts w:cs="Arial"/>
          <w:lang w:val="en"/>
        </w:rPr>
        <w:t xml:space="preserve">. </w:t>
      </w:r>
      <w:r w:rsidR="003458E8" w:rsidRPr="004574D9">
        <w:rPr>
          <w:rFonts w:cs="Arial"/>
          <w:lang w:val="en"/>
        </w:rPr>
        <w:t>There were also no notable differences in the</w:t>
      </w:r>
      <w:r w:rsidR="00C774D1" w:rsidRPr="004574D9">
        <w:rPr>
          <w:rFonts w:cs="Arial"/>
          <w:lang w:val="en"/>
        </w:rPr>
        <w:t xml:space="preserve"> high</w:t>
      </w:r>
      <w:r w:rsidR="003458E8" w:rsidRPr="004574D9">
        <w:rPr>
          <w:rFonts w:cs="Arial"/>
          <w:lang w:val="en"/>
        </w:rPr>
        <w:t xml:space="preserve"> proportion of </w:t>
      </w:r>
      <w:r w:rsidR="003458E8" w:rsidRPr="004574D9">
        <w:rPr>
          <w:rFonts w:cs="Arial"/>
          <w:lang w:eastAsia="en-AU"/>
        </w:rPr>
        <w:t>female breast cancers diagnosed at stages 1 and</w:t>
      </w:r>
      <w:r w:rsidR="003458E8" w:rsidRPr="004574D9">
        <w:rPr>
          <w:rFonts w:cs="Arial"/>
          <w:lang w:val="en"/>
        </w:rPr>
        <w:t xml:space="preserve"> 2 across each of the </w:t>
      </w:r>
      <w:r w:rsidR="00CA2AD7">
        <w:rPr>
          <w:rFonts w:cs="Arial"/>
          <w:lang w:val="en"/>
        </w:rPr>
        <w:t>ICS</w:t>
      </w:r>
      <w:r w:rsidR="003458E8" w:rsidRPr="004574D9">
        <w:rPr>
          <w:rFonts w:cs="Arial"/>
          <w:lang w:val="en"/>
        </w:rPr>
        <w:t>.</w:t>
      </w:r>
      <w:r w:rsidR="00952FC7">
        <w:rPr>
          <w:rFonts w:cs="Arial"/>
          <w:lang w:val="en"/>
        </w:rPr>
        <w:t xml:space="preserve"> </w:t>
      </w:r>
      <w:r w:rsidR="00C774D1" w:rsidRPr="004574D9">
        <w:rPr>
          <w:rFonts w:cs="Arial"/>
          <w:lang w:val="en"/>
        </w:rPr>
        <w:t xml:space="preserve">While no target has been set for this measure, </w:t>
      </w:r>
      <w:r w:rsidR="00C5600E" w:rsidRPr="004574D9">
        <w:rPr>
          <w:rFonts w:cs="Arial"/>
          <w:lang w:val="en"/>
        </w:rPr>
        <w:t>to</w:t>
      </w:r>
      <w:r w:rsidR="00940EDE">
        <w:rPr>
          <w:rFonts w:cs="Arial"/>
          <w:lang w:val="en"/>
        </w:rPr>
        <w:t xml:space="preserve"> enable the</w:t>
      </w:r>
      <w:r w:rsidR="00C774D1" w:rsidRPr="004574D9">
        <w:rPr>
          <w:rFonts w:cs="Arial"/>
          <w:lang w:val="en"/>
        </w:rPr>
        <w:t xml:space="preserve"> improve</w:t>
      </w:r>
      <w:r w:rsidR="00940EDE">
        <w:rPr>
          <w:rFonts w:cs="Arial"/>
          <w:lang w:val="en"/>
        </w:rPr>
        <w:t>ment in</w:t>
      </w:r>
      <w:r w:rsidR="00C774D1" w:rsidRPr="004574D9">
        <w:rPr>
          <w:rFonts w:cs="Arial"/>
          <w:lang w:val="en"/>
        </w:rPr>
        <w:t xml:space="preserve"> </w:t>
      </w:r>
      <w:r w:rsidR="00D57F68">
        <w:rPr>
          <w:rFonts w:cs="Arial"/>
          <w:lang w:val="en"/>
        </w:rPr>
        <w:t xml:space="preserve">female </w:t>
      </w:r>
      <w:r w:rsidR="00C774D1" w:rsidRPr="004574D9">
        <w:rPr>
          <w:rFonts w:cs="Arial"/>
          <w:lang w:val="en"/>
        </w:rPr>
        <w:t xml:space="preserve">breast cancer outcomes and survival, early </w:t>
      </w:r>
      <w:r w:rsidR="00F01695" w:rsidRPr="004574D9">
        <w:rPr>
          <w:rFonts w:cs="Arial"/>
          <w:lang w:val="en"/>
        </w:rPr>
        <w:t xml:space="preserve">diagnosis and screening </w:t>
      </w:r>
      <w:r w:rsidR="00C92E32">
        <w:rPr>
          <w:rFonts w:cs="Arial"/>
          <w:lang w:val="en"/>
        </w:rPr>
        <w:t>remain</w:t>
      </w:r>
      <w:r w:rsidR="00F01695" w:rsidRPr="004574D9">
        <w:rPr>
          <w:rFonts w:cs="Arial"/>
          <w:lang w:val="en"/>
        </w:rPr>
        <w:t xml:space="preserve"> critical</w:t>
      </w:r>
      <w:r w:rsidR="00F01695">
        <w:rPr>
          <w:rFonts w:cs="Arial"/>
          <w:color w:val="333333"/>
          <w:lang w:val="en"/>
        </w:rPr>
        <w:t>.</w:t>
      </w:r>
      <w:bookmarkStart w:id="623" w:name="_Toc19008110"/>
    </w:p>
    <w:p w14:paraId="7B227DF6" w14:textId="77777777" w:rsidR="001B5858" w:rsidRDefault="001B5858">
      <w:pPr>
        <w:rPr>
          <w:rFonts w:ascii="Arial" w:eastAsia="Times" w:hAnsi="Arial"/>
        </w:rPr>
      </w:pPr>
      <w:r>
        <w:br w:type="page"/>
      </w:r>
    </w:p>
    <w:p w14:paraId="4DA60EA2" w14:textId="57693BA8" w:rsidR="00DF376C" w:rsidRPr="001B5858" w:rsidRDefault="00DF376C" w:rsidP="001B5858">
      <w:pPr>
        <w:pStyle w:val="Heading3"/>
        <w:rPr>
          <w:rStyle w:val="Heading3Char"/>
          <w:b/>
          <w:bCs/>
        </w:rPr>
      </w:pPr>
      <w:bookmarkStart w:id="624" w:name="_Measure_11.3_–"/>
      <w:bookmarkEnd w:id="624"/>
      <w:r w:rsidRPr="001B5858">
        <w:rPr>
          <w:rStyle w:val="Heading3Char"/>
          <w:b/>
          <w:bCs/>
        </w:rPr>
        <w:lastRenderedPageBreak/>
        <w:t>Measure 11.3 –</w:t>
      </w:r>
      <w:r w:rsidR="00A60F88" w:rsidRPr="001B5858">
        <w:rPr>
          <w:rStyle w:val="Heading3Char"/>
          <w:b/>
          <w:bCs/>
        </w:rPr>
        <w:t xml:space="preserve"> Proportion of colore</w:t>
      </w:r>
      <w:r w:rsidR="00784627" w:rsidRPr="001B5858">
        <w:rPr>
          <w:rStyle w:val="Heading3Char"/>
          <w:b/>
          <w:bCs/>
        </w:rPr>
        <w:t>ctal cancers diagnosed at stage</w:t>
      </w:r>
      <w:r w:rsidR="00A60F88" w:rsidRPr="001B5858">
        <w:rPr>
          <w:rStyle w:val="Heading3Char"/>
          <w:b/>
          <w:bCs/>
        </w:rPr>
        <w:t xml:space="preserve"> 1 </w:t>
      </w:r>
      <w:r w:rsidR="002714EF" w:rsidRPr="001B5858">
        <w:rPr>
          <w:rStyle w:val="Heading3Char"/>
          <w:b/>
          <w:bCs/>
        </w:rPr>
        <w:t>or</w:t>
      </w:r>
      <w:r w:rsidR="00A60F88" w:rsidRPr="001B5858">
        <w:rPr>
          <w:rStyle w:val="Heading3Char"/>
          <w:b/>
          <w:bCs/>
        </w:rPr>
        <w:t xml:space="preserve"> 2</w:t>
      </w:r>
      <w:bookmarkEnd w:id="623"/>
    </w:p>
    <w:p w14:paraId="466D11C8" w14:textId="488C9EBC" w:rsidR="0048708E" w:rsidRDefault="0048708E" w:rsidP="00867A76">
      <w:pPr>
        <w:pStyle w:val="DHHSfigurecaption"/>
      </w:pPr>
      <w:bookmarkStart w:id="625" w:name="_Toc19008111"/>
      <w:bookmarkStart w:id="626" w:name="_Toc19008336"/>
      <w:bookmarkStart w:id="627" w:name="_Toc19008483"/>
      <w:bookmarkStart w:id="628" w:name="_Toc19008630"/>
      <w:bookmarkStart w:id="629" w:name="_Toc27414338"/>
      <w:r w:rsidRPr="0048708E">
        <w:t>Figure 11.3</w:t>
      </w:r>
      <w:r w:rsidR="00CA2AD7">
        <w:t>:</w:t>
      </w:r>
      <w:r w:rsidRPr="0048708E">
        <w:t xml:space="preserve"> Proportion of colorectal cancers diagnosed at stages 1 and 2, by age, sex, </w:t>
      </w:r>
      <w:r w:rsidR="00D3516B">
        <w:t>I</w:t>
      </w:r>
      <w:r w:rsidRPr="0048708E">
        <w:t>ndigenous status and language spoken at home, 2014</w:t>
      </w:r>
      <w:r w:rsidR="00CA2AD7">
        <w:t>–</w:t>
      </w:r>
      <w:r w:rsidRPr="0048708E">
        <w:t>2016</w:t>
      </w:r>
      <w:bookmarkEnd w:id="625"/>
      <w:bookmarkEnd w:id="626"/>
      <w:bookmarkEnd w:id="627"/>
      <w:bookmarkEnd w:id="628"/>
      <w:bookmarkEnd w:id="629"/>
    </w:p>
    <w:p w14:paraId="55B27BA5" w14:textId="61E55074" w:rsidR="00940C4B" w:rsidRDefault="00FD5A28" w:rsidP="0048708E">
      <w:pPr>
        <w:pStyle w:val="DHHSbody"/>
        <w:rPr>
          <w:b/>
          <w:lang w:eastAsia="en-AU"/>
        </w:rPr>
      </w:pPr>
      <w:r>
        <w:rPr>
          <w:b/>
          <w:noProof/>
          <w:lang w:eastAsia="en-AU"/>
        </w:rPr>
        <w:drawing>
          <wp:inline distT="0" distB="0" distL="0" distR="0" wp14:anchorId="34D8AAAA" wp14:editId="5C30A2FB">
            <wp:extent cx="6748780" cy="5499100"/>
            <wp:effectExtent l="0" t="0" r="0" b="6350"/>
            <wp:docPr id="490" name="Picture 490" descr="This figure shows a data summary of 'Measure 11.3 – Proportion of colorectal cancers diagnosed at stage 1 and 2' via subgroups namely age, Indigenous status and language spoken at home for the study period 2014-2016. The data set is available under 'Measure 11.3 – Proportion of colorectal cancers diagnosed at stage 1 and 2'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748780" cy="5499100"/>
                    </a:xfrm>
                    <a:prstGeom prst="rect">
                      <a:avLst/>
                    </a:prstGeom>
                    <a:noFill/>
                  </pic:spPr>
                </pic:pic>
              </a:graphicData>
            </a:graphic>
          </wp:inline>
        </w:drawing>
      </w:r>
    </w:p>
    <w:p w14:paraId="23779189" w14:textId="688FA059" w:rsidR="008D4FF6" w:rsidRPr="00D53842" w:rsidRDefault="008D4FF6" w:rsidP="00287A8B">
      <w:pPr>
        <w:pStyle w:val="DHHStablefigurenote"/>
        <w:rPr>
          <w:color w:val="000000"/>
        </w:rPr>
      </w:pPr>
      <w:r w:rsidRPr="00D53842">
        <w:t>Note:</w:t>
      </w:r>
      <w:r w:rsidR="00952FC7">
        <w:t xml:space="preserve"> </w:t>
      </w:r>
    </w:p>
    <w:p w14:paraId="36FA5AF8" w14:textId="69076440" w:rsidR="008D4FF6" w:rsidRPr="00D53842" w:rsidRDefault="008D4FF6" w:rsidP="00287A8B">
      <w:pPr>
        <w:pStyle w:val="DHHStablefigurenote"/>
        <w:rPr>
          <w:color w:val="000000"/>
        </w:rPr>
      </w:pPr>
      <w:r w:rsidRPr="00D53842">
        <w:rPr>
          <w:color w:val="000000"/>
        </w:rPr>
        <w:t>The following was included:</w:t>
      </w:r>
    </w:p>
    <w:p w14:paraId="3D80A11A" w14:textId="4E223952" w:rsidR="008D4FF6" w:rsidRPr="00D53842" w:rsidRDefault="00C2742B" w:rsidP="00160602">
      <w:pPr>
        <w:pStyle w:val="DHHStablefigurenote"/>
        <w:numPr>
          <w:ilvl w:val="0"/>
          <w:numId w:val="49"/>
        </w:numPr>
      </w:pPr>
      <w:r>
        <w:t>n</w:t>
      </w:r>
      <w:r w:rsidR="008D4FF6" w:rsidRPr="00D53842">
        <w:t>ew diagnoses with stage recorded as 1</w:t>
      </w:r>
      <w:r w:rsidR="0015057E">
        <w:t>–</w:t>
      </w:r>
      <w:r w:rsidR="008D4FF6" w:rsidRPr="00D53842">
        <w:t>4 in the VCR, or with metastases recorded in the VCR (TNM</w:t>
      </w:r>
      <w:r w:rsidR="00DE536E">
        <w:t xml:space="preserve"> </w:t>
      </w:r>
      <w:r w:rsidR="008D4FF6" w:rsidRPr="00D53842">
        <w:t>=</w:t>
      </w:r>
      <w:r w:rsidR="00DE536E">
        <w:t xml:space="preserve"> </w:t>
      </w:r>
      <w:r w:rsidR="008D4FF6" w:rsidRPr="00D53842">
        <w:t>M1)</w:t>
      </w:r>
    </w:p>
    <w:p w14:paraId="0AB14774" w14:textId="11FDE0A6" w:rsidR="008D4FF6" w:rsidRPr="00D53842" w:rsidRDefault="00C2742B" w:rsidP="00160602">
      <w:pPr>
        <w:pStyle w:val="DHHStablefigurenote"/>
        <w:numPr>
          <w:ilvl w:val="0"/>
          <w:numId w:val="49"/>
        </w:numPr>
      </w:pPr>
      <w:r>
        <w:t>p</w:t>
      </w:r>
      <w:r w:rsidR="008D4FF6" w:rsidRPr="00D53842">
        <w:t>atients diagnosed after neoadjuvant treatment</w:t>
      </w:r>
    </w:p>
    <w:p w14:paraId="2AF168E7" w14:textId="6439668E" w:rsidR="008D4FF6" w:rsidRPr="00287A8B" w:rsidRDefault="00C2742B" w:rsidP="00160602">
      <w:pPr>
        <w:pStyle w:val="DHHStablefigurenote"/>
        <w:numPr>
          <w:ilvl w:val="0"/>
          <w:numId w:val="49"/>
        </w:numPr>
      </w:pPr>
      <w:r>
        <w:t>f</w:t>
      </w:r>
      <w:r w:rsidR="008D4FF6" w:rsidRPr="00D53842">
        <w:t>or patients with multiple diagnoses within the year of interest, each diagnosis was included. Therefore, the number of new cancers does not necessarily equal the number of distinct patients.</w:t>
      </w:r>
    </w:p>
    <w:p w14:paraId="591E1263" w14:textId="0E7B22A1" w:rsidR="008D4FF6" w:rsidRPr="00D53842" w:rsidRDefault="008D4FF6" w:rsidP="00287A8B">
      <w:pPr>
        <w:pStyle w:val="DHHStablefigurenote"/>
        <w:rPr>
          <w:color w:val="000000"/>
        </w:rPr>
      </w:pPr>
      <w:r w:rsidRPr="00D53842">
        <w:rPr>
          <w:color w:val="000000"/>
        </w:rPr>
        <w:t>The following was excluded:</w:t>
      </w:r>
      <w:r w:rsidR="00287A8B">
        <w:rPr>
          <w:color w:val="000000"/>
        </w:rPr>
        <w:t xml:space="preserve"> </w:t>
      </w:r>
      <w:r w:rsidR="00DE536E">
        <w:t>a</w:t>
      </w:r>
      <w:r w:rsidRPr="00D53842">
        <w:t>ll patients with unknown stage</w:t>
      </w:r>
      <w:r w:rsidR="00287A8B">
        <w:t>.</w:t>
      </w:r>
    </w:p>
    <w:p w14:paraId="676436D9" w14:textId="24D6FDC9" w:rsidR="00C80981" w:rsidRPr="001A2A05" w:rsidRDefault="008D4FF6" w:rsidP="00287A8B">
      <w:pPr>
        <w:pStyle w:val="DHHStablefigurenote"/>
      </w:pPr>
      <w:r w:rsidRPr="00D53842">
        <w:rPr>
          <w:color w:val="000000"/>
        </w:rPr>
        <w:t>Appendix 2 provides the dataset.</w:t>
      </w:r>
      <w:r w:rsidR="00C80981">
        <w:rPr>
          <w:b/>
        </w:rPr>
        <w:br w:type="page"/>
      </w:r>
    </w:p>
    <w:p w14:paraId="1E1CF2E3" w14:textId="122106B9" w:rsidR="009F719D" w:rsidRDefault="0045645C" w:rsidP="00867A76">
      <w:pPr>
        <w:pStyle w:val="DHHSfigurecaption"/>
      </w:pPr>
      <w:bookmarkStart w:id="630" w:name="_Toc19008112"/>
      <w:bookmarkStart w:id="631" w:name="_Toc19008337"/>
      <w:bookmarkStart w:id="632" w:name="_Toc19008484"/>
      <w:bookmarkStart w:id="633" w:name="_Toc19008631"/>
      <w:bookmarkStart w:id="634" w:name="_Toc27414339"/>
      <w:r>
        <w:lastRenderedPageBreak/>
        <w:t>Figure</w:t>
      </w:r>
      <w:r w:rsidR="009F719D" w:rsidRPr="001D32D0">
        <w:t xml:space="preserve"> 11.</w:t>
      </w:r>
      <w:r w:rsidR="009F719D">
        <w:t>3.1</w:t>
      </w:r>
      <w:r w:rsidR="00CA2AD7">
        <w:t>:</w:t>
      </w:r>
      <w:r w:rsidR="009F719D" w:rsidRPr="001D32D0">
        <w:t xml:space="preserve"> Proportion of </w:t>
      </w:r>
      <w:r w:rsidR="009F719D">
        <w:t>colorectal</w:t>
      </w:r>
      <w:r w:rsidR="009F719D" w:rsidRPr="001D32D0">
        <w:t xml:space="preserve"> cancers diagnosed at stage</w:t>
      </w:r>
      <w:r w:rsidR="009F719D">
        <w:t>s</w:t>
      </w:r>
      <w:r w:rsidR="009F719D" w:rsidRPr="001D32D0">
        <w:t xml:space="preserve"> 1 and 2, by remoteness area, I</w:t>
      </w:r>
      <w:r w:rsidR="00DE536E">
        <w:t xml:space="preserve">CS </w:t>
      </w:r>
      <w:r w:rsidR="009F719D" w:rsidRPr="001D32D0">
        <w:t xml:space="preserve">and </w:t>
      </w:r>
      <w:r w:rsidR="00DE7FFE">
        <w:t>SES</w:t>
      </w:r>
      <w:r w:rsidR="009F719D" w:rsidRPr="001D32D0">
        <w:t>, 2014</w:t>
      </w:r>
      <w:r w:rsidR="00CA2AD7">
        <w:t>–</w:t>
      </w:r>
      <w:r w:rsidR="009F719D" w:rsidRPr="001D32D0">
        <w:t>2016</w:t>
      </w:r>
      <w:bookmarkEnd w:id="630"/>
      <w:bookmarkEnd w:id="631"/>
      <w:bookmarkEnd w:id="632"/>
      <w:bookmarkEnd w:id="633"/>
      <w:bookmarkEnd w:id="634"/>
    </w:p>
    <w:p w14:paraId="3EEFF069" w14:textId="75C3DFD4" w:rsidR="00181C26" w:rsidRDefault="00FD5A28" w:rsidP="009F719D">
      <w:pPr>
        <w:pStyle w:val="DHHSbody"/>
        <w:rPr>
          <w:b/>
          <w:lang w:eastAsia="en-AU"/>
        </w:rPr>
      </w:pPr>
      <w:r>
        <w:rPr>
          <w:b/>
          <w:noProof/>
          <w:lang w:eastAsia="en-AU"/>
        </w:rPr>
        <w:drawing>
          <wp:inline distT="0" distB="0" distL="0" distR="0" wp14:anchorId="7B7FA311" wp14:editId="7C17B4D5">
            <wp:extent cx="6718300" cy="5907405"/>
            <wp:effectExtent l="0" t="0" r="6350" b="0"/>
            <wp:docPr id="491" name="Picture 491" descr="This figure shows a data summary of 'Measure 11.3 – Proportion of colorectal cancers diagnosed at stage 1 and 2' via subgroups namely remoteness area, Integrated Cancer Service and socioeconomic status for the study period 2014-2016. The data set is available under 'Measure 11.3 – Proportion of colorectal cancers diagnosed at stage 1 and 2' in a separate volume, the Victorian cancer plan monitoring and evaluation framework: baseline report: Appendix 2: Datasets available on Cancer care &lt;https://www2.health.vic.gov.au/about/health-strategies/cancer-care&gt;&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718300" cy="5907405"/>
                    </a:xfrm>
                    <a:prstGeom prst="rect">
                      <a:avLst/>
                    </a:prstGeom>
                    <a:noFill/>
                  </pic:spPr>
                </pic:pic>
              </a:graphicData>
            </a:graphic>
          </wp:inline>
        </w:drawing>
      </w:r>
    </w:p>
    <w:p w14:paraId="20327804" w14:textId="5F059520" w:rsidR="00D8617F" w:rsidRPr="005257B7" w:rsidRDefault="00D8617F" w:rsidP="005257B7">
      <w:pPr>
        <w:pStyle w:val="DHHStablefigurenote"/>
      </w:pPr>
      <w:r w:rsidRPr="00D53842">
        <w:t>Note:</w:t>
      </w:r>
    </w:p>
    <w:p w14:paraId="215181FC" w14:textId="46023DB1" w:rsidR="00C464BE" w:rsidRPr="00D53842" w:rsidRDefault="00C464BE" w:rsidP="005257B7">
      <w:pPr>
        <w:pStyle w:val="DHHStablefigurenote"/>
        <w:rPr>
          <w:color w:val="000000"/>
        </w:rPr>
      </w:pPr>
      <w:r w:rsidRPr="00D53842">
        <w:rPr>
          <w:color w:val="000000"/>
        </w:rPr>
        <w:t>The following was included:</w:t>
      </w:r>
    </w:p>
    <w:p w14:paraId="4EF46508" w14:textId="337F5E87" w:rsidR="00C464BE" w:rsidRPr="00D53842" w:rsidRDefault="00C2742B" w:rsidP="00160602">
      <w:pPr>
        <w:pStyle w:val="DHHStablefigurenote"/>
        <w:numPr>
          <w:ilvl w:val="0"/>
          <w:numId w:val="50"/>
        </w:numPr>
      </w:pPr>
      <w:r>
        <w:t>n</w:t>
      </w:r>
      <w:r w:rsidR="00C464BE" w:rsidRPr="00D53842">
        <w:t>ew diagnoses with stage recorded as 1</w:t>
      </w:r>
      <w:r w:rsidR="0015057E">
        <w:t>–</w:t>
      </w:r>
      <w:r w:rsidR="00C464BE" w:rsidRPr="00D53842">
        <w:t>4 in the VCR, or with metastases recorded in the VCR (TNM</w:t>
      </w:r>
      <w:r w:rsidR="00DE536E">
        <w:t xml:space="preserve"> </w:t>
      </w:r>
      <w:r w:rsidR="00C464BE" w:rsidRPr="00D53842">
        <w:t>=</w:t>
      </w:r>
      <w:r w:rsidR="00DE536E">
        <w:t xml:space="preserve"> </w:t>
      </w:r>
      <w:r w:rsidR="00C464BE" w:rsidRPr="00D53842">
        <w:t>M1)</w:t>
      </w:r>
    </w:p>
    <w:p w14:paraId="10D4BE7F" w14:textId="348A2A23" w:rsidR="00C464BE" w:rsidRPr="00D53842" w:rsidRDefault="00C2742B" w:rsidP="00160602">
      <w:pPr>
        <w:pStyle w:val="DHHStablefigurenote"/>
        <w:numPr>
          <w:ilvl w:val="0"/>
          <w:numId w:val="50"/>
        </w:numPr>
      </w:pPr>
      <w:r>
        <w:t>p</w:t>
      </w:r>
      <w:r w:rsidR="00C464BE" w:rsidRPr="00D53842">
        <w:t>atients diagnosed after neoadjuvant treatment</w:t>
      </w:r>
    </w:p>
    <w:p w14:paraId="3834ADBF" w14:textId="582690F0" w:rsidR="00C464BE" w:rsidRPr="005257B7" w:rsidRDefault="00C2742B" w:rsidP="00160602">
      <w:pPr>
        <w:pStyle w:val="DHHStablefigurenote"/>
        <w:numPr>
          <w:ilvl w:val="0"/>
          <w:numId w:val="50"/>
        </w:numPr>
      </w:pPr>
      <w:r>
        <w:t>f</w:t>
      </w:r>
      <w:r w:rsidR="00C464BE" w:rsidRPr="00D53842">
        <w:t>or patients with multiple diagnoses within the year of interest, each diagnosis was included. Therefore, the number of new cancers does not necessarily equal the number of distinct patients.</w:t>
      </w:r>
    </w:p>
    <w:p w14:paraId="41CF4171" w14:textId="71059159" w:rsidR="00C464BE" w:rsidRPr="00D53842" w:rsidRDefault="00C464BE" w:rsidP="005257B7">
      <w:pPr>
        <w:pStyle w:val="DHHStablefigurenote"/>
        <w:rPr>
          <w:color w:val="000000"/>
        </w:rPr>
      </w:pPr>
      <w:r w:rsidRPr="00D53842">
        <w:rPr>
          <w:color w:val="000000"/>
        </w:rPr>
        <w:t>The following was excluded:</w:t>
      </w:r>
      <w:r w:rsidR="005257B7">
        <w:rPr>
          <w:color w:val="000000"/>
        </w:rPr>
        <w:t xml:space="preserve"> </w:t>
      </w:r>
      <w:r w:rsidR="00C2742B">
        <w:t>a</w:t>
      </w:r>
      <w:r w:rsidRPr="00D53842">
        <w:t>ll patients with unknown stage.</w:t>
      </w:r>
    </w:p>
    <w:p w14:paraId="470E7061" w14:textId="77777777" w:rsidR="00C464BE" w:rsidRPr="00D53842" w:rsidRDefault="00C464BE" w:rsidP="005257B7">
      <w:pPr>
        <w:pStyle w:val="DHHStablefigurenote"/>
      </w:pPr>
      <w:r w:rsidRPr="00D53842">
        <w:rPr>
          <w:color w:val="000000"/>
        </w:rPr>
        <w:t>Appendix 2 provides the dataset.</w:t>
      </w:r>
    </w:p>
    <w:p w14:paraId="7F1A1B5D" w14:textId="77777777" w:rsidR="00D8617F" w:rsidRDefault="00D8617F" w:rsidP="005257B7">
      <w:pPr>
        <w:pStyle w:val="DHHStablefigurenote"/>
        <w:rPr>
          <w:rFonts w:eastAsia="MS Mincho"/>
          <w:b/>
          <w:bCs/>
        </w:rPr>
      </w:pPr>
      <w:r>
        <w:br w:type="page"/>
      </w:r>
    </w:p>
    <w:p w14:paraId="7F6DCFB0" w14:textId="4B330380" w:rsidR="00C15462" w:rsidRPr="00671C7A" w:rsidRDefault="00C15462" w:rsidP="005760EA">
      <w:pPr>
        <w:pStyle w:val="Heading4"/>
        <w:spacing w:before="0" w:line="270" w:lineRule="atLeast"/>
        <w:rPr>
          <w:lang w:eastAsia="en-AU"/>
        </w:rPr>
      </w:pPr>
      <w:r>
        <w:rPr>
          <w:lang w:eastAsia="en-AU"/>
        </w:rPr>
        <w:lastRenderedPageBreak/>
        <w:t>Measure assessment</w:t>
      </w:r>
    </w:p>
    <w:p w14:paraId="32C59AA2" w14:textId="1011527F" w:rsidR="00C15462" w:rsidRPr="00EA3932" w:rsidRDefault="00C15462" w:rsidP="005760E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A35016"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61CA10E4" w14:textId="401DFBFB" w:rsidR="00C15462" w:rsidRDefault="00C15462" w:rsidP="005760EA">
      <w:pPr>
        <w:spacing w:after="120" w:line="270" w:lineRule="atLeast"/>
        <w:rPr>
          <w:rFonts w:ascii="Arial" w:hAnsi="Arial" w:cs="Arial"/>
        </w:rPr>
      </w:pPr>
      <w:r>
        <w:rPr>
          <w:rFonts w:ascii="Arial" w:hAnsi="Arial" w:cs="Arial"/>
        </w:rPr>
        <w:t xml:space="preserve">Overall trend: </w:t>
      </w:r>
      <w:r w:rsidR="00A35016">
        <w:rPr>
          <w:rFonts w:ascii="Arial" w:hAnsi="Arial" w:cs="Arial"/>
        </w:rPr>
        <w:t>Moving in the right direction</w:t>
      </w:r>
    </w:p>
    <w:p w14:paraId="0852FEA2" w14:textId="556238A3" w:rsidR="00D7117D" w:rsidRPr="00AA45FE" w:rsidRDefault="00C15462" w:rsidP="00552C59">
      <w:pPr>
        <w:pStyle w:val="DHHSbody"/>
        <w:rPr>
          <w:rFonts w:cs="Arial"/>
          <w:lang w:val="en"/>
        </w:rPr>
      </w:pPr>
      <w:r w:rsidRPr="00AA45FE">
        <w:rPr>
          <w:rFonts w:cs="Arial"/>
          <w:lang w:eastAsia="en-AU"/>
        </w:rPr>
        <w:t>Commentary:</w:t>
      </w:r>
      <w:r w:rsidR="00E672BA" w:rsidRPr="00AA45FE">
        <w:rPr>
          <w:rFonts w:cs="Arial"/>
          <w:lang w:eastAsia="en-AU"/>
        </w:rPr>
        <w:t xml:space="preserve"> </w:t>
      </w:r>
      <w:r w:rsidR="00E672BA" w:rsidRPr="00AA45FE">
        <w:rPr>
          <w:rFonts w:cs="Arial"/>
          <w:lang w:val="en"/>
        </w:rPr>
        <w:t>The distribution of cancer stage at diagnosis provides an indication of whether a particular cancer type is diagnosed earlier or later</w:t>
      </w:r>
      <w:r w:rsidR="00FC1695" w:rsidRPr="00AA45FE">
        <w:rPr>
          <w:rFonts w:cs="Arial"/>
          <w:lang w:val="en"/>
        </w:rPr>
        <w:t>.</w:t>
      </w:r>
      <w:r w:rsidR="00952FC7">
        <w:rPr>
          <w:rFonts w:cs="Arial"/>
          <w:lang w:val="en"/>
        </w:rPr>
        <w:t xml:space="preserve"> </w:t>
      </w:r>
      <w:r w:rsidR="00890668" w:rsidRPr="00AA45FE">
        <w:rPr>
          <w:rFonts w:cs="Arial"/>
          <w:lang w:val="en"/>
        </w:rPr>
        <w:t xml:space="preserve">At an international level it is important to note that due to differences in the scope of data collection, methodology and availability of information for staging, the distribution at a global stage at diagnosis will vary considerably. This measure presents </w:t>
      </w:r>
      <w:r w:rsidR="00D7117D" w:rsidRPr="00AA45FE">
        <w:rPr>
          <w:rFonts w:cs="Arial"/>
          <w:lang w:val="en"/>
        </w:rPr>
        <w:t xml:space="preserve">the distribution pattern of </w:t>
      </w:r>
      <w:r w:rsidR="00890668" w:rsidRPr="00AA45FE">
        <w:rPr>
          <w:rFonts w:cs="Arial"/>
          <w:lang w:val="en"/>
        </w:rPr>
        <w:t>statewide stage (1 and 2) at diagnosis data for</w:t>
      </w:r>
      <w:r w:rsidR="00A52EC3">
        <w:rPr>
          <w:rFonts w:cs="Arial"/>
          <w:lang w:val="en"/>
        </w:rPr>
        <w:t xml:space="preserve"> colorectal cancer</w:t>
      </w:r>
      <w:r w:rsidR="00890668" w:rsidRPr="00AA45FE">
        <w:rPr>
          <w:rFonts w:cs="Arial"/>
          <w:lang w:val="en"/>
        </w:rPr>
        <w:t xml:space="preserve"> </w:t>
      </w:r>
      <w:r w:rsidR="00A52EC3">
        <w:rPr>
          <w:rFonts w:cs="Arial"/>
          <w:lang w:val="en"/>
        </w:rPr>
        <w:t>(</w:t>
      </w:r>
      <w:r w:rsidR="00112A28">
        <w:rPr>
          <w:rFonts w:cs="Arial"/>
          <w:lang w:val="en"/>
        </w:rPr>
        <w:t>CRC</w:t>
      </w:r>
      <w:r w:rsidR="00A52EC3">
        <w:rPr>
          <w:rFonts w:cs="Arial"/>
          <w:lang w:val="en"/>
        </w:rPr>
        <w:t>)</w:t>
      </w:r>
      <w:r w:rsidR="00890668" w:rsidRPr="00AA45FE">
        <w:rPr>
          <w:rFonts w:cs="Arial"/>
          <w:lang w:val="en"/>
        </w:rPr>
        <w:t>.</w:t>
      </w:r>
      <w:r w:rsidR="00952FC7">
        <w:rPr>
          <w:rFonts w:cs="Arial"/>
          <w:lang w:val="en"/>
        </w:rPr>
        <w:t xml:space="preserve"> </w:t>
      </w:r>
      <w:r w:rsidR="00D7117D" w:rsidRPr="00AA45FE">
        <w:rPr>
          <w:rFonts w:cs="Arial"/>
          <w:lang w:val="en"/>
        </w:rPr>
        <w:t>Figure 11.3 shows that</w:t>
      </w:r>
      <w:r w:rsidR="00E26224" w:rsidRPr="00AA45FE">
        <w:rPr>
          <w:rFonts w:cs="Arial"/>
          <w:lang w:val="en"/>
        </w:rPr>
        <w:t xml:space="preserve"> </w:t>
      </w:r>
      <w:r w:rsidR="00D7117D" w:rsidRPr="00AA45FE">
        <w:rPr>
          <w:rFonts w:cs="Arial"/>
          <w:lang w:val="en"/>
        </w:rPr>
        <w:t xml:space="preserve">over half of </w:t>
      </w:r>
      <w:r w:rsidR="00DB6A2A">
        <w:rPr>
          <w:rFonts w:cs="Arial"/>
          <w:lang w:val="en"/>
        </w:rPr>
        <w:t xml:space="preserve">all </w:t>
      </w:r>
      <w:r w:rsidR="001B573C" w:rsidRPr="00AA45FE">
        <w:rPr>
          <w:rFonts w:cs="Arial"/>
          <w:lang w:val="en"/>
        </w:rPr>
        <w:t xml:space="preserve">colorectal </w:t>
      </w:r>
      <w:r w:rsidR="00D7117D" w:rsidRPr="00AA45FE">
        <w:rPr>
          <w:rFonts w:cs="Arial"/>
          <w:lang w:val="en"/>
        </w:rPr>
        <w:t xml:space="preserve">cases </w:t>
      </w:r>
      <w:r w:rsidR="00366F4A" w:rsidRPr="00AA45FE">
        <w:rPr>
          <w:rFonts w:cs="Arial"/>
          <w:lang w:val="en"/>
        </w:rPr>
        <w:t>between 2014</w:t>
      </w:r>
      <w:r w:rsidR="00366F4A">
        <w:rPr>
          <w:rFonts w:cs="Arial"/>
          <w:lang w:val="en"/>
        </w:rPr>
        <w:t xml:space="preserve"> (53.3 per cent)</w:t>
      </w:r>
      <w:r w:rsidR="00366F4A" w:rsidRPr="00AA45FE">
        <w:rPr>
          <w:rFonts w:cs="Arial"/>
          <w:lang w:val="en"/>
        </w:rPr>
        <w:t xml:space="preserve"> and 2016</w:t>
      </w:r>
      <w:r w:rsidR="00366F4A">
        <w:rPr>
          <w:rFonts w:cs="Arial"/>
          <w:lang w:val="en"/>
        </w:rPr>
        <w:t xml:space="preserve"> (55 per cent)</w:t>
      </w:r>
      <w:r w:rsidR="00366F4A" w:rsidRPr="00AA45FE">
        <w:rPr>
          <w:rFonts w:cs="Arial"/>
          <w:lang w:val="en"/>
        </w:rPr>
        <w:t xml:space="preserve"> </w:t>
      </w:r>
      <w:r w:rsidR="00D7117D" w:rsidRPr="00AA45FE">
        <w:rPr>
          <w:rFonts w:cs="Arial"/>
          <w:lang w:val="en"/>
        </w:rPr>
        <w:t>were diagnosed at an early stage (1 or 2)</w:t>
      </w:r>
      <w:r w:rsidR="001B573C" w:rsidRPr="00AA45FE">
        <w:rPr>
          <w:rFonts w:cs="Arial"/>
          <w:lang w:val="en"/>
        </w:rPr>
        <w:t>. Early</w:t>
      </w:r>
      <w:r w:rsidR="00A52EC3">
        <w:rPr>
          <w:rFonts w:cs="Arial"/>
          <w:lang w:val="en"/>
        </w:rPr>
        <w:t>-</w:t>
      </w:r>
      <w:r w:rsidR="001B573C" w:rsidRPr="00AA45FE">
        <w:rPr>
          <w:rFonts w:cs="Arial"/>
          <w:lang w:val="en"/>
        </w:rPr>
        <w:t xml:space="preserve">stage </w:t>
      </w:r>
      <w:r w:rsidR="00112A28">
        <w:rPr>
          <w:rFonts w:cs="Arial"/>
          <w:lang w:val="en"/>
        </w:rPr>
        <w:t xml:space="preserve">CRC </w:t>
      </w:r>
      <w:r w:rsidR="001B573C" w:rsidRPr="00AA45FE">
        <w:rPr>
          <w:rFonts w:cs="Arial"/>
          <w:lang w:val="en"/>
        </w:rPr>
        <w:t>(stage 1 and stage 2) accounted for between 51 and 60</w:t>
      </w:r>
      <w:r w:rsidR="00EF615B" w:rsidRPr="00AA45FE">
        <w:rPr>
          <w:rFonts w:cs="Arial"/>
          <w:lang w:val="en"/>
        </w:rPr>
        <w:t xml:space="preserve"> per cent</w:t>
      </w:r>
      <w:r w:rsidR="001B573C" w:rsidRPr="00AA45FE">
        <w:rPr>
          <w:rFonts w:cs="Arial"/>
          <w:lang w:val="en"/>
        </w:rPr>
        <w:t xml:space="preserve"> of cancers for </w:t>
      </w:r>
      <w:r w:rsidR="00DC7655">
        <w:rPr>
          <w:rFonts w:cs="Arial"/>
          <w:lang w:val="en"/>
        </w:rPr>
        <w:t>people</w:t>
      </w:r>
      <w:r w:rsidR="001B573C" w:rsidRPr="00AA45FE">
        <w:rPr>
          <w:rFonts w:cs="Arial"/>
          <w:lang w:val="en"/>
        </w:rPr>
        <w:t xml:space="preserve"> aged 60 years </w:t>
      </w:r>
      <w:r w:rsidR="001B50BF">
        <w:rPr>
          <w:rFonts w:cs="Arial"/>
          <w:lang w:val="en"/>
        </w:rPr>
        <w:t>or</w:t>
      </w:r>
      <w:r w:rsidR="001B50BF" w:rsidRPr="00AA45FE">
        <w:rPr>
          <w:rFonts w:cs="Arial"/>
          <w:lang w:val="en"/>
        </w:rPr>
        <w:t xml:space="preserve"> </w:t>
      </w:r>
      <w:r w:rsidR="001B573C" w:rsidRPr="00AA45FE">
        <w:rPr>
          <w:rFonts w:cs="Arial"/>
          <w:lang w:val="en"/>
        </w:rPr>
        <w:t>older. Slightly lower proportions of early</w:t>
      </w:r>
      <w:r w:rsidR="00A52EC3">
        <w:rPr>
          <w:rFonts w:cs="Arial"/>
          <w:lang w:val="en"/>
        </w:rPr>
        <w:t>-</w:t>
      </w:r>
      <w:r w:rsidR="001B573C" w:rsidRPr="00AA45FE">
        <w:rPr>
          <w:rFonts w:cs="Arial"/>
          <w:lang w:val="en"/>
        </w:rPr>
        <w:t xml:space="preserve">stage cancers were found in </w:t>
      </w:r>
      <w:r w:rsidR="00DC7655">
        <w:rPr>
          <w:rFonts w:cs="Arial"/>
          <w:lang w:val="en"/>
        </w:rPr>
        <w:t>people</w:t>
      </w:r>
      <w:r w:rsidR="001B573C" w:rsidRPr="00AA45FE">
        <w:rPr>
          <w:rFonts w:cs="Arial"/>
          <w:lang w:val="en"/>
        </w:rPr>
        <w:t xml:space="preserve"> aged under 60 years (46</w:t>
      </w:r>
      <w:r w:rsidR="00A52EC3">
        <w:rPr>
          <w:rFonts w:cs="Arial"/>
          <w:lang w:val="en"/>
        </w:rPr>
        <w:t>–</w:t>
      </w:r>
      <w:r w:rsidR="00786956" w:rsidRPr="00AA45FE">
        <w:rPr>
          <w:rFonts w:cs="Arial"/>
          <w:lang w:val="en"/>
        </w:rPr>
        <w:t>47</w:t>
      </w:r>
      <w:r w:rsidR="00EF615B" w:rsidRPr="00AA45FE">
        <w:rPr>
          <w:rFonts w:cs="Arial"/>
          <w:lang w:val="en"/>
        </w:rPr>
        <w:t xml:space="preserve"> per cent</w:t>
      </w:r>
      <w:r w:rsidR="001B573C" w:rsidRPr="00AA45FE">
        <w:rPr>
          <w:rFonts w:cs="Arial"/>
          <w:lang w:val="en"/>
        </w:rPr>
        <w:t>)</w:t>
      </w:r>
      <w:r w:rsidR="00786956" w:rsidRPr="00AA45FE">
        <w:rPr>
          <w:rFonts w:cs="Arial"/>
          <w:lang w:val="en"/>
        </w:rPr>
        <w:t xml:space="preserve"> between 2014 and 2016</w:t>
      </w:r>
      <w:r w:rsidR="001B573C" w:rsidRPr="00AA45FE">
        <w:rPr>
          <w:rFonts w:cs="Arial"/>
          <w:lang w:val="en"/>
        </w:rPr>
        <w:t>.</w:t>
      </w:r>
      <w:r w:rsidR="00E06C8D" w:rsidRPr="00AA45FE">
        <w:rPr>
          <w:rFonts w:cs="Arial"/>
          <w:lang w:val="en"/>
        </w:rPr>
        <w:t xml:space="preserve"> </w:t>
      </w:r>
      <w:r w:rsidR="00B8307A" w:rsidRPr="00AA45FE">
        <w:rPr>
          <w:rFonts w:cs="Arial"/>
          <w:lang w:val="en"/>
        </w:rPr>
        <w:t>As far as both sexes were concerned</w:t>
      </w:r>
      <w:r w:rsidR="00A52EC3">
        <w:rPr>
          <w:rFonts w:cs="Arial"/>
          <w:lang w:val="en"/>
        </w:rPr>
        <w:t>,</w:t>
      </w:r>
      <w:r w:rsidR="00B8307A" w:rsidRPr="00AA45FE">
        <w:rPr>
          <w:rFonts w:cs="Arial"/>
          <w:lang w:val="en"/>
        </w:rPr>
        <w:t xml:space="preserve"> between 2014 and 2016 </w:t>
      </w:r>
      <w:r w:rsidR="00E06C8D" w:rsidRPr="00AA45FE">
        <w:rPr>
          <w:rFonts w:cs="Arial"/>
          <w:lang w:val="en"/>
        </w:rPr>
        <w:t xml:space="preserve">there was a similar distribution of early stage (1 and 2) at diagnoses for both </w:t>
      </w:r>
      <w:r w:rsidR="00B8307A" w:rsidRPr="00AA45FE">
        <w:rPr>
          <w:rFonts w:cs="Arial"/>
          <w:lang w:val="en"/>
        </w:rPr>
        <w:t>males and females</w:t>
      </w:r>
      <w:r w:rsidR="00A52EC3">
        <w:rPr>
          <w:rFonts w:cs="Arial"/>
          <w:lang w:val="en"/>
        </w:rPr>
        <w:t>,</w:t>
      </w:r>
      <w:r w:rsidR="00B8307A" w:rsidRPr="00AA45FE">
        <w:rPr>
          <w:rFonts w:cs="Arial"/>
          <w:lang w:val="en"/>
        </w:rPr>
        <w:t xml:space="preserve"> although the latter showed an increase from 51.1 per cent in 2014 to</w:t>
      </w:r>
      <w:r w:rsidR="00375C79" w:rsidRPr="00AA45FE">
        <w:rPr>
          <w:rFonts w:cs="Arial"/>
          <w:lang w:val="en"/>
        </w:rPr>
        <w:t xml:space="preserve"> </w:t>
      </w:r>
      <w:r w:rsidR="00B8307A" w:rsidRPr="00AA45FE">
        <w:rPr>
          <w:rFonts w:cs="Arial"/>
          <w:lang w:val="en"/>
        </w:rPr>
        <w:t>54.9 per cent in 2016.</w:t>
      </w:r>
    </w:p>
    <w:p w14:paraId="750CD217" w14:textId="78A18E59" w:rsidR="00B8307A" w:rsidRPr="008E4F89" w:rsidRDefault="00B8307A" w:rsidP="00552C59">
      <w:pPr>
        <w:pStyle w:val="DHHSbody"/>
        <w:rPr>
          <w:rFonts w:cs="Arial"/>
          <w:lang w:val="en"/>
        </w:rPr>
      </w:pPr>
      <w:r w:rsidRPr="008E4F89">
        <w:rPr>
          <w:rFonts w:cs="Arial"/>
          <w:lang w:val="en"/>
        </w:rPr>
        <w:t>Due to the small number of incident cancer cases</w:t>
      </w:r>
      <w:r w:rsidR="001B0F6E">
        <w:rPr>
          <w:rFonts w:cs="Arial"/>
          <w:lang w:val="en"/>
        </w:rPr>
        <w:t xml:space="preserve"> </w:t>
      </w:r>
      <w:r w:rsidR="00AF0F53">
        <w:rPr>
          <w:rFonts w:cs="Arial"/>
          <w:lang w:val="en"/>
        </w:rPr>
        <w:t xml:space="preserve">among </w:t>
      </w:r>
      <w:r w:rsidR="001B50BF">
        <w:rPr>
          <w:rFonts w:cs="Arial"/>
          <w:lang w:val="en"/>
        </w:rPr>
        <w:t>A</w:t>
      </w:r>
      <w:r w:rsidR="001B0F6E">
        <w:rPr>
          <w:rFonts w:cs="Arial"/>
          <w:lang w:val="en"/>
        </w:rPr>
        <w:t>boriginal</w:t>
      </w:r>
      <w:r w:rsidR="00AF0F53">
        <w:rPr>
          <w:rFonts w:cs="Arial"/>
          <w:lang w:val="en"/>
        </w:rPr>
        <w:t xml:space="preserve"> </w:t>
      </w:r>
      <w:r w:rsidR="00AF0F53">
        <w:rPr>
          <w:lang w:val="en"/>
        </w:rPr>
        <w:t>Victorians</w:t>
      </w:r>
      <w:r w:rsidRPr="008E4F89">
        <w:rPr>
          <w:rFonts w:cs="Arial"/>
          <w:lang w:val="en"/>
        </w:rPr>
        <w:t xml:space="preserve"> in a single year over the three-year period (2014, 2015 and 2016), results of analysis by </w:t>
      </w:r>
      <w:r w:rsidR="00D3516B">
        <w:rPr>
          <w:rFonts w:cs="Arial"/>
          <w:lang w:val="en"/>
        </w:rPr>
        <w:t>I</w:t>
      </w:r>
      <w:r w:rsidRPr="008E4F89">
        <w:rPr>
          <w:rFonts w:cs="Arial"/>
          <w:lang w:val="en"/>
        </w:rPr>
        <w:t>ndigenous status should be interpreted with caution.</w:t>
      </w:r>
      <w:r w:rsidR="00050894" w:rsidRPr="008E4F89">
        <w:rPr>
          <w:rFonts w:cs="Arial"/>
          <w:lang w:val="en"/>
        </w:rPr>
        <w:t xml:space="preserve"> </w:t>
      </w:r>
      <w:r w:rsidRPr="008E4F89">
        <w:rPr>
          <w:rFonts w:cs="Arial"/>
          <w:lang w:val="en"/>
        </w:rPr>
        <w:t xml:space="preserve">Figure 11.3 shows that Aboriginal Victorians had a lower proportion of </w:t>
      </w:r>
      <w:r w:rsidR="00112A28">
        <w:rPr>
          <w:rFonts w:cs="Arial"/>
          <w:lang w:val="en"/>
        </w:rPr>
        <w:t xml:space="preserve">CRCs </w:t>
      </w:r>
      <w:r w:rsidR="00050894" w:rsidRPr="008E4F89">
        <w:rPr>
          <w:lang w:eastAsia="en-AU"/>
        </w:rPr>
        <w:t>diagnosed at stages 1 and 2 in 2014 and 2015 than non-Aboriginal Victorians</w:t>
      </w:r>
      <w:r w:rsidR="00A52EC3">
        <w:rPr>
          <w:lang w:eastAsia="en-AU"/>
        </w:rPr>
        <w:t>,</w:t>
      </w:r>
      <w:r w:rsidR="00953FE1" w:rsidRPr="008E4F89">
        <w:rPr>
          <w:lang w:eastAsia="en-AU"/>
        </w:rPr>
        <w:t xml:space="preserve"> but the number of patients is very low (Table 11.3</w:t>
      </w:r>
      <w:r w:rsidR="00425FC5">
        <w:rPr>
          <w:lang w:eastAsia="en-AU"/>
        </w:rPr>
        <w:t>, Appendix 2</w:t>
      </w:r>
      <w:r w:rsidR="00953FE1" w:rsidRPr="008E4F89">
        <w:rPr>
          <w:lang w:eastAsia="en-AU"/>
        </w:rPr>
        <w:t>)</w:t>
      </w:r>
      <w:r w:rsidR="00A52EC3">
        <w:rPr>
          <w:lang w:eastAsia="en-AU"/>
        </w:rPr>
        <w:t>;</w:t>
      </w:r>
      <w:r w:rsidR="00953FE1" w:rsidRPr="008E4F89">
        <w:rPr>
          <w:lang w:eastAsia="en-AU"/>
        </w:rPr>
        <w:t xml:space="preserve"> </w:t>
      </w:r>
      <w:r w:rsidR="008869C1">
        <w:rPr>
          <w:lang w:eastAsia="en-AU"/>
        </w:rPr>
        <w:t>that is,</w:t>
      </w:r>
      <w:r w:rsidR="008E4F89">
        <w:rPr>
          <w:lang w:eastAsia="en-AU"/>
        </w:rPr>
        <w:t xml:space="preserve"> </w:t>
      </w:r>
      <w:r w:rsidR="00953FE1" w:rsidRPr="008E4F89">
        <w:rPr>
          <w:lang w:eastAsia="en-AU"/>
        </w:rPr>
        <w:t>1</w:t>
      </w:r>
      <w:r w:rsidR="00FC660B">
        <w:rPr>
          <w:lang w:eastAsia="en-AU"/>
        </w:rPr>
        <w:t>4</w:t>
      </w:r>
      <w:r w:rsidR="00CA2AD7">
        <w:rPr>
          <w:lang w:eastAsia="en-AU"/>
        </w:rPr>
        <w:t>–</w:t>
      </w:r>
      <w:r w:rsidR="00FC660B">
        <w:rPr>
          <w:lang w:eastAsia="en-AU"/>
        </w:rPr>
        <w:t>21</w:t>
      </w:r>
      <w:r w:rsidR="00953FE1" w:rsidRPr="008E4F89">
        <w:rPr>
          <w:lang w:eastAsia="en-AU"/>
        </w:rPr>
        <w:t xml:space="preserve"> Aboriginal patients between 2014 and 2016 compared </w:t>
      </w:r>
      <w:r w:rsidR="001B50BF">
        <w:rPr>
          <w:lang w:eastAsia="en-AU"/>
        </w:rPr>
        <w:t>with more</w:t>
      </w:r>
      <w:r w:rsidR="001B50BF" w:rsidRPr="008E4F89">
        <w:rPr>
          <w:lang w:eastAsia="en-AU"/>
        </w:rPr>
        <w:t xml:space="preserve"> </w:t>
      </w:r>
      <w:r w:rsidR="001B50BF">
        <w:rPr>
          <w:lang w:eastAsia="en-AU"/>
        </w:rPr>
        <w:t>than</w:t>
      </w:r>
      <w:r w:rsidR="00953FE1" w:rsidRPr="008E4F89">
        <w:rPr>
          <w:lang w:eastAsia="en-AU"/>
        </w:rPr>
        <w:t xml:space="preserve"> 3</w:t>
      </w:r>
      <w:r w:rsidR="001B50BF">
        <w:rPr>
          <w:lang w:eastAsia="en-AU"/>
        </w:rPr>
        <w:t>,</w:t>
      </w:r>
      <w:r w:rsidR="00953FE1" w:rsidRPr="008E4F89">
        <w:rPr>
          <w:lang w:eastAsia="en-AU"/>
        </w:rPr>
        <w:t>000 non-Aboriginal patients over the same time-period.</w:t>
      </w:r>
      <w:r w:rsidR="00952FC7">
        <w:rPr>
          <w:lang w:eastAsia="en-AU"/>
        </w:rPr>
        <w:t xml:space="preserve"> </w:t>
      </w:r>
      <w:r w:rsidR="00045BDA" w:rsidRPr="008E4F89">
        <w:rPr>
          <w:lang w:eastAsia="en-AU"/>
        </w:rPr>
        <w:t xml:space="preserve">The difference in numbers may reflect a lower uptake in screening for </w:t>
      </w:r>
      <w:r w:rsidR="00112A28">
        <w:rPr>
          <w:rFonts w:cs="Arial"/>
          <w:lang w:val="en"/>
        </w:rPr>
        <w:t xml:space="preserve">CRC </w:t>
      </w:r>
      <w:r w:rsidR="00045BDA" w:rsidRPr="008E4F89">
        <w:rPr>
          <w:lang w:eastAsia="en-AU"/>
        </w:rPr>
        <w:t>for this population group.</w:t>
      </w:r>
    </w:p>
    <w:p w14:paraId="6210A195" w14:textId="12937431" w:rsidR="00675E2B" w:rsidRPr="008E4F89" w:rsidRDefault="00045BDA" w:rsidP="00552C59">
      <w:pPr>
        <w:pStyle w:val="DHHSbody"/>
        <w:rPr>
          <w:lang w:eastAsia="en-AU"/>
        </w:rPr>
      </w:pPr>
      <w:r w:rsidRPr="008E4F89">
        <w:rPr>
          <w:rFonts w:cs="Arial"/>
          <w:lang w:val="en"/>
        </w:rPr>
        <w:t xml:space="preserve">People living in different socioeconomic groups had similar proportions of </w:t>
      </w:r>
      <w:r w:rsidR="00112A28">
        <w:rPr>
          <w:rFonts w:cs="Arial"/>
          <w:lang w:val="en"/>
        </w:rPr>
        <w:t xml:space="preserve">CRCs </w:t>
      </w:r>
      <w:r w:rsidR="003755CC" w:rsidRPr="008E4F89">
        <w:rPr>
          <w:lang w:eastAsia="en-AU"/>
        </w:rPr>
        <w:t>diagnosed at stages 1 and 2</w:t>
      </w:r>
      <w:r w:rsidR="00A52EC3">
        <w:rPr>
          <w:lang w:eastAsia="en-AU"/>
        </w:rPr>
        <w:t>,</w:t>
      </w:r>
      <w:r w:rsidR="003755CC" w:rsidRPr="008E4F89">
        <w:rPr>
          <w:lang w:eastAsia="en-AU"/>
        </w:rPr>
        <w:t xml:space="preserve"> which were generally over 50 per cent. This was also reflected in the proportion of </w:t>
      </w:r>
      <w:r w:rsidR="00112A28">
        <w:rPr>
          <w:rFonts w:cs="Arial"/>
          <w:lang w:val="en"/>
        </w:rPr>
        <w:t xml:space="preserve">CRCs </w:t>
      </w:r>
      <w:r w:rsidR="003755CC" w:rsidRPr="008E4F89">
        <w:rPr>
          <w:lang w:eastAsia="en-AU"/>
        </w:rPr>
        <w:t xml:space="preserve">diagnosed at stages 1 and 2 </w:t>
      </w:r>
      <w:r w:rsidR="00154F9C" w:rsidRPr="008E4F89">
        <w:rPr>
          <w:lang w:eastAsia="en-AU"/>
        </w:rPr>
        <w:t xml:space="preserve">across the different </w:t>
      </w:r>
      <w:r w:rsidR="008439C8">
        <w:rPr>
          <w:lang w:eastAsia="en-AU"/>
        </w:rPr>
        <w:t>ICS</w:t>
      </w:r>
      <w:r w:rsidR="00154F9C" w:rsidRPr="008E4F89">
        <w:rPr>
          <w:lang w:eastAsia="en-AU"/>
        </w:rPr>
        <w:t>s, language spoken at home and</w:t>
      </w:r>
      <w:r w:rsidR="003755CC" w:rsidRPr="008E4F89">
        <w:rPr>
          <w:lang w:eastAsia="en-AU"/>
        </w:rPr>
        <w:t xml:space="preserve"> remote areas</w:t>
      </w:r>
      <w:r w:rsidR="001B0F6E">
        <w:rPr>
          <w:lang w:eastAsia="en-AU"/>
        </w:rPr>
        <w:t>.</w:t>
      </w:r>
    </w:p>
    <w:p w14:paraId="0C6574C4" w14:textId="72DF8A2E" w:rsidR="00675E2B" w:rsidRPr="001A2A05" w:rsidRDefault="00675E2B" w:rsidP="001A2A05">
      <w:pPr>
        <w:pStyle w:val="DHHSbody"/>
        <w:rPr>
          <w:rFonts w:cs="Arial"/>
          <w:lang w:val="en"/>
        </w:rPr>
      </w:pPr>
      <w:r w:rsidRPr="008E4F89">
        <w:rPr>
          <w:rFonts w:cs="Arial"/>
          <w:lang w:eastAsia="en-AU"/>
        </w:rPr>
        <w:t>While no target has been set for this measure</w:t>
      </w:r>
      <w:r w:rsidR="008E4F89">
        <w:rPr>
          <w:rFonts w:cs="Arial"/>
          <w:lang w:eastAsia="en-AU"/>
        </w:rPr>
        <w:t>,</w:t>
      </w:r>
      <w:r w:rsidRPr="008E4F89">
        <w:rPr>
          <w:rFonts w:cs="Arial"/>
          <w:lang w:eastAsia="en-AU"/>
        </w:rPr>
        <w:t xml:space="preserve"> </w:t>
      </w:r>
      <w:r w:rsidR="001E28CA">
        <w:rPr>
          <w:rFonts w:cs="Arial"/>
          <w:lang w:eastAsia="en-AU"/>
        </w:rPr>
        <w:t>increasing participation in</w:t>
      </w:r>
      <w:r w:rsidR="00FB6B13" w:rsidRPr="008E4F89">
        <w:rPr>
          <w:rFonts w:cs="Arial"/>
          <w:lang w:eastAsia="en-AU"/>
        </w:rPr>
        <w:t xml:space="preserve"> the N</w:t>
      </w:r>
      <w:r w:rsidR="002A7392" w:rsidRPr="008E4F89">
        <w:rPr>
          <w:rFonts w:cs="Arial"/>
          <w:lang w:eastAsia="en-AU"/>
        </w:rPr>
        <w:t>ational Bowel Cancer Screening Program</w:t>
      </w:r>
      <w:r w:rsidR="001E28CA">
        <w:rPr>
          <w:rFonts w:cs="Arial"/>
          <w:lang w:eastAsia="en-AU"/>
        </w:rPr>
        <w:t xml:space="preserve"> is needed to reap the greatest benefits in terms of reducing illness and death from CRC in the target age group of people aged 50</w:t>
      </w:r>
      <w:r w:rsidR="00CA2AD7">
        <w:rPr>
          <w:rFonts w:cs="Arial"/>
          <w:lang w:eastAsia="en-AU"/>
        </w:rPr>
        <w:t>–</w:t>
      </w:r>
      <w:r w:rsidR="001E28CA">
        <w:rPr>
          <w:rFonts w:cs="Arial"/>
          <w:lang w:eastAsia="en-AU"/>
        </w:rPr>
        <w:t>74 years.</w:t>
      </w:r>
      <w:r>
        <w:rPr>
          <w:lang w:eastAsia="en-AU"/>
        </w:rPr>
        <w:br w:type="page"/>
      </w:r>
    </w:p>
    <w:p w14:paraId="5DBEF978" w14:textId="39421BA9" w:rsidR="00DF376C" w:rsidRDefault="00DF376C" w:rsidP="00DF376C">
      <w:pPr>
        <w:pStyle w:val="Heading3"/>
        <w:rPr>
          <w:lang w:eastAsia="en-AU"/>
        </w:rPr>
      </w:pPr>
      <w:bookmarkStart w:id="635" w:name="_Toc19008113"/>
      <w:r>
        <w:rPr>
          <w:lang w:eastAsia="en-AU"/>
        </w:rPr>
        <w:lastRenderedPageBreak/>
        <w:t xml:space="preserve">Measure 11.4 – </w:t>
      </w:r>
      <w:r w:rsidR="00A60F88">
        <w:rPr>
          <w:lang w:eastAsia="en-AU"/>
        </w:rPr>
        <w:t>Proportion of cervi</w:t>
      </w:r>
      <w:r w:rsidR="002714EF">
        <w:rPr>
          <w:lang w:eastAsia="en-AU"/>
        </w:rPr>
        <w:t>cal</w:t>
      </w:r>
      <w:r w:rsidR="00A60F88">
        <w:rPr>
          <w:lang w:eastAsia="en-AU"/>
        </w:rPr>
        <w:t xml:space="preserve"> cancers diagnosed at stages 1 </w:t>
      </w:r>
      <w:r w:rsidR="002714EF">
        <w:rPr>
          <w:lang w:eastAsia="en-AU"/>
        </w:rPr>
        <w:t>or</w:t>
      </w:r>
      <w:r w:rsidR="00A60F88">
        <w:rPr>
          <w:lang w:eastAsia="en-AU"/>
        </w:rPr>
        <w:t xml:space="preserve"> 2</w:t>
      </w:r>
      <w:bookmarkEnd w:id="635"/>
    </w:p>
    <w:p w14:paraId="02755C32" w14:textId="0B0129FE" w:rsidR="006C64CD" w:rsidRPr="006C64CD" w:rsidRDefault="006C64CD" w:rsidP="006C64CD">
      <w:pPr>
        <w:pStyle w:val="DHHSbody"/>
        <w:rPr>
          <w:lang w:eastAsia="en-AU"/>
        </w:rPr>
      </w:pPr>
      <w:r>
        <w:rPr>
          <w:lang w:eastAsia="en-AU"/>
        </w:rPr>
        <w:t xml:space="preserve">This information is currently not captured by the </w:t>
      </w:r>
      <w:r w:rsidR="004C18EC">
        <w:rPr>
          <w:lang w:eastAsia="en-AU"/>
        </w:rPr>
        <w:t>VCR</w:t>
      </w:r>
      <w:r>
        <w:rPr>
          <w:lang w:eastAsia="en-AU"/>
        </w:rPr>
        <w:t>.</w:t>
      </w:r>
      <w:r w:rsidR="00330DC3">
        <w:rPr>
          <w:lang w:eastAsia="en-AU"/>
        </w:rPr>
        <w:t xml:space="preserve"> Refer to Appendix 1.</w:t>
      </w:r>
    </w:p>
    <w:p w14:paraId="6B5E9758" w14:textId="2DACF8FF" w:rsidR="00DF376C" w:rsidRDefault="00DF376C" w:rsidP="00DF376C">
      <w:pPr>
        <w:pStyle w:val="Heading3"/>
        <w:rPr>
          <w:lang w:eastAsia="en-AU"/>
        </w:rPr>
      </w:pPr>
      <w:bookmarkStart w:id="636" w:name="_Toc19008114"/>
      <w:r>
        <w:rPr>
          <w:lang w:eastAsia="en-AU"/>
        </w:rPr>
        <w:t xml:space="preserve">Measure 11.5 – </w:t>
      </w:r>
      <w:r w:rsidR="00A60F88">
        <w:rPr>
          <w:lang w:eastAsia="en-AU"/>
        </w:rPr>
        <w:t xml:space="preserve">Proportion of lung cancers diagnosed at stages 1 </w:t>
      </w:r>
      <w:r w:rsidR="002714EF">
        <w:rPr>
          <w:lang w:eastAsia="en-AU"/>
        </w:rPr>
        <w:t>or</w:t>
      </w:r>
      <w:r w:rsidR="00A60F88">
        <w:rPr>
          <w:lang w:eastAsia="en-AU"/>
        </w:rPr>
        <w:t xml:space="preserve"> 2</w:t>
      </w:r>
      <w:bookmarkEnd w:id="636"/>
    </w:p>
    <w:p w14:paraId="28F456AC" w14:textId="77777777" w:rsidR="001B5858" w:rsidRDefault="006C64CD" w:rsidP="001A2A05">
      <w:pPr>
        <w:pStyle w:val="DHHSbody"/>
        <w:rPr>
          <w:lang w:eastAsia="en-AU"/>
        </w:rPr>
      </w:pPr>
      <w:r>
        <w:rPr>
          <w:lang w:eastAsia="en-AU"/>
        </w:rPr>
        <w:t xml:space="preserve">This information is currently not captured by the </w:t>
      </w:r>
      <w:r w:rsidR="004C18EC">
        <w:rPr>
          <w:lang w:eastAsia="en-AU"/>
        </w:rPr>
        <w:t>VCR</w:t>
      </w:r>
      <w:r>
        <w:rPr>
          <w:lang w:eastAsia="en-AU"/>
        </w:rPr>
        <w:t>.</w:t>
      </w:r>
      <w:r w:rsidR="00330DC3">
        <w:rPr>
          <w:lang w:eastAsia="en-AU"/>
        </w:rPr>
        <w:t xml:space="preserve"> Refer to Appendix 1.</w:t>
      </w:r>
    </w:p>
    <w:p w14:paraId="67681CA5" w14:textId="77777777" w:rsidR="001B5858" w:rsidRDefault="001B5858">
      <w:pPr>
        <w:rPr>
          <w:rFonts w:ascii="Arial" w:eastAsia="Times" w:hAnsi="Arial"/>
        </w:rPr>
      </w:pPr>
      <w:r>
        <w:br w:type="page"/>
      </w:r>
    </w:p>
    <w:p w14:paraId="1FC1BEE7" w14:textId="40ADD243" w:rsidR="00DF376C" w:rsidRPr="001B5858" w:rsidRDefault="00DF376C" w:rsidP="001B5858">
      <w:pPr>
        <w:pStyle w:val="Heading3"/>
        <w:rPr>
          <w:rStyle w:val="Heading3Char"/>
          <w:b/>
          <w:bCs/>
        </w:rPr>
      </w:pPr>
      <w:bookmarkStart w:id="637" w:name="_Measure_11.6_–"/>
      <w:bookmarkEnd w:id="637"/>
      <w:r w:rsidRPr="001B5858">
        <w:rPr>
          <w:rStyle w:val="Heading3Char"/>
          <w:b/>
          <w:bCs/>
        </w:rPr>
        <w:lastRenderedPageBreak/>
        <w:t xml:space="preserve">Measure 11.6 – </w:t>
      </w:r>
      <w:r w:rsidR="00A60F88" w:rsidRPr="001B5858">
        <w:rPr>
          <w:rStyle w:val="Heading3Char"/>
          <w:b/>
          <w:bCs/>
        </w:rPr>
        <w:t>Proportion of all solid tumours diagnosed at metastatic stage</w:t>
      </w:r>
    </w:p>
    <w:p w14:paraId="323E9C68" w14:textId="65A7C323" w:rsidR="005E6CBF" w:rsidRDefault="005E6CBF" w:rsidP="00867A76">
      <w:pPr>
        <w:pStyle w:val="DHHSfigurecaption"/>
      </w:pPr>
      <w:bookmarkStart w:id="638" w:name="_Toc19008115"/>
      <w:bookmarkStart w:id="639" w:name="_Toc19008338"/>
      <w:bookmarkStart w:id="640" w:name="_Toc19008485"/>
      <w:bookmarkStart w:id="641" w:name="_Toc19008632"/>
      <w:bookmarkStart w:id="642" w:name="_Toc27414340"/>
      <w:r>
        <w:t>Figure 11.6</w:t>
      </w:r>
      <w:r w:rsidR="00CA2AD7">
        <w:t>:</w:t>
      </w:r>
      <w:r>
        <w:t xml:space="preserve"> </w:t>
      </w:r>
      <w:r w:rsidRPr="001D32D0">
        <w:t xml:space="preserve">Proportion of </w:t>
      </w:r>
      <w:r>
        <w:t xml:space="preserve">all solid tumours </w:t>
      </w:r>
      <w:r w:rsidRPr="001D32D0">
        <w:t xml:space="preserve">diagnosed at </w:t>
      </w:r>
      <w:r w:rsidR="00A52EC3">
        <w:t xml:space="preserve">the </w:t>
      </w:r>
      <w:r>
        <w:t>metastatic stage</w:t>
      </w:r>
      <w:r w:rsidRPr="001D32D0">
        <w:t xml:space="preserve">, by </w:t>
      </w:r>
      <w:r>
        <w:t xml:space="preserve">age, sex, </w:t>
      </w:r>
      <w:r w:rsidR="00D3516B">
        <w:t>I</w:t>
      </w:r>
      <w:r>
        <w:t>ndigenous status and language spoken at home</w:t>
      </w:r>
      <w:r w:rsidRPr="001D32D0">
        <w:t>, 2014</w:t>
      </w:r>
      <w:r w:rsidR="00CA2AD7">
        <w:t>–</w:t>
      </w:r>
      <w:r w:rsidRPr="001D32D0">
        <w:t>2016</w:t>
      </w:r>
      <w:bookmarkEnd w:id="638"/>
      <w:bookmarkEnd w:id="639"/>
      <w:bookmarkEnd w:id="640"/>
      <w:bookmarkEnd w:id="641"/>
      <w:bookmarkEnd w:id="642"/>
    </w:p>
    <w:p w14:paraId="04CCD702" w14:textId="1EE47322" w:rsidR="005E6CBF" w:rsidRDefault="00FD5A28" w:rsidP="009F719D">
      <w:pPr>
        <w:pStyle w:val="DHHSbody"/>
        <w:rPr>
          <w:b/>
          <w:lang w:eastAsia="en-AU"/>
        </w:rPr>
      </w:pPr>
      <w:r>
        <w:rPr>
          <w:b/>
          <w:noProof/>
          <w:lang w:eastAsia="en-AU"/>
        </w:rPr>
        <w:drawing>
          <wp:inline distT="0" distB="0" distL="0" distR="0" wp14:anchorId="65226C7E" wp14:editId="126AAE0A">
            <wp:extent cx="6712585" cy="5761355"/>
            <wp:effectExtent l="0" t="0" r="0" b="0"/>
            <wp:docPr id="493" name="Picture 493" descr="This figure shows a data summary of 'Measure 11.6 – Proportion of all solid tumours diagnosed at metastatic stage' via subgroups namely age, Indigenous status and language spoken at home for the study period 2014-2016. The data set is available under 'Measure 11.6 – Proportion of all solid tumours diagnosed at the metastatic stag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712585" cy="5761355"/>
                    </a:xfrm>
                    <a:prstGeom prst="rect">
                      <a:avLst/>
                    </a:prstGeom>
                    <a:noFill/>
                  </pic:spPr>
                </pic:pic>
              </a:graphicData>
            </a:graphic>
          </wp:inline>
        </w:drawing>
      </w:r>
    </w:p>
    <w:p w14:paraId="6F372913" w14:textId="7AF47004" w:rsidR="00C464BE" w:rsidRPr="0084376C" w:rsidRDefault="00C464BE" w:rsidP="0084376C">
      <w:pPr>
        <w:pStyle w:val="DHHStablefigurenote"/>
      </w:pPr>
      <w:r>
        <w:t>Note:</w:t>
      </w:r>
    </w:p>
    <w:p w14:paraId="322FA30F" w14:textId="3EFD23BE" w:rsidR="00C464BE" w:rsidRDefault="00C464BE" w:rsidP="00160602">
      <w:pPr>
        <w:pStyle w:val="DHHStablefigurenote"/>
        <w:numPr>
          <w:ilvl w:val="0"/>
          <w:numId w:val="51"/>
        </w:numPr>
      </w:pPr>
      <w:r w:rsidRPr="007B0B75">
        <w:t>Metastatic disease at diagnosis was determined by:</w:t>
      </w:r>
    </w:p>
    <w:p w14:paraId="688F3251" w14:textId="0EC7991A" w:rsidR="00C464BE" w:rsidRDefault="00C464BE" w:rsidP="00160602">
      <w:pPr>
        <w:pStyle w:val="DHHStablefigurenote"/>
        <w:numPr>
          <w:ilvl w:val="1"/>
          <w:numId w:val="51"/>
        </w:numPr>
      </w:pPr>
      <w:r w:rsidRPr="007B0B75">
        <w:t>VCR TNM-M (M1)</w:t>
      </w:r>
    </w:p>
    <w:p w14:paraId="3CD692A0" w14:textId="2D2BAEE6" w:rsidR="00C464BE" w:rsidRDefault="000D4B35" w:rsidP="00160602">
      <w:pPr>
        <w:pStyle w:val="DHHStablefigurenote"/>
        <w:numPr>
          <w:ilvl w:val="1"/>
          <w:numId w:val="51"/>
        </w:numPr>
      </w:pPr>
      <w:r>
        <w:t>a</w:t>
      </w:r>
      <w:r w:rsidR="00C464BE" w:rsidRPr="007B0B75">
        <w:t xml:space="preserve">dmitted episodes in the VAED, between </w:t>
      </w:r>
      <w:r w:rsidR="008869C1">
        <w:t>30</w:t>
      </w:r>
      <w:r w:rsidR="00C464BE" w:rsidRPr="007B0B75">
        <w:t xml:space="preserve"> days prior and four months after diagnosis date, which contained metastatic cancer diagnosis codes (neoplasm and morphology codes).</w:t>
      </w:r>
    </w:p>
    <w:p w14:paraId="09AC8406" w14:textId="64E54103" w:rsidR="0084376C" w:rsidRDefault="0084376C" w:rsidP="0084376C">
      <w:pPr>
        <w:pStyle w:val="DHHStablefigurenote"/>
        <w:numPr>
          <w:ilvl w:val="0"/>
          <w:numId w:val="51"/>
        </w:numPr>
      </w:pPr>
      <w:r w:rsidRPr="00C464BE">
        <w:t>Patients who did not have an admitted episode in the VAED in the allocated timeframe could not be reclassified as metastatic at diagnosis, and so some cases of metastatic disease may not have been captured.</w:t>
      </w:r>
    </w:p>
    <w:p w14:paraId="7FE184B1" w14:textId="3A518843" w:rsidR="0084376C" w:rsidRDefault="0084376C" w:rsidP="0084376C">
      <w:pPr>
        <w:pStyle w:val="DHHStablefigurenote"/>
        <w:numPr>
          <w:ilvl w:val="0"/>
          <w:numId w:val="51"/>
        </w:numPr>
      </w:pPr>
      <w:r w:rsidRPr="00C464BE">
        <w:t>New tumours with a VCR diagnosis of C00</w:t>
      </w:r>
      <w:r>
        <w:t>–</w:t>
      </w:r>
      <w:r w:rsidRPr="00C464BE">
        <w:t>C80 (solid tumour at diagnosis) were included</w:t>
      </w:r>
      <w:r>
        <w:t>,</w:t>
      </w:r>
      <w:r w:rsidRPr="00C464BE">
        <w:t xml:space="preserve"> but codes C70</w:t>
      </w:r>
      <w:r>
        <w:t>–</w:t>
      </w:r>
      <w:r w:rsidRPr="00C464BE">
        <w:t>C72 (</w:t>
      </w:r>
      <w:r>
        <w:t>b</w:t>
      </w:r>
      <w:r w:rsidRPr="00C464BE">
        <w:t>rain and CNS) were excluded</w:t>
      </w:r>
      <w:r>
        <w:t xml:space="preserve"> in accordance with the Victorian cancer plan monitoring and evaluation framework – Data dictionary</w:t>
      </w:r>
      <w:r w:rsidRPr="00C464BE">
        <w:t>.</w:t>
      </w:r>
    </w:p>
    <w:p w14:paraId="373799D5" w14:textId="31616255" w:rsidR="00F016BC" w:rsidRPr="001A2A05" w:rsidRDefault="00425FC5" w:rsidP="005257B7">
      <w:pPr>
        <w:pStyle w:val="DHHStablefigurenote"/>
      </w:pPr>
      <w:r>
        <w:t>Appendix 2 provides the dataset.</w:t>
      </w:r>
      <w:r w:rsidR="00F016BC">
        <w:rPr>
          <w:b/>
        </w:rPr>
        <w:br w:type="page"/>
      </w:r>
    </w:p>
    <w:p w14:paraId="7D77E471" w14:textId="6B70B27C" w:rsidR="00536B8A" w:rsidRDefault="00AD2A24" w:rsidP="00867A76">
      <w:pPr>
        <w:pStyle w:val="DHHSfigurecaption"/>
      </w:pPr>
      <w:bookmarkStart w:id="643" w:name="_Toc19008116"/>
      <w:bookmarkStart w:id="644" w:name="_Toc19008339"/>
      <w:bookmarkStart w:id="645" w:name="_Toc19008486"/>
      <w:bookmarkStart w:id="646" w:name="_Toc19008633"/>
      <w:bookmarkStart w:id="647" w:name="_Toc27414341"/>
      <w:r>
        <w:lastRenderedPageBreak/>
        <w:t>Figur</w:t>
      </w:r>
      <w:r w:rsidR="009F719D" w:rsidRPr="001D32D0">
        <w:t>e 11.</w:t>
      </w:r>
      <w:r w:rsidR="009F719D">
        <w:t>6.1</w:t>
      </w:r>
      <w:r w:rsidR="00CA2AD7">
        <w:t>:</w:t>
      </w:r>
      <w:r w:rsidR="009F719D" w:rsidRPr="001D32D0">
        <w:t xml:space="preserve"> Proportion of </w:t>
      </w:r>
      <w:r w:rsidR="007E40AC">
        <w:t xml:space="preserve">all solid tumours diagnosed at </w:t>
      </w:r>
      <w:r w:rsidR="00375C96">
        <w:t xml:space="preserve">the </w:t>
      </w:r>
      <w:r w:rsidR="007E40AC">
        <w:t>metastatic stage</w:t>
      </w:r>
      <w:r w:rsidR="009F719D" w:rsidRPr="001D32D0">
        <w:t xml:space="preserve">, by remoteness area, </w:t>
      </w:r>
      <w:r w:rsidR="00375C96">
        <w:t>ICS</w:t>
      </w:r>
      <w:r w:rsidR="009F719D" w:rsidRPr="001D32D0">
        <w:t xml:space="preserve"> and </w:t>
      </w:r>
      <w:r w:rsidR="00DE7FFE">
        <w:t>SES</w:t>
      </w:r>
      <w:r w:rsidR="009F719D" w:rsidRPr="001D32D0">
        <w:t>, 2014</w:t>
      </w:r>
      <w:r w:rsidR="00CA2AD7">
        <w:t>–</w:t>
      </w:r>
      <w:r w:rsidR="009F719D" w:rsidRPr="001D32D0">
        <w:t>2016</w:t>
      </w:r>
      <w:bookmarkEnd w:id="643"/>
      <w:bookmarkEnd w:id="644"/>
      <w:bookmarkEnd w:id="645"/>
      <w:bookmarkEnd w:id="646"/>
      <w:bookmarkEnd w:id="647"/>
    </w:p>
    <w:p w14:paraId="078A3FD2" w14:textId="34948566" w:rsidR="00AF4FE1" w:rsidRDefault="00FD5A28" w:rsidP="009F719D">
      <w:pPr>
        <w:pStyle w:val="DHHSbody"/>
        <w:rPr>
          <w:b/>
          <w:lang w:eastAsia="en-AU"/>
        </w:rPr>
      </w:pPr>
      <w:r>
        <w:rPr>
          <w:b/>
          <w:noProof/>
          <w:lang w:eastAsia="en-AU"/>
        </w:rPr>
        <w:drawing>
          <wp:inline distT="0" distB="0" distL="0" distR="0" wp14:anchorId="7A820653" wp14:editId="7A872CC3">
            <wp:extent cx="6718300" cy="5834380"/>
            <wp:effectExtent l="0" t="0" r="6350" b="0"/>
            <wp:docPr id="494" name="Picture 494" descr="This figure shows a data summary of 'Measure 11.6 – Proportion of all solid tumours diagnosed at metastatic stage' via subgroups namely remoteness area, Integrated Cancer Service and socioeconomic status for the study period 2014-2016. The data set is available under 'Measure 11.6 – Proportion of all solid tumours diagnosed at the metastatic stag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718300" cy="5834380"/>
                    </a:xfrm>
                    <a:prstGeom prst="rect">
                      <a:avLst/>
                    </a:prstGeom>
                    <a:noFill/>
                  </pic:spPr>
                </pic:pic>
              </a:graphicData>
            </a:graphic>
          </wp:inline>
        </w:drawing>
      </w:r>
    </w:p>
    <w:p w14:paraId="6678A14A" w14:textId="77777777" w:rsidR="007B0B75" w:rsidRDefault="007B0B75" w:rsidP="00301EC4">
      <w:pPr>
        <w:pStyle w:val="DHHStablefigurenote"/>
      </w:pPr>
      <w:r>
        <w:t>Note:</w:t>
      </w:r>
    </w:p>
    <w:p w14:paraId="5063D743" w14:textId="77777777" w:rsidR="00E51D52" w:rsidRDefault="00E51D52" w:rsidP="00E51D52">
      <w:pPr>
        <w:pStyle w:val="DHHStablefigurenote"/>
        <w:numPr>
          <w:ilvl w:val="0"/>
          <w:numId w:val="52"/>
        </w:numPr>
      </w:pPr>
      <w:r w:rsidRPr="007B0B75">
        <w:t>Metastatic disease at diagnosis was determined by:</w:t>
      </w:r>
    </w:p>
    <w:p w14:paraId="214608FF" w14:textId="77777777" w:rsidR="00E51D52" w:rsidRDefault="00E51D52" w:rsidP="00E51D52">
      <w:pPr>
        <w:pStyle w:val="DHHStablefigurenote"/>
        <w:numPr>
          <w:ilvl w:val="1"/>
          <w:numId w:val="52"/>
        </w:numPr>
      </w:pPr>
      <w:r w:rsidRPr="007B0B75">
        <w:t>VCR TNM-M (M1)</w:t>
      </w:r>
    </w:p>
    <w:p w14:paraId="16D3E872" w14:textId="77777777" w:rsidR="00E51D52" w:rsidRDefault="00E51D52" w:rsidP="00E51D52">
      <w:pPr>
        <w:pStyle w:val="DHHStablefigurenote"/>
        <w:numPr>
          <w:ilvl w:val="1"/>
          <w:numId w:val="52"/>
        </w:numPr>
      </w:pPr>
      <w:r>
        <w:t>a</w:t>
      </w:r>
      <w:r w:rsidRPr="007B0B75">
        <w:t xml:space="preserve">dmitted episodes in the VAED, between </w:t>
      </w:r>
      <w:r>
        <w:t>30</w:t>
      </w:r>
      <w:r w:rsidRPr="007B0B75">
        <w:t xml:space="preserve"> days prior and four months after diagnosis date, which contained metastatic cancer diagnosis codes (neoplasm and morphology codes).</w:t>
      </w:r>
    </w:p>
    <w:p w14:paraId="5A890DAB" w14:textId="77777777" w:rsidR="00E51D52" w:rsidRDefault="00E51D52" w:rsidP="00E51D52">
      <w:pPr>
        <w:pStyle w:val="DHHStablefigurenote"/>
        <w:numPr>
          <w:ilvl w:val="0"/>
          <w:numId w:val="52"/>
        </w:numPr>
      </w:pPr>
      <w:r w:rsidRPr="00C464BE">
        <w:t>Patients who did not have an admitted episode in the VAED in the allocated timeframe could not be reclassified as metastatic at diagnosis, and so some cases of metastatic disease may not have been captured.</w:t>
      </w:r>
    </w:p>
    <w:p w14:paraId="5C44A466" w14:textId="6DC2EBEA" w:rsidR="00E51D52" w:rsidRDefault="00E51D52" w:rsidP="00E51D52">
      <w:pPr>
        <w:pStyle w:val="DHHStablefigurenote"/>
        <w:numPr>
          <w:ilvl w:val="0"/>
          <w:numId w:val="52"/>
        </w:numPr>
      </w:pPr>
      <w:r w:rsidRPr="00C464BE">
        <w:t>New tumours with a VCR diagnosis of C00</w:t>
      </w:r>
      <w:r>
        <w:t>–</w:t>
      </w:r>
      <w:r w:rsidRPr="00C464BE">
        <w:t>C80 (solid tumour at diagnosis) were included</w:t>
      </w:r>
      <w:r>
        <w:t>,</w:t>
      </w:r>
      <w:r w:rsidRPr="00C464BE">
        <w:t xml:space="preserve"> but codes C70</w:t>
      </w:r>
      <w:r>
        <w:t>–</w:t>
      </w:r>
      <w:r w:rsidRPr="00C464BE">
        <w:t>C72 (</w:t>
      </w:r>
      <w:r>
        <w:t>b</w:t>
      </w:r>
      <w:r w:rsidRPr="00C464BE">
        <w:t>rain and CNS) were excluded</w:t>
      </w:r>
      <w:r>
        <w:t xml:space="preserve"> in accordance with the Victorian cancer plan monitoring and evaluation framework – Data dictionary</w:t>
      </w:r>
      <w:r w:rsidRPr="00C464BE">
        <w:t>.</w:t>
      </w:r>
    </w:p>
    <w:p w14:paraId="0A3F0B19" w14:textId="54D35DCE" w:rsidR="003C256D" w:rsidRPr="0020440A" w:rsidRDefault="007B0B75" w:rsidP="0020440A">
      <w:pPr>
        <w:pStyle w:val="DHHStablefigurenote"/>
      </w:pPr>
      <w:r>
        <w:t>Appendix 2 provides the dataset.</w:t>
      </w:r>
      <w:r w:rsidR="003C256D">
        <w:br w:type="page"/>
      </w:r>
    </w:p>
    <w:p w14:paraId="3A5E62F0" w14:textId="52330476" w:rsidR="00CC4F93" w:rsidRPr="00671C7A" w:rsidRDefault="00CC4F93" w:rsidP="005760EA">
      <w:pPr>
        <w:pStyle w:val="Heading4"/>
        <w:spacing w:before="0" w:line="270" w:lineRule="atLeast"/>
        <w:rPr>
          <w:lang w:eastAsia="en-AU"/>
        </w:rPr>
      </w:pPr>
      <w:r>
        <w:rPr>
          <w:lang w:eastAsia="en-AU"/>
        </w:rPr>
        <w:lastRenderedPageBreak/>
        <w:t>Measure assessment</w:t>
      </w:r>
    </w:p>
    <w:p w14:paraId="02F6DA5C" w14:textId="354F8CD1" w:rsidR="00EA3932" w:rsidRPr="005760EA" w:rsidRDefault="00CC4F93" w:rsidP="005760EA">
      <w:pPr>
        <w:autoSpaceDE w:val="0"/>
        <w:autoSpaceDN w:val="0"/>
        <w:adjustRightInd w:val="0"/>
        <w:spacing w:after="120" w:line="270" w:lineRule="atLeast"/>
        <w:rPr>
          <w:rFonts w:ascii="Arial" w:hAnsi="Arial" w:cs="Arial"/>
          <w:color w:val="C5511A"/>
        </w:rPr>
      </w:pPr>
      <w:r w:rsidRPr="0040003A">
        <w:rPr>
          <w:rFonts w:ascii="Arial" w:hAnsi="Arial" w:cs="Arial"/>
        </w:rPr>
        <w:t xml:space="preserve">Traffic light rating: </w:t>
      </w:r>
      <w:r w:rsidR="00FC1695"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57EC3224" w14:textId="2E1ACAB7" w:rsidR="00CC4F93" w:rsidRPr="0040003A" w:rsidRDefault="00CC4F93" w:rsidP="005760EA">
      <w:pPr>
        <w:spacing w:after="120" w:line="270" w:lineRule="atLeast"/>
        <w:rPr>
          <w:rFonts w:ascii="Arial" w:hAnsi="Arial" w:cs="Arial"/>
        </w:rPr>
      </w:pPr>
      <w:r w:rsidRPr="0040003A">
        <w:rPr>
          <w:rFonts w:ascii="Arial" w:hAnsi="Arial" w:cs="Arial"/>
        </w:rPr>
        <w:t xml:space="preserve">Overall trend: </w:t>
      </w:r>
      <w:r w:rsidR="006034DB">
        <w:rPr>
          <w:rFonts w:ascii="Arial" w:hAnsi="Arial" w:cs="Arial"/>
        </w:rPr>
        <w:t>H</w:t>
      </w:r>
      <w:r w:rsidR="00FC1695" w:rsidRPr="0040003A">
        <w:rPr>
          <w:rFonts w:ascii="Arial" w:hAnsi="Arial" w:cs="Arial"/>
        </w:rPr>
        <w:t>eading in the right direction</w:t>
      </w:r>
    </w:p>
    <w:p w14:paraId="5CE22EEE" w14:textId="283E5E07" w:rsidR="002D0545" w:rsidRPr="0040003A" w:rsidRDefault="00CC4F93" w:rsidP="005760EA">
      <w:pPr>
        <w:pStyle w:val="DHHSbody"/>
        <w:rPr>
          <w:rFonts w:cs="Arial"/>
          <w:lang w:val="en"/>
        </w:rPr>
      </w:pPr>
      <w:r w:rsidRPr="0040003A">
        <w:rPr>
          <w:rFonts w:cs="Arial"/>
          <w:lang w:eastAsia="en-AU"/>
        </w:rPr>
        <w:t>Commentary:</w:t>
      </w:r>
      <w:r w:rsidR="00FC1695" w:rsidRPr="0040003A">
        <w:rPr>
          <w:rFonts w:cs="Arial"/>
          <w:lang w:eastAsia="en-AU"/>
        </w:rPr>
        <w:t xml:space="preserve"> </w:t>
      </w:r>
      <w:r w:rsidR="00FC1695" w:rsidRPr="0040003A">
        <w:rPr>
          <w:rFonts w:cs="Arial"/>
          <w:lang w:val="en"/>
        </w:rPr>
        <w:t>The distribution of cancer stage at diagnosis provides an indication of whether a particular cancer type is diagnosed earlier</w:t>
      </w:r>
      <w:r w:rsidR="00ED3649" w:rsidRPr="0040003A">
        <w:rPr>
          <w:rFonts w:cs="Arial"/>
          <w:lang w:val="en"/>
        </w:rPr>
        <w:t xml:space="preserve"> (stage 1)</w:t>
      </w:r>
      <w:r w:rsidR="00FC1695" w:rsidRPr="0040003A">
        <w:rPr>
          <w:rFonts w:cs="Arial"/>
          <w:lang w:val="en"/>
        </w:rPr>
        <w:t xml:space="preserve"> or later</w:t>
      </w:r>
      <w:r w:rsidR="00ED3649" w:rsidRPr="0040003A">
        <w:rPr>
          <w:rFonts w:cs="Arial"/>
          <w:lang w:val="en"/>
        </w:rPr>
        <w:t xml:space="preserve"> (stage 4)</w:t>
      </w:r>
      <w:r w:rsidR="00FC1695" w:rsidRPr="0040003A">
        <w:rPr>
          <w:rFonts w:cs="Arial"/>
          <w:lang w:val="en"/>
        </w:rPr>
        <w:t>.</w:t>
      </w:r>
      <w:r w:rsidR="00901B51" w:rsidRPr="0040003A">
        <w:rPr>
          <w:rFonts w:cs="Arial"/>
          <w:lang w:val="en"/>
        </w:rPr>
        <w:t xml:space="preserve"> </w:t>
      </w:r>
      <w:r w:rsidR="00ED3649" w:rsidRPr="0040003A">
        <w:rPr>
          <w:rFonts w:cs="Arial"/>
          <w:lang w:val="en"/>
        </w:rPr>
        <w:t xml:space="preserve">The term </w:t>
      </w:r>
      <w:r w:rsidR="00375C96">
        <w:rPr>
          <w:rFonts w:cs="Arial"/>
          <w:lang w:val="en"/>
        </w:rPr>
        <w:t>‘</w:t>
      </w:r>
      <w:r w:rsidR="00ED3649" w:rsidRPr="0040003A">
        <w:rPr>
          <w:rFonts w:cs="Arial"/>
          <w:lang w:val="en"/>
        </w:rPr>
        <w:t>metastatic</w:t>
      </w:r>
      <w:r w:rsidR="00375C96">
        <w:rPr>
          <w:rFonts w:cs="Arial"/>
          <w:lang w:val="en"/>
        </w:rPr>
        <w:t>’</w:t>
      </w:r>
      <w:r w:rsidR="00ED3649" w:rsidRPr="0040003A">
        <w:rPr>
          <w:rStyle w:val="FootnoteReference"/>
          <w:rFonts w:cs="Arial"/>
          <w:lang w:val="en"/>
        </w:rPr>
        <w:footnoteReference w:id="124"/>
      </w:r>
      <w:r w:rsidR="00ED3649" w:rsidRPr="0040003A">
        <w:rPr>
          <w:rFonts w:cs="Arial"/>
          <w:lang w:val="en"/>
        </w:rPr>
        <w:t xml:space="preserve"> is used to describe cancers diagnosed at stage 4.</w:t>
      </w:r>
      <w:r w:rsidR="00952FC7">
        <w:rPr>
          <w:rFonts w:cs="Arial"/>
          <w:lang w:val="en"/>
        </w:rPr>
        <w:t xml:space="preserve"> </w:t>
      </w:r>
    </w:p>
    <w:p w14:paraId="7AE90638" w14:textId="586E625F" w:rsidR="00D60C15" w:rsidRPr="0040003A" w:rsidRDefault="002D0545" w:rsidP="0040003A">
      <w:pPr>
        <w:pStyle w:val="DHHSbody"/>
        <w:rPr>
          <w:rFonts w:cs="Arial"/>
          <w:lang w:val="en"/>
        </w:rPr>
      </w:pPr>
      <w:r w:rsidRPr="0040003A">
        <w:rPr>
          <w:rFonts w:cs="Arial"/>
          <w:lang w:val="en"/>
        </w:rPr>
        <w:t>Figure 11.6 show</w:t>
      </w:r>
      <w:r w:rsidR="00473DB8" w:rsidRPr="0040003A">
        <w:rPr>
          <w:rFonts w:cs="Arial"/>
          <w:lang w:val="en"/>
        </w:rPr>
        <w:t>s</w:t>
      </w:r>
      <w:r w:rsidRPr="0040003A">
        <w:rPr>
          <w:rFonts w:cs="Arial"/>
          <w:lang w:val="en"/>
        </w:rPr>
        <w:t xml:space="preserve"> </w:t>
      </w:r>
      <w:r w:rsidR="00396126">
        <w:rPr>
          <w:rFonts w:cs="Arial"/>
          <w:lang w:val="en"/>
        </w:rPr>
        <w:t xml:space="preserve">that the proportion of all solid tumours diagnosed at metastatic stage was consistent between 2014 (19.6 per cent) and 2016 (18.8 per cent).  Figure 11.6 also shows </w:t>
      </w:r>
      <w:r w:rsidRPr="0040003A">
        <w:rPr>
          <w:rFonts w:cs="Arial"/>
          <w:lang w:val="en"/>
        </w:rPr>
        <w:t>a clear relationship between age and stage at diagnosis</w:t>
      </w:r>
      <w:r w:rsidR="00375C96">
        <w:rPr>
          <w:rFonts w:cs="Arial"/>
          <w:lang w:val="en"/>
        </w:rPr>
        <w:t>,</w:t>
      </w:r>
      <w:r w:rsidRPr="0040003A">
        <w:rPr>
          <w:rFonts w:cs="Arial"/>
          <w:lang w:val="en"/>
        </w:rPr>
        <w:t xml:space="preserve"> with a greater proportion </w:t>
      </w:r>
      <w:r w:rsidR="0047200D" w:rsidRPr="0040003A">
        <w:rPr>
          <w:rFonts w:cs="Arial"/>
          <w:lang w:val="en"/>
        </w:rPr>
        <w:t xml:space="preserve">of </w:t>
      </w:r>
      <w:r w:rsidRPr="0040003A">
        <w:rPr>
          <w:rFonts w:cs="Arial"/>
          <w:lang w:val="en"/>
        </w:rPr>
        <w:t xml:space="preserve">patients over 80 years of age </w:t>
      </w:r>
      <w:r w:rsidR="0047200D" w:rsidRPr="0040003A">
        <w:rPr>
          <w:rFonts w:cs="Arial"/>
          <w:lang w:val="en"/>
        </w:rPr>
        <w:t>(24</w:t>
      </w:r>
      <w:r w:rsidR="00375C96">
        <w:rPr>
          <w:rFonts w:cs="Arial"/>
          <w:lang w:val="en"/>
        </w:rPr>
        <w:t>–</w:t>
      </w:r>
      <w:r w:rsidR="0047200D" w:rsidRPr="0040003A">
        <w:rPr>
          <w:rFonts w:cs="Arial"/>
          <w:lang w:val="en"/>
        </w:rPr>
        <w:t xml:space="preserve">25.7 per cent) presenting solid tumours </w:t>
      </w:r>
      <w:r w:rsidRPr="0040003A">
        <w:rPr>
          <w:rFonts w:cs="Arial"/>
          <w:lang w:val="en"/>
        </w:rPr>
        <w:t xml:space="preserve">compared </w:t>
      </w:r>
      <w:r w:rsidR="001B50BF">
        <w:rPr>
          <w:rFonts w:cs="Arial"/>
          <w:lang w:val="en"/>
        </w:rPr>
        <w:t>with</w:t>
      </w:r>
      <w:r w:rsidR="001B50BF" w:rsidRPr="0040003A">
        <w:rPr>
          <w:rFonts w:cs="Arial"/>
          <w:lang w:val="en"/>
        </w:rPr>
        <w:t xml:space="preserve"> </w:t>
      </w:r>
      <w:r w:rsidRPr="0040003A">
        <w:rPr>
          <w:rFonts w:cs="Arial"/>
          <w:lang w:val="en"/>
        </w:rPr>
        <w:t>younger patients</w:t>
      </w:r>
      <w:r w:rsidR="0047200D" w:rsidRPr="0040003A">
        <w:rPr>
          <w:rFonts w:cs="Arial"/>
          <w:lang w:val="en"/>
        </w:rPr>
        <w:t xml:space="preserve"> age</w:t>
      </w:r>
      <w:r w:rsidR="00375C96">
        <w:rPr>
          <w:rFonts w:cs="Arial"/>
          <w:lang w:val="en"/>
        </w:rPr>
        <w:t>d</w:t>
      </w:r>
      <w:r w:rsidR="0047200D" w:rsidRPr="0040003A">
        <w:rPr>
          <w:rFonts w:cs="Arial"/>
          <w:lang w:val="en"/>
        </w:rPr>
        <w:t xml:space="preserve"> less than 60 years (14</w:t>
      </w:r>
      <w:r w:rsidR="00375C96">
        <w:rPr>
          <w:rFonts w:cs="Arial"/>
          <w:lang w:val="en"/>
        </w:rPr>
        <w:t>–</w:t>
      </w:r>
      <w:r w:rsidR="0047200D" w:rsidRPr="0040003A">
        <w:rPr>
          <w:rFonts w:cs="Arial"/>
          <w:lang w:val="en"/>
        </w:rPr>
        <w:t>14.7 per cent)</w:t>
      </w:r>
      <w:r w:rsidR="00375C96">
        <w:rPr>
          <w:rFonts w:cs="Arial"/>
          <w:lang w:val="en"/>
        </w:rPr>
        <w:t>,</w:t>
      </w:r>
      <w:r w:rsidR="0047200D" w:rsidRPr="0040003A">
        <w:rPr>
          <w:rFonts w:cs="Arial"/>
          <w:lang w:val="en"/>
        </w:rPr>
        <w:t xml:space="preserve"> </w:t>
      </w:r>
      <w:r w:rsidRPr="0040003A">
        <w:rPr>
          <w:rFonts w:cs="Arial"/>
          <w:lang w:val="en"/>
        </w:rPr>
        <w:t xml:space="preserve">although there was a slight decrease </w:t>
      </w:r>
      <w:r w:rsidR="00473DB8" w:rsidRPr="0040003A">
        <w:rPr>
          <w:rFonts w:cs="Arial"/>
          <w:lang w:val="en"/>
        </w:rPr>
        <w:t>for all age categories between 2014 and 2016.</w:t>
      </w:r>
      <w:r w:rsidR="00952FC7">
        <w:rPr>
          <w:rFonts w:cs="Arial"/>
          <w:lang w:val="en"/>
        </w:rPr>
        <w:t xml:space="preserve"> </w:t>
      </w:r>
      <w:r w:rsidR="00473DB8" w:rsidRPr="0040003A">
        <w:rPr>
          <w:rFonts w:cs="Arial"/>
          <w:lang w:val="en"/>
        </w:rPr>
        <w:t xml:space="preserve">Males accounted for a slightly higher proportion of </w:t>
      </w:r>
      <w:r w:rsidR="00D60C15" w:rsidRPr="0040003A">
        <w:rPr>
          <w:rFonts w:cs="Arial"/>
          <w:lang w:val="en"/>
        </w:rPr>
        <w:t xml:space="preserve">all solid tumours diagnosed at </w:t>
      </w:r>
      <w:r w:rsidR="000B05AA" w:rsidRPr="0040003A">
        <w:rPr>
          <w:rFonts w:cs="Arial"/>
          <w:lang w:val="en"/>
        </w:rPr>
        <w:t>metastatic</w:t>
      </w:r>
      <w:r w:rsidR="00D60C15" w:rsidRPr="0040003A">
        <w:rPr>
          <w:rFonts w:cs="Arial"/>
          <w:lang w:val="en"/>
        </w:rPr>
        <w:t xml:space="preserve"> stage than </w:t>
      </w:r>
      <w:r w:rsidR="00E14154">
        <w:rPr>
          <w:rFonts w:cs="Arial"/>
          <w:lang w:val="en"/>
        </w:rPr>
        <w:t>fe</w:t>
      </w:r>
      <w:r w:rsidR="00770E46">
        <w:rPr>
          <w:rFonts w:cs="Arial"/>
          <w:lang w:val="en"/>
        </w:rPr>
        <w:t>males</w:t>
      </w:r>
      <w:r w:rsidR="00375C96">
        <w:rPr>
          <w:rFonts w:cs="Arial"/>
          <w:lang w:val="en"/>
        </w:rPr>
        <w:t>,</w:t>
      </w:r>
      <w:r w:rsidR="00D60C15" w:rsidRPr="0040003A">
        <w:rPr>
          <w:rFonts w:cs="Arial"/>
          <w:lang w:val="en"/>
        </w:rPr>
        <w:t xml:space="preserve"> possibly in part because males </w:t>
      </w:r>
      <w:r w:rsidR="0002086A" w:rsidRPr="0040003A">
        <w:rPr>
          <w:rFonts w:cs="Arial"/>
          <w:lang w:val="en"/>
        </w:rPr>
        <w:t>may be more likely to</w:t>
      </w:r>
      <w:r w:rsidR="00D60C15" w:rsidRPr="0040003A">
        <w:rPr>
          <w:rFonts w:cs="Arial"/>
          <w:lang w:val="en"/>
        </w:rPr>
        <w:t xml:space="preserve"> delay reporting symptoms and </w:t>
      </w:r>
      <w:r w:rsidR="007918DD">
        <w:rPr>
          <w:rFonts w:cs="Arial"/>
          <w:lang w:val="en"/>
        </w:rPr>
        <w:t>are less likely to participate in</w:t>
      </w:r>
      <w:r w:rsidR="00D60C15" w:rsidRPr="0040003A">
        <w:rPr>
          <w:rFonts w:cs="Arial"/>
          <w:lang w:val="en"/>
        </w:rPr>
        <w:t xml:space="preserve"> screening</w:t>
      </w:r>
      <w:r w:rsidR="007918DD">
        <w:rPr>
          <w:rFonts w:cs="Arial"/>
          <w:lang w:val="en"/>
        </w:rPr>
        <w:t xml:space="preserve"> program</w:t>
      </w:r>
      <w:r w:rsidR="006F4F35">
        <w:rPr>
          <w:rFonts w:cs="Arial"/>
          <w:lang w:val="en"/>
        </w:rPr>
        <w:t>s (bowel)</w:t>
      </w:r>
      <w:r w:rsidR="00D60C15" w:rsidRPr="0040003A">
        <w:rPr>
          <w:rFonts w:cs="Arial"/>
          <w:lang w:val="en"/>
        </w:rPr>
        <w:t xml:space="preserve">. Nevertheless, </w:t>
      </w:r>
      <w:r w:rsidR="0002086A" w:rsidRPr="0040003A">
        <w:rPr>
          <w:rFonts w:cs="Arial"/>
          <w:lang w:val="en"/>
        </w:rPr>
        <w:t>overall this trend showed a slight decline for both sexes in the analysis period</w:t>
      </w:r>
      <w:r w:rsidR="00CA33E9" w:rsidRPr="0040003A">
        <w:rPr>
          <w:rFonts w:cs="Arial"/>
          <w:lang w:val="en"/>
        </w:rPr>
        <w:t xml:space="preserve"> (Figure 11.6)</w:t>
      </w:r>
      <w:r w:rsidR="0002086A" w:rsidRPr="0040003A">
        <w:rPr>
          <w:rFonts w:cs="Arial"/>
          <w:lang w:val="en"/>
        </w:rPr>
        <w:t>.</w:t>
      </w:r>
    </w:p>
    <w:p w14:paraId="1F846C8E" w14:textId="43386B27" w:rsidR="002D0545" w:rsidRPr="0040003A" w:rsidRDefault="0002086A" w:rsidP="0040003A">
      <w:pPr>
        <w:pStyle w:val="DHHSbody"/>
        <w:rPr>
          <w:rFonts w:cs="Arial"/>
          <w:lang w:val="en"/>
        </w:rPr>
      </w:pPr>
      <w:r w:rsidRPr="0040003A">
        <w:rPr>
          <w:rFonts w:cs="Arial"/>
          <w:lang w:val="en"/>
        </w:rPr>
        <w:t xml:space="preserve">For all three reporting years, </w:t>
      </w:r>
      <w:r w:rsidR="001B50BF">
        <w:rPr>
          <w:rFonts w:cs="Arial"/>
          <w:lang w:val="en"/>
        </w:rPr>
        <w:t>A</w:t>
      </w:r>
      <w:r w:rsidRPr="0040003A">
        <w:rPr>
          <w:rFonts w:cs="Arial"/>
          <w:lang w:val="en"/>
        </w:rPr>
        <w:t xml:space="preserve">boriginal </w:t>
      </w:r>
      <w:r w:rsidR="00AF0F53" w:rsidRPr="0040003A">
        <w:rPr>
          <w:rFonts w:cs="Arial"/>
          <w:lang w:val="en"/>
        </w:rPr>
        <w:t>Victorian</w:t>
      </w:r>
      <w:r w:rsidR="00AF0F53">
        <w:rPr>
          <w:rFonts w:cs="Arial"/>
          <w:lang w:val="en"/>
        </w:rPr>
        <w:t>s</w:t>
      </w:r>
      <w:r w:rsidR="00AF0F53" w:rsidRPr="0040003A">
        <w:rPr>
          <w:rFonts w:cs="Arial"/>
          <w:lang w:val="en"/>
        </w:rPr>
        <w:t xml:space="preserve"> </w:t>
      </w:r>
      <w:r w:rsidRPr="0040003A">
        <w:rPr>
          <w:rFonts w:cs="Arial"/>
          <w:lang w:val="en"/>
        </w:rPr>
        <w:t xml:space="preserve">had higher proportions of </w:t>
      </w:r>
      <w:r w:rsidRPr="0040003A">
        <w:rPr>
          <w:rFonts w:cs="Arial"/>
          <w:lang w:eastAsia="en-AU"/>
        </w:rPr>
        <w:t xml:space="preserve">solid tumours diagnosed at </w:t>
      </w:r>
      <w:r w:rsidR="00375C96">
        <w:rPr>
          <w:rFonts w:cs="Arial"/>
          <w:lang w:eastAsia="en-AU"/>
        </w:rPr>
        <w:t xml:space="preserve">the </w:t>
      </w:r>
      <w:r w:rsidRPr="0040003A">
        <w:rPr>
          <w:rFonts w:cs="Arial"/>
          <w:lang w:eastAsia="en-AU"/>
        </w:rPr>
        <w:t xml:space="preserve">metastatic stage </w:t>
      </w:r>
      <w:r w:rsidRPr="0040003A">
        <w:rPr>
          <w:rFonts w:cs="Arial"/>
          <w:lang w:val="en"/>
        </w:rPr>
        <w:t xml:space="preserve">compared </w:t>
      </w:r>
      <w:r w:rsidR="001B50BF">
        <w:rPr>
          <w:rFonts w:cs="Arial"/>
          <w:lang w:val="en"/>
        </w:rPr>
        <w:t>with</w:t>
      </w:r>
      <w:r w:rsidR="001B50BF" w:rsidRPr="0040003A">
        <w:rPr>
          <w:rFonts w:cs="Arial"/>
          <w:lang w:val="en"/>
        </w:rPr>
        <w:t xml:space="preserve"> </w:t>
      </w:r>
      <w:r w:rsidRPr="0040003A">
        <w:rPr>
          <w:rFonts w:cs="Arial"/>
          <w:lang w:val="en"/>
        </w:rPr>
        <w:t>non-</w:t>
      </w:r>
      <w:r w:rsidR="00DC7655">
        <w:rPr>
          <w:rFonts w:cs="Arial"/>
          <w:lang w:val="en"/>
        </w:rPr>
        <w:t>A</w:t>
      </w:r>
      <w:r w:rsidRPr="0040003A">
        <w:rPr>
          <w:rFonts w:cs="Arial"/>
          <w:lang w:val="en"/>
        </w:rPr>
        <w:t xml:space="preserve">boriginal </w:t>
      </w:r>
      <w:r w:rsidR="0088635D">
        <w:rPr>
          <w:rFonts w:cs="Arial"/>
          <w:lang w:val="en"/>
        </w:rPr>
        <w:t>Victorians</w:t>
      </w:r>
      <w:r w:rsidRPr="0040003A">
        <w:rPr>
          <w:rFonts w:cs="Arial"/>
          <w:lang w:val="en"/>
        </w:rPr>
        <w:t>.</w:t>
      </w:r>
      <w:r w:rsidR="00952FC7">
        <w:rPr>
          <w:rFonts w:cs="Arial"/>
          <w:lang w:val="en"/>
        </w:rPr>
        <w:t xml:space="preserve"> </w:t>
      </w:r>
      <w:r w:rsidRPr="0040003A">
        <w:rPr>
          <w:rFonts w:cs="Arial"/>
          <w:lang w:val="en"/>
        </w:rPr>
        <w:t xml:space="preserve">A similar pattern was observed for those whose language spoken at home was not English. This suggests that </w:t>
      </w:r>
      <w:r w:rsidR="001B50BF">
        <w:rPr>
          <w:rFonts w:cs="Arial"/>
          <w:lang w:val="en"/>
        </w:rPr>
        <w:t>A</w:t>
      </w:r>
      <w:r w:rsidRPr="0040003A">
        <w:rPr>
          <w:rFonts w:cs="Arial"/>
          <w:lang w:val="en"/>
        </w:rPr>
        <w:t xml:space="preserve">boriginal </w:t>
      </w:r>
      <w:r w:rsidR="00AF0F53" w:rsidRPr="0040003A">
        <w:rPr>
          <w:rFonts w:cs="Arial"/>
          <w:lang w:val="en"/>
        </w:rPr>
        <w:t xml:space="preserve">Victorian </w:t>
      </w:r>
      <w:r w:rsidRPr="0040003A">
        <w:rPr>
          <w:rFonts w:cs="Arial"/>
          <w:lang w:val="en"/>
        </w:rPr>
        <w:t xml:space="preserve">and </w:t>
      </w:r>
      <w:r w:rsidR="0011089F">
        <w:rPr>
          <w:rFonts w:cs="Arial"/>
          <w:lang w:val="en"/>
        </w:rPr>
        <w:t xml:space="preserve">culturally diverse </w:t>
      </w:r>
      <w:r w:rsidRPr="0040003A">
        <w:rPr>
          <w:rFonts w:cs="Arial"/>
          <w:lang w:val="en"/>
        </w:rPr>
        <w:t xml:space="preserve">communities </w:t>
      </w:r>
      <w:r w:rsidR="001A5CC8">
        <w:rPr>
          <w:rFonts w:cs="Arial"/>
          <w:lang w:val="en"/>
        </w:rPr>
        <w:t>may be</w:t>
      </w:r>
      <w:r w:rsidRPr="0040003A">
        <w:rPr>
          <w:rFonts w:cs="Arial"/>
          <w:lang w:val="en"/>
        </w:rPr>
        <w:t xml:space="preserve"> under-served in </w:t>
      </w:r>
      <w:r w:rsidR="007918DD">
        <w:rPr>
          <w:rFonts w:cs="Arial"/>
          <w:lang w:val="en"/>
        </w:rPr>
        <w:t>early diagnosis</w:t>
      </w:r>
      <w:r w:rsidR="00375C96">
        <w:rPr>
          <w:rFonts w:cs="Arial"/>
          <w:lang w:val="en"/>
        </w:rPr>
        <w:t>,</w:t>
      </w:r>
      <w:r w:rsidR="007918DD">
        <w:rPr>
          <w:rFonts w:cs="Arial"/>
          <w:lang w:val="en"/>
        </w:rPr>
        <w:t xml:space="preserve"> </w:t>
      </w:r>
      <w:r w:rsidRPr="0040003A">
        <w:rPr>
          <w:rFonts w:cs="Arial"/>
          <w:lang w:val="en"/>
        </w:rPr>
        <w:t>making them more vulnerable during the cancer treatment phas</w:t>
      </w:r>
      <w:r w:rsidR="00CA2AD7">
        <w:rPr>
          <w:rFonts w:cs="Arial"/>
          <w:lang w:val="en"/>
        </w:rPr>
        <w:t>e (</w:t>
      </w:r>
      <w:r w:rsidR="00475360">
        <w:rPr>
          <w:rFonts w:cs="Arial"/>
          <w:lang w:val="en"/>
        </w:rPr>
        <w:t>Figure 2.3</w:t>
      </w:r>
      <w:r w:rsidR="00CA2AD7">
        <w:rPr>
          <w:rFonts w:cs="Arial"/>
          <w:lang w:val="en"/>
        </w:rPr>
        <w:t>)</w:t>
      </w:r>
      <w:r w:rsidR="001A5CC8">
        <w:rPr>
          <w:rFonts w:cs="Arial"/>
          <w:lang w:val="en"/>
        </w:rPr>
        <w:t>.</w:t>
      </w:r>
    </w:p>
    <w:p w14:paraId="77A3ED37" w14:textId="2EF1B8D8" w:rsidR="001D0B8B" w:rsidRPr="0040003A" w:rsidRDefault="00CA33E9" w:rsidP="0040003A">
      <w:pPr>
        <w:pStyle w:val="DHHSbody"/>
        <w:rPr>
          <w:rFonts w:cs="Arial"/>
          <w:lang w:val="en"/>
        </w:rPr>
      </w:pPr>
      <w:r w:rsidRPr="0040003A">
        <w:rPr>
          <w:rFonts w:cs="Arial"/>
          <w:lang w:val="en"/>
        </w:rPr>
        <w:t xml:space="preserve">Figure 11.6.1 shows there was no clear association between all tumours diagnosed at </w:t>
      </w:r>
      <w:r w:rsidR="00682D74">
        <w:rPr>
          <w:rFonts w:cs="Arial"/>
          <w:lang w:val="en"/>
        </w:rPr>
        <w:t xml:space="preserve">the </w:t>
      </w:r>
      <w:r w:rsidR="006B0961" w:rsidRPr="0040003A">
        <w:rPr>
          <w:rFonts w:cs="Arial"/>
          <w:lang w:val="en"/>
        </w:rPr>
        <w:t>metastatic</w:t>
      </w:r>
      <w:r w:rsidRPr="0040003A">
        <w:rPr>
          <w:rFonts w:cs="Arial"/>
          <w:lang w:val="en"/>
        </w:rPr>
        <w:t xml:space="preserve"> stage </w:t>
      </w:r>
      <w:r w:rsidR="004F38EB">
        <w:rPr>
          <w:rFonts w:cs="Arial"/>
          <w:lang w:val="en"/>
        </w:rPr>
        <w:t>from 2014 to 2016</w:t>
      </w:r>
      <w:r w:rsidR="006B0961" w:rsidRPr="0040003A">
        <w:rPr>
          <w:rFonts w:cs="Arial"/>
          <w:lang w:val="en"/>
        </w:rPr>
        <w:t xml:space="preserve">. </w:t>
      </w:r>
      <w:r w:rsidR="000B05AA" w:rsidRPr="0040003A">
        <w:rPr>
          <w:rFonts w:cs="Arial"/>
          <w:lang w:val="en"/>
        </w:rPr>
        <w:t>However,</w:t>
      </w:r>
      <w:r w:rsidR="006B0961" w:rsidRPr="0040003A">
        <w:rPr>
          <w:rFonts w:cs="Arial"/>
          <w:lang w:val="en"/>
        </w:rPr>
        <w:t xml:space="preserve"> there was clear associations between </w:t>
      </w:r>
      <w:r w:rsidR="00DE7FFE">
        <w:rPr>
          <w:lang w:eastAsia="en-AU"/>
        </w:rPr>
        <w:t xml:space="preserve">SES </w:t>
      </w:r>
      <w:r w:rsidR="006B0961" w:rsidRPr="0040003A">
        <w:rPr>
          <w:rFonts w:cs="Arial"/>
          <w:lang w:val="en"/>
        </w:rPr>
        <w:t>and patients diagnosed with tumours at a metastatic stage</w:t>
      </w:r>
      <w:r w:rsidR="00272C4F">
        <w:rPr>
          <w:rFonts w:cs="Arial"/>
          <w:lang w:val="en"/>
        </w:rPr>
        <w:t>,</w:t>
      </w:r>
      <w:r w:rsidR="006B0961" w:rsidRPr="0040003A">
        <w:rPr>
          <w:rFonts w:cs="Arial"/>
          <w:lang w:val="en"/>
        </w:rPr>
        <w:t xml:space="preserve"> with those in the lowest quintile having the greatest burden of all tumours being diagnosed at an advanced stage compared </w:t>
      </w:r>
      <w:r w:rsidR="001B50BF">
        <w:rPr>
          <w:rFonts w:cs="Arial"/>
          <w:lang w:val="en"/>
        </w:rPr>
        <w:t>with</w:t>
      </w:r>
      <w:r w:rsidR="001B50BF" w:rsidRPr="0040003A">
        <w:rPr>
          <w:rFonts w:cs="Arial"/>
          <w:lang w:val="en"/>
        </w:rPr>
        <w:t xml:space="preserve"> </w:t>
      </w:r>
      <w:r w:rsidR="006B0961" w:rsidRPr="0040003A">
        <w:rPr>
          <w:rFonts w:cs="Arial"/>
          <w:lang w:val="en"/>
        </w:rPr>
        <w:t>those in the highest quintile.</w:t>
      </w:r>
      <w:r w:rsidR="000B05AA" w:rsidRPr="0040003A">
        <w:rPr>
          <w:rFonts w:cs="Arial"/>
          <w:lang w:val="en"/>
        </w:rPr>
        <w:t xml:space="preserve"> </w:t>
      </w:r>
      <w:r w:rsidR="001A5CC8">
        <w:rPr>
          <w:rFonts w:cs="Arial"/>
          <w:lang w:val="en"/>
        </w:rPr>
        <w:t>This could be driven by individual cancer types such as lung cancer</w:t>
      </w:r>
      <w:r w:rsidR="00272C4F">
        <w:rPr>
          <w:rFonts w:cs="Arial"/>
          <w:lang w:val="en"/>
        </w:rPr>
        <w:t>,</w:t>
      </w:r>
      <w:r w:rsidR="001A5CC8">
        <w:rPr>
          <w:rFonts w:cs="Arial"/>
          <w:lang w:val="en"/>
        </w:rPr>
        <w:t xml:space="preserve"> which is more prevalent in low socioeconomic groups, of which 50 per cent are metastatic at diagnosis. </w:t>
      </w:r>
      <w:r w:rsidR="000B05AA" w:rsidRPr="0040003A">
        <w:rPr>
          <w:rFonts w:cs="Arial"/>
          <w:lang w:val="en"/>
        </w:rPr>
        <w:t>The distribution pattern</w:t>
      </w:r>
      <w:r w:rsidR="00DE0AE2">
        <w:rPr>
          <w:rFonts w:cs="Arial"/>
          <w:lang w:val="en"/>
        </w:rPr>
        <w:t xml:space="preserve"> by remoteness also</w:t>
      </w:r>
      <w:r w:rsidR="000B05AA" w:rsidRPr="0040003A">
        <w:rPr>
          <w:rFonts w:cs="Arial"/>
          <w:lang w:val="en"/>
        </w:rPr>
        <w:t xml:space="preserve"> </w:t>
      </w:r>
      <w:r w:rsidR="00DE0AE2">
        <w:rPr>
          <w:rFonts w:cs="Arial"/>
          <w:lang w:val="en"/>
        </w:rPr>
        <w:t>showed some variability</w:t>
      </w:r>
      <w:r w:rsidR="00272C4F">
        <w:rPr>
          <w:rFonts w:cs="Arial"/>
          <w:lang w:val="en"/>
        </w:rPr>
        <w:t>,</w:t>
      </w:r>
      <w:r w:rsidR="00DE0AE2">
        <w:rPr>
          <w:rFonts w:cs="Arial"/>
          <w:lang w:val="en"/>
        </w:rPr>
        <w:t xml:space="preserve"> with those living in inner regional and outer regional/remote areas </w:t>
      </w:r>
      <w:r w:rsidR="00634CBB">
        <w:rPr>
          <w:rFonts w:cs="Arial"/>
          <w:lang w:val="en"/>
        </w:rPr>
        <w:t xml:space="preserve">compared </w:t>
      </w:r>
      <w:r w:rsidR="001B50BF">
        <w:rPr>
          <w:rFonts w:cs="Arial"/>
          <w:lang w:val="en"/>
        </w:rPr>
        <w:t xml:space="preserve">with </w:t>
      </w:r>
      <w:r w:rsidR="00634CBB">
        <w:rPr>
          <w:rFonts w:cs="Arial"/>
          <w:lang w:val="en"/>
        </w:rPr>
        <w:t xml:space="preserve">major cites </w:t>
      </w:r>
      <w:r w:rsidR="00DE0AE2">
        <w:rPr>
          <w:rFonts w:cs="Arial"/>
          <w:lang w:val="en"/>
        </w:rPr>
        <w:t xml:space="preserve">more likely to have patients with tumours diagnosed at </w:t>
      </w:r>
      <w:r w:rsidR="00272C4F">
        <w:rPr>
          <w:rFonts w:cs="Arial"/>
          <w:lang w:val="en"/>
        </w:rPr>
        <w:t xml:space="preserve">a </w:t>
      </w:r>
      <w:r w:rsidR="00DE0AE2">
        <w:rPr>
          <w:rFonts w:cs="Arial"/>
          <w:lang w:val="en"/>
        </w:rPr>
        <w:t>metastatic stage</w:t>
      </w:r>
      <w:r w:rsidR="001A5CC8">
        <w:rPr>
          <w:rFonts w:cs="Arial"/>
          <w:lang w:val="en"/>
        </w:rPr>
        <w:t xml:space="preserve"> </w:t>
      </w:r>
      <w:r w:rsidR="00634CBB">
        <w:rPr>
          <w:rFonts w:cs="Arial"/>
          <w:lang w:val="en"/>
        </w:rPr>
        <w:t>(Table 11.6.1</w:t>
      </w:r>
      <w:r w:rsidR="000B7E29">
        <w:rPr>
          <w:rFonts w:cs="Arial"/>
          <w:lang w:val="en"/>
        </w:rPr>
        <w:t>, Appendix 2</w:t>
      </w:r>
      <w:r w:rsidR="00634CBB">
        <w:rPr>
          <w:rFonts w:cs="Arial"/>
          <w:lang w:val="en"/>
        </w:rPr>
        <w:t>).</w:t>
      </w:r>
    </w:p>
    <w:p w14:paraId="4E409E73" w14:textId="0A3B7511" w:rsidR="00421626" w:rsidRPr="0040003A" w:rsidRDefault="001D0B8B" w:rsidP="0040003A">
      <w:pPr>
        <w:pStyle w:val="DHHSbody"/>
        <w:rPr>
          <w:rFonts w:cs="Arial"/>
          <w:lang w:val="en"/>
        </w:rPr>
      </w:pPr>
      <w:r w:rsidRPr="0040003A">
        <w:rPr>
          <w:rFonts w:cs="Arial"/>
          <w:lang w:val="en"/>
        </w:rPr>
        <w:t>While no target has been set for this measure</w:t>
      </w:r>
      <w:r w:rsidR="00272C4F">
        <w:rPr>
          <w:rFonts w:cs="Arial"/>
          <w:lang w:val="en"/>
        </w:rPr>
        <w:t>,</w:t>
      </w:r>
      <w:r w:rsidRPr="0040003A">
        <w:rPr>
          <w:rFonts w:cs="Arial"/>
          <w:lang w:val="en"/>
        </w:rPr>
        <w:t xml:space="preserve"> </w:t>
      </w:r>
      <w:r w:rsidR="006C401D" w:rsidRPr="0040003A">
        <w:rPr>
          <w:rFonts w:cs="Arial"/>
          <w:lang w:val="en"/>
        </w:rPr>
        <w:t>knowing</w:t>
      </w:r>
      <w:r w:rsidR="002D0545" w:rsidRPr="0040003A">
        <w:rPr>
          <w:rFonts w:cs="Arial"/>
          <w:lang w:val="en"/>
        </w:rPr>
        <w:t xml:space="preserve"> </w:t>
      </w:r>
      <w:r w:rsidR="00421626" w:rsidRPr="0040003A">
        <w:rPr>
          <w:rFonts w:cs="Arial"/>
          <w:lang w:val="en"/>
        </w:rPr>
        <w:t xml:space="preserve">the distribution of </w:t>
      </w:r>
      <w:r w:rsidR="00B05028" w:rsidRPr="0040003A">
        <w:rPr>
          <w:rFonts w:cs="Arial"/>
          <w:lang w:val="en"/>
        </w:rPr>
        <w:t>all solid tumours</w:t>
      </w:r>
      <w:r w:rsidR="00D91405" w:rsidRPr="0040003A">
        <w:rPr>
          <w:rFonts w:cs="Arial"/>
          <w:lang w:val="en"/>
        </w:rPr>
        <w:t xml:space="preserve"> diagnosed </w:t>
      </w:r>
      <w:r w:rsidR="00272C4F">
        <w:rPr>
          <w:rFonts w:cs="Arial"/>
          <w:lang w:val="en"/>
        </w:rPr>
        <w:t xml:space="preserve">at </w:t>
      </w:r>
      <w:r w:rsidR="00D91405" w:rsidRPr="0040003A">
        <w:rPr>
          <w:rFonts w:cs="Arial"/>
          <w:lang w:val="en"/>
        </w:rPr>
        <w:t xml:space="preserve">a metastatic stage </w:t>
      </w:r>
      <w:r w:rsidR="00421626" w:rsidRPr="0040003A">
        <w:rPr>
          <w:rFonts w:cs="Arial"/>
          <w:lang w:val="en"/>
        </w:rPr>
        <w:t>is crucial to understanding variations in survival</w:t>
      </w:r>
      <w:r w:rsidR="002D0545" w:rsidRPr="0040003A">
        <w:rPr>
          <w:rFonts w:cs="Arial"/>
          <w:lang w:val="en"/>
        </w:rPr>
        <w:t xml:space="preserve"> </w:t>
      </w:r>
      <w:r w:rsidR="00421626" w:rsidRPr="0040003A">
        <w:rPr>
          <w:rFonts w:cs="Arial"/>
          <w:lang w:val="en"/>
        </w:rPr>
        <w:t xml:space="preserve">and can </w:t>
      </w:r>
      <w:r w:rsidR="002D0545" w:rsidRPr="0040003A">
        <w:rPr>
          <w:rFonts w:cs="Arial"/>
          <w:lang w:val="en"/>
        </w:rPr>
        <w:t xml:space="preserve">help </w:t>
      </w:r>
      <w:r w:rsidR="00421626" w:rsidRPr="0040003A">
        <w:rPr>
          <w:rFonts w:cs="Arial"/>
          <w:lang w:val="en"/>
        </w:rPr>
        <w:t xml:space="preserve">inform where targeted cancer control strategies </w:t>
      </w:r>
      <w:r w:rsidR="002D0545" w:rsidRPr="0040003A">
        <w:rPr>
          <w:rFonts w:cs="Arial"/>
          <w:lang w:val="en"/>
        </w:rPr>
        <w:t>such as screening</w:t>
      </w:r>
      <w:r w:rsidR="00272C4F">
        <w:rPr>
          <w:rFonts w:cs="Arial"/>
          <w:lang w:val="en"/>
        </w:rPr>
        <w:t>,</w:t>
      </w:r>
      <w:r w:rsidR="002D0545" w:rsidRPr="0040003A">
        <w:rPr>
          <w:rFonts w:cs="Arial"/>
          <w:lang w:val="en"/>
        </w:rPr>
        <w:t xml:space="preserve"> </w:t>
      </w:r>
      <w:r w:rsidR="007918DD">
        <w:rPr>
          <w:rFonts w:cs="Arial"/>
          <w:lang w:val="en"/>
        </w:rPr>
        <w:t xml:space="preserve">and improved early </w:t>
      </w:r>
      <w:r w:rsidR="0088635D">
        <w:rPr>
          <w:rFonts w:cs="Arial"/>
          <w:lang w:val="en"/>
        </w:rPr>
        <w:t>detection/</w:t>
      </w:r>
      <w:r w:rsidR="007918DD">
        <w:rPr>
          <w:rFonts w:cs="Arial"/>
          <w:lang w:val="en"/>
        </w:rPr>
        <w:t xml:space="preserve">diagnosis of cancer </w:t>
      </w:r>
      <w:r w:rsidR="00421626" w:rsidRPr="0040003A">
        <w:rPr>
          <w:rFonts w:cs="Arial"/>
          <w:lang w:val="en"/>
        </w:rPr>
        <w:t>can be applied to reduce the proportion of cancers diagnosed at an advanced stage</w:t>
      </w:r>
      <w:r w:rsidR="00D91405" w:rsidRPr="0040003A">
        <w:rPr>
          <w:rFonts w:cs="Arial"/>
          <w:lang w:val="en"/>
        </w:rPr>
        <w:t xml:space="preserve"> (stage </w:t>
      </w:r>
      <w:r w:rsidR="00D13225">
        <w:rPr>
          <w:rFonts w:cs="Arial"/>
          <w:lang w:val="en"/>
        </w:rPr>
        <w:t>4</w:t>
      </w:r>
      <w:r w:rsidR="00D91405" w:rsidRPr="0040003A">
        <w:rPr>
          <w:rFonts w:cs="Arial"/>
          <w:lang w:val="en"/>
        </w:rPr>
        <w:t>)</w:t>
      </w:r>
      <w:r w:rsidR="002D0545" w:rsidRPr="0040003A">
        <w:rPr>
          <w:rFonts w:cs="Arial"/>
          <w:lang w:val="en"/>
        </w:rPr>
        <w:t>.</w:t>
      </w:r>
    </w:p>
    <w:p w14:paraId="4070B8EB" w14:textId="1E748A70" w:rsidR="00CC52BE" w:rsidRPr="00B91C4A" w:rsidRDefault="00CC52BE" w:rsidP="007D6BCA">
      <w:pPr>
        <w:pStyle w:val="Heading1"/>
      </w:pPr>
      <w:r w:rsidRPr="0040003A">
        <w:rPr>
          <w:rFonts w:cs="Arial"/>
          <w:color w:val="auto"/>
        </w:rPr>
        <w:br w:type="page"/>
      </w:r>
      <w:bookmarkStart w:id="648" w:name="_Toc19008117"/>
      <w:bookmarkStart w:id="649" w:name="_Toc33457076"/>
      <w:r w:rsidRPr="00B91C4A">
        <w:lastRenderedPageBreak/>
        <w:t>Outcome: Optimal diagnostics and treatment</w:t>
      </w:r>
      <w:bookmarkEnd w:id="648"/>
      <w:bookmarkEnd w:id="649"/>
    </w:p>
    <w:p w14:paraId="3F72E025" w14:textId="418076F6" w:rsidR="00DF376C" w:rsidRPr="00B91C4A" w:rsidRDefault="00DF376C" w:rsidP="006053E7">
      <w:pPr>
        <w:pStyle w:val="Heading2"/>
      </w:pPr>
      <w:bookmarkStart w:id="650" w:name="_Toc19008118"/>
      <w:bookmarkStart w:id="651" w:name="_Toc33457077"/>
      <w:r w:rsidRPr="00B91C4A">
        <w:t xml:space="preserve">Key result: Increase adherence to </w:t>
      </w:r>
      <w:r w:rsidR="0088635D" w:rsidRPr="00B91C4A">
        <w:t>O</w:t>
      </w:r>
      <w:r w:rsidRPr="00B91C4A">
        <w:t xml:space="preserve">ptimal </w:t>
      </w:r>
      <w:r w:rsidR="0088635D" w:rsidRPr="00B91C4A">
        <w:t>C</w:t>
      </w:r>
      <w:r w:rsidRPr="00B91C4A">
        <w:t xml:space="preserve">are </w:t>
      </w:r>
      <w:r w:rsidR="0088635D" w:rsidRPr="00B91C4A">
        <w:t>P</w:t>
      </w:r>
      <w:r w:rsidRPr="00B91C4A">
        <w:t>athways</w:t>
      </w:r>
      <w:bookmarkEnd w:id="650"/>
      <w:bookmarkEnd w:id="651"/>
    </w:p>
    <w:p w14:paraId="350DBDF0" w14:textId="79A342E0" w:rsidR="00DF376C" w:rsidRDefault="00DF376C" w:rsidP="00DF376C">
      <w:pPr>
        <w:pStyle w:val="Heading3"/>
        <w:rPr>
          <w:lang w:eastAsia="en-AU"/>
        </w:rPr>
      </w:pPr>
      <w:bookmarkStart w:id="652" w:name="_Measure_12.1_–"/>
      <w:bookmarkStart w:id="653" w:name="_Toc19008119"/>
      <w:bookmarkEnd w:id="652"/>
      <w:r w:rsidRPr="008672A2">
        <w:rPr>
          <w:lang w:eastAsia="en-AU"/>
        </w:rPr>
        <w:t>Measure 12.1 – Median days from diagnosis to start of primary curative treatment</w:t>
      </w:r>
      <w:bookmarkEnd w:id="653"/>
      <w:r w:rsidR="002D2F81">
        <w:rPr>
          <w:lang w:eastAsia="en-AU"/>
        </w:rPr>
        <w:t xml:space="preserve"> </w:t>
      </w:r>
    </w:p>
    <w:p w14:paraId="17DA433C" w14:textId="77777777" w:rsidR="00480FF9" w:rsidRDefault="00E57023" w:rsidP="00480FF9">
      <w:pPr>
        <w:pStyle w:val="DHHSfigurecaption"/>
      </w:pPr>
      <w:bookmarkStart w:id="654" w:name="_Toc19008120"/>
      <w:bookmarkStart w:id="655" w:name="_Toc19008340"/>
      <w:bookmarkStart w:id="656" w:name="_Toc19008487"/>
      <w:bookmarkStart w:id="657" w:name="_Toc19008634"/>
      <w:bookmarkStart w:id="658" w:name="_Toc27414342"/>
      <w:r w:rsidRPr="00E57023">
        <w:t>Figure 12.1</w:t>
      </w:r>
      <w:r w:rsidR="00CA2AD7">
        <w:t>:</w:t>
      </w:r>
      <w:r w:rsidRPr="00E57023">
        <w:t xml:space="preserve"> Median days </w:t>
      </w:r>
      <w:r w:rsidR="00FE4810">
        <w:t xml:space="preserve">(and interquartile range) </w:t>
      </w:r>
      <w:r w:rsidRPr="00E57023">
        <w:t>from diagnosis to start of primary curative treatment (overall)</w:t>
      </w:r>
      <w:r w:rsidR="00682D74">
        <w:t>,</w:t>
      </w:r>
      <w:r w:rsidRPr="00E57023">
        <w:t xml:space="preserve"> by year, 2014 and 2016</w:t>
      </w:r>
      <w:bookmarkEnd w:id="654"/>
      <w:bookmarkEnd w:id="655"/>
      <w:bookmarkEnd w:id="656"/>
      <w:bookmarkEnd w:id="657"/>
      <w:bookmarkEnd w:id="658"/>
    </w:p>
    <w:p w14:paraId="51935171" w14:textId="4B946B04" w:rsidR="00E57023" w:rsidRPr="00E57023" w:rsidRDefault="0086297D" w:rsidP="00480FF9">
      <w:pPr>
        <w:pStyle w:val="DHHSbody"/>
      </w:pPr>
      <w:r>
        <w:rPr>
          <w:noProof/>
        </w:rPr>
        <w:drawing>
          <wp:inline distT="0" distB="0" distL="0" distR="0" wp14:anchorId="24E78C7E" wp14:editId="5299A051">
            <wp:extent cx="6743700" cy="6743700"/>
            <wp:effectExtent l="0" t="0" r="0" b="0"/>
            <wp:docPr id="73" name="Picture 73" descr="This figure shows a data summary of 'Measure 12.1 – Median days from diagnosis to start of primary curative treatment' (overall) The data set is available under 'Measure 12.1 – Median days from diagnosis to start of primary curative treatment' in a separate volume, the Victorian cancer plan monitoring and evaluation framework: baseline report: Appendix 2: Datasets available on Cancer care &lt;https://www2.health.vic.gov.au/about/health-strategies/cancer-care&g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743700" cy="6743700"/>
                    </a:xfrm>
                    <a:prstGeom prst="rect">
                      <a:avLst/>
                    </a:prstGeom>
                    <a:noFill/>
                    <a:ln>
                      <a:noFill/>
                    </a:ln>
                  </pic:spPr>
                </pic:pic>
              </a:graphicData>
            </a:graphic>
          </wp:inline>
        </w:drawing>
      </w:r>
    </w:p>
    <w:p w14:paraId="0062D23F" w14:textId="77777777" w:rsidR="0051323D" w:rsidRDefault="0051323D">
      <w:pPr>
        <w:rPr>
          <w:rFonts w:ascii="Arial" w:eastAsia="Times" w:hAnsi="Arial"/>
          <w:i/>
          <w:sz w:val="18"/>
          <w:szCs w:val="18"/>
        </w:rPr>
      </w:pPr>
      <w:r>
        <w:rPr>
          <w:i/>
          <w:sz w:val="18"/>
          <w:szCs w:val="18"/>
        </w:rPr>
        <w:br w:type="page"/>
      </w:r>
    </w:p>
    <w:p w14:paraId="467AFBB4" w14:textId="6E4FA466" w:rsidR="001242C2" w:rsidRPr="001242C2" w:rsidRDefault="001242C2" w:rsidP="00F11801">
      <w:pPr>
        <w:pStyle w:val="DHHStablefigurenote"/>
      </w:pPr>
      <w:r w:rsidRPr="001242C2">
        <w:lastRenderedPageBreak/>
        <w:t>Note:</w:t>
      </w:r>
    </w:p>
    <w:p w14:paraId="569BF18D" w14:textId="0ED283B0" w:rsidR="001242C2" w:rsidRDefault="001242C2" w:rsidP="00160602">
      <w:pPr>
        <w:pStyle w:val="DHHStablefigurenote"/>
        <w:numPr>
          <w:ilvl w:val="0"/>
          <w:numId w:val="54"/>
        </w:numPr>
        <w:rPr>
          <w:rFonts w:cs="Arial"/>
        </w:rPr>
      </w:pPr>
      <w:r w:rsidRPr="001242C2">
        <w:rPr>
          <w:rFonts w:cs="Arial"/>
        </w:rPr>
        <w:t xml:space="preserve">Patients who had a diagnosis that did not fall within one of the major tumour streams were grouped together in a new grouping called </w:t>
      </w:r>
      <w:r w:rsidR="00BB150E">
        <w:rPr>
          <w:rFonts w:cs="Arial"/>
        </w:rPr>
        <w:t>‘</w:t>
      </w:r>
      <w:r w:rsidRPr="001242C2">
        <w:rPr>
          <w:rFonts w:cs="Arial"/>
        </w:rPr>
        <w:t>Other</w:t>
      </w:r>
      <w:r w:rsidR="00BB150E">
        <w:rPr>
          <w:rFonts w:cs="Arial"/>
        </w:rPr>
        <w:t>’</w:t>
      </w:r>
      <w:r w:rsidRPr="001242C2">
        <w:rPr>
          <w:rFonts w:cs="Arial"/>
        </w:rPr>
        <w:t>.</w:t>
      </w:r>
    </w:p>
    <w:p w14:paraId="378E9C71" w14:textId="531501D9" w:rsidR="001242C2" w:rsidRDefault="001242C2" w:rsidP="00160602">
      <w:pPr>
        <w:pStyle w:val="DHHStablefigurenote"/>
        <w:numPr>
          <w:ilvl w:val="0"/>
          <w:numId w:val="55"/>
        </w:numPr>
        <w:rPr>
          <w:rFonts w:cs="Arial"/>
        </w:rPr>
      </w:pPr>
      <w:r w:rsidRPr="001242C2">
        <w:rPr>
          <w:rFonts w:cs="Arial"/>
        </w:rPr>
        <w:t xml:space="preserve">If a patient had more than </w:t>
      </w:r>
      <w:r w:rsidR="00682D74">
        <w:rPr>
          <w:rFonts w:cs="Arial"/>
        </w:rPr>
        <w:t>one</w:t>
      </w:r>
      <w:r w:rsidRPr="001242C2">
        <w:rPr>
          <w:rFonts w:cs="Arial"/>
        </w:rPr>
        <w:t xml:space="preserve"> diagnosis within the same tumour stream (excluding </w:t>
      </w:r>
      <w:r w:rsidR="00BB150E">
        <w:rPr>
          <w:rFonts w:cs="Arial"/>
        </w:rPr>
        <w:t>‘</w:t>
      </w:r>
      <w:r w:rsidRPr="001242C2">
        <w:rPr>
          <w:rFonts w:cs="Arial"/>
        </w:rPr>
        <w:t>Other</w:t>
      </w:r>
      <w:r w:rsidR="00BB150E">
        <w:rPr>
          <w:rFonts w:cs="Arial"/>
        </w:rPr>
        <w:t>’</w:t>
      </w:r>
      <w:r w:rsidRPr="001242C2">
        <w:rPr>
          <w:rFonts w:cs="Arial"/>
        </w:rPr>
        <w:t xml:space="preserve"> tumour stream) within the year of consideration, only the earliest diagnosis was retained.</w:t>
      </w:r>
    </w:p>
    <w:p w14:paraId="237269A8" w14:textId="28CF68A6" w:rsidR="001242C2" w:rsidRPr="001242C2" w:rsidRDefault="001242C2" w:rsidP="00160602">
      <w:pPr>
        <w:pStyle w:val="DHHStablefigurenote"/>
        <w:numPr>
          <w:ilvl w:val="0"/>
          <w:numId w:val="55"/>
        </w:numPr>
        <w:rPr>
          <w:rFonts w:cs="Arial"/>
        </w:rPr>
      </w:pPr>
      <w:r w:rsidRPr="001242C2">
        <w:rPr>
          <w:rFonts w:cs="Arial"/>
        </w:rPr>
        <w:t xml:space="preserve">For patients in the </w:t>
      </w:r>
      <w:r w:rsidR="00CA2AD7">
        <w:rPr>
          <w:rFonts w:cs="Arial"/>
        </w:rPr>
        <w:t>‘</w:t>
      </w:r>
      <w:r w:rsidRPr="001242C2">
        <w:rPr>
          <w:rFonts w:cs="Arial"/>
        </w:rPr>
        <w:t>Other</w:t>
      </w:r>
      <w:r w:rsidR="00CA2AD7">
        <w:rPr>
          <w:rFonts w:cs="Arial"/>
        </w:rPr>
        <w:t>’</w:t>
      </w:r>
      <w:r w:rsidRPr="001242C2">
        <w:rPr>
          <w:rFonts w:cs="Arial"/>
        </w:rPr>
        <w:t xml:space="preserve"> tumour stream, if a patient had more than </w:t>
      </w:r>
      <w:r w:rsidR="00682D74">
        <w:rPr>
          <w:rFonts w:cs="Arial"/>
        </w:rPr>
        <w:t>one</w:t>
      </w:r>
      <w:r w:rsidRPr="001242C2">
        <w:rPr>
          <w:rFonts w:cs="Arial"/>
        </w:rPr>
        <w:t xml:space="preserve"> diagnosis with the same </w:t>
      </w:r>
      <w:r w:rsidR="00682D74">
        <w:rPr>
          <w:rFonts w:cs="Arial"/>
        </w:rPr>
        <w:t>three-</w:t>
      </w:r>
      <w:r w:rsidRPr="001242C2">
        <w:rPr>
          <w:rFonts w:cs="Arial"/>
        </w:rPr>
        <w:t>digit ICD10 code, the earliest diagnosis was retained.</w:t>
      </w:r>
    </w:p>
    <w:p w14:paraId="2DF1B3B3" w14:textId="17A5F8C1" w:rsidR="001242C2" w:rsidRDefault="001242C2" w:rsidP="00160602">
      <w:pPr>
        <w:pStyle w:val="DHHStablefigurenote"/>
        <w:numPr>
          <w:ilvl w:val="0"/>
          <w:numId w:val="54"/>
        </w:numPr>
        <w:rPr>
          <w:rFonts w:cs="Arial"/>
        </w:rPr>
      </w:pPr>
      <w:r w:rsidRPr="001242C2">
        <w:rPr>
          <w:rFonts w:cs="Arial"/>
        </w:rPr>
        <w:t>For patients who had a diagnosis within one of the major tumour streams, they were:</w:t>
      </w:r>
    </w:p>
    <w:p w14:paraId="2C879B24" w14:textId="70EC49F2" w:rsidR="001242C2" w:rsidRDefault="001242C2" w:rsidP="00160602">
      <w:pPr>
        <w:pStyle w:val="DHHStablefigurenote"/>
        <w:numPr>
          <w:ilvl w:val="1"/>
          <w:numId w:val="54"/>
        </w:numPr>
        <w:rPr>
          <w:rFonts w:cs="Arial"/>
        </w:rPr>
      </w:pPr>
      <w:r w:rsidRPr="001242C2">
        <w:rPr>
          <w:rFonts w:cs="Arial"/>
        </w:rPr>
        <w:t>flagged as having had surgery if they had an admitted episode in the VAED with a tumour stream specific surgery code in one of the operation codes</w:t>
      </w:r>
    </w:p>
    <w:p w14:paraId="695787FF" w14:textId="3A6FDFDF" w:rsidR="001242C2" w:rsidRDefault="001242C2" w:rsidP="00160602">
      <w:pPr>
        <w:pStyle w:val="DHHStablefigurenote"/>
        <w:numPr>
          <w:ilvl w:val="1"/>
          <w:numId w:val="54"/>
        </w:numPr>
        <w:rPr>
          <w:rFonts w:cs="Arial"/>
        </w:rPr>
      </w:pPr>
      <w:r w:rsidRPr="001242C2">
        <w:rPr>
          <w:rFonts w:cs="Arial"/>
        </w:rPr>
        <w:t>flagged as having had chemotherapy if they had an admitted episode in the VAED with a chemotherapy code AND a tumour stream specific ICD10 code within the diagnosis codes</w:t>
      </w:r>
    </w:p>
    <w:p w14:paraId="5E092C42" w14:textId="77777777" w:rsidR="001242C2" w:rsidRPr="001242C2" w:rsidRDefault="001242C2" w:rsidP="00160602">
      <w:pPr>
        <w:pStyle w:val="DHHStablefigurenote"/>
        <w:numPr>
          <w:ilvl w:val="1"/>
          <w:numId w:val="54"/>
        </w:numPr>
        <w:rPr>
          <w:rFonts w:cs="Arial"/>
        </w:rPr>
      </w:pPr>
      <w:r w:rsidRPr="001242C2">
        <w:rPr>
          <w:rFonts w:cs="Arial"/>
        </w:rPr>
        <w:t>flagged as having had radiotherapy if they had radical radiotherapy with a primary site that matched any ICD10 codes within their tumour stream.</w:t>
      </w:r>
    </w:p>
    <w:p w14:paraId="20F3CC06" w14:textId="3C739D8C" w:rsidR="001242C2" w:rsidRPr="001242C2" w:rsidRDefault="001242C2" w:rsidP="00160602">
      <w:pPr>
        <w:pStyle w:val="DHHStablefigurenote"/>
        <w:numPr>
          <w:ilvl w:val="0"/>
          <w:numId w:val="54"/>
        </w:numPr>
        <w:rPr>
          <w:rFonts w:cs="Arial"/>
        </w:rPr>
      </w:pPr>
      <w:r w:rsidRPr="001242C2">
        <w:rPr>
          <w:rFonts w:cs="Arial"/>
        </w:rPr>
        <w:t xml:space="preserve">For patients who had a diagnosis that did not fall within one of the major tumour streams (in the </w:t>
      </w:r>
      <w:r w:rsidR="00CA2AD7">
        <w:rPr>
          <w:rFonts w:cs="Arial"/>
        </w:rPr>
        <w:t>‘</w:t>
      </w:r>
      <w:r w:rsidRPr="001242C2">
        <w:rPr>
          <w:rFonts w:cs="Arial"/>
        </w:rPr>
        <w:t>Other</w:t>
      </w:r>
      <w:r w:rsidR="00CA2AD7">
        <w:rPr>
          <w:rFonts w:cs="Arial"/>
        </w:rPr>
        <w:t>’</w:t>
      </w:r>
      <w:r w:rsidRPr="001242C2">
        <w:rPr>
          <w:rFonts w:cs="Arial"/>
        </w:rPr>
        <w:t xml:space="preserve"> grouping), they were:</w:t>
      </w:r>
    </w:p>
    <w:p w14:paraId="43E6D92C" w14:textId="273BF9BA" w:rsidR="001242C2" w:rsidRPr="001242C2" w:rsidRDefault="001242C2" w:rsidP="00160602">
      <w:pPr>
        <w:pStyle w:val="DHHStablefigurenote"/>
        <w:numPr>
          <w:ilvl w:val="0"/>
          <w:numId w:val="56"/>
        </w:numPr>
        <w:rPr>
          <w:rFonts w:cs="Arial"/>
        </w:rPr>
      </w:pPr>
      <w:r w:rsidRPr="001242C2">
        <w:rPr>
          <w:rFonts w:cs="Arial"/>
        </w:rPr>
        <w:t>flagged as having had surgery if they had an admitted episode in the VAED with a surgery code related to any of the major tumour streams in the operation codes</w:t>
      </w:r>
    </w:p>
    <w:p w14:paraId="0A264268" w14:textId="42E82378" w:rsidR="001242C2" w:rsidRPr="001242C2" w:rsidRDefault="001242C2" w:rsidP="00160602">
      <w:pPr>
        <w:pStyle w:val="DHHStablefigurenote"/>
        <w:numPr>
          <w:ilvl w:val="0"/>
          <w:numId w:val="56"/>
        </w:numPr>
        <w:rPr>
          <w:rFonts w:cs="Arial"/>
        </w:rPr>
      </w:pPr>
      <w:r w:rsidRPr="001242C2">
        <w:rPr>
          <w:rFonts w:cs="Arial"/>
        </w:rPr>
        <w:t>flagged as having had chemotherapy if they had an admitted episode in the VAED with a chemotherapy code</w:t>
      </w:r>
    </w:p>
    <w:p w14:paraId="78CE45F4" w14:textId="77777777" w:rsidR="001242C2" w:rsidRPr="001242C2" w:rsidRDefault="001242C2" w:rsidP="00160602">
      <w:pPr>
        <w:pStyle w:val="DHHStablefigurenote"/>
        <w:numPr>
          <w:ilvl w:val="0"/>
          <w:numId w:val="56"/>
        </w:numPr>
        <w:rPr>
          <w:rFonts w:cs="Arial"/>
        </w:rPr>
      </w:pPr>
      <w:r w:rsidRPr="001242C2">
        <w:rPr>
          <w:rFonts w:cs="Arial"/>
        </w:rPr>
        <w:t>flagged as having had radiotherapy if they had any radical radiotherapy.</w:t>
      </w:r>
    </w:p>
    <w:p w14:paraId="1C5E87FF" w14:textId="77777777" w:rsidR="001242C2" w:rsidRPr="001242C2" w:rsidRDefault="001242C2" w:rsidP="00160602">
      <w:pPr>
        <w:pStyle w:val="DHHStablefigurenote"/>
        <w:numPr>
          <w:ilvl w:val="0"/>
          <w:numId w:val="54"/>
        </w:numPr>
        <w:rPr>
          <w:rFonts w:cs="Arial"/>
        </w:rPr>
      </w:pPr>
      <w:r w:rsidRPr="001242C2">
        <w:rPr>
          <w:rFonts w:cs="Arial"/>
        </w:rPr>
        <w:t>Metastatic disease at diagnosis was determined by:</w:t>
      </w:r>
    </w:p>
    <w:p w14:paraId="1A926620" w14:textId="123512F6" w:rsidR="002A0C12" w:rsidRDefault="002A0C12" w:rsidP="00160602">
      <w:pPr>
        <w:pStyle w:val="DHHStablefigurenote"/>
        <w:numPr>
          <w:ilvl w:val="0"/>
          <w:numId w:val="57"/>
        </w:numPr>
        <w:rPr>
          <w:rFonts w:cs="Arial"/>
        </w:rPr>
      </w:pPr>
      <w:r>
        <w:rPr>
          <w:rFonts w:cs="Arial"/>
        </w:rPr>
        <w:t>Patients with a metastatic diagnosis were excluded</w:t>
      </w:r>
    </w:p>
    <w:p w14:paraId="7193F9E8" w14:textId="306B2C62" w:rsidR="001242C2" w:rsidRPr="001242C2" w:rsidRDefault="001242C2" w:rsidP="00160602">
      <w:pPr>
        <w:pStyle w:val="DHHStablefigurenote"/>
        <w:numPr>
          <w:ilvl w:val="0"/>
          <w:numId w:val="57"/>
        </w:numPr>
        <w:rPr>
          <w:rFonts w:cs="Arial"/>
        </w:rPr>
      </w:pPr>
      <w:r w:rsidRPr="001242C2">
        <w:rPr>
          <w:rFonts w:cs="Arial"/>
        </w:rPr>
        <w:t>VCR TNM-M (M1)</w:t>
      </w:r>
    </w:p>
    <w:p w14:paraId="79C77E04" w14:textId="31DF6432" w:rsidR="00F73368" w:rsidRPr="00B90FCA" w:rsidRDefault="000D4B35" w:rsidP="00160602">
      <w:pPr>
        <w:pStyle w:val="DHHStablefigurenote"/>
        <w:numPr>
          <w:ilvl w:val="0"/>
          <w:numId w:val="57"/>
        </w:numPr>
        <w:rPr>
          <w:rFonts w:cs="Arial"/>
        </w:rPr>
      </w:pPr>
      <w:r>
        <w:rPr>
          <w:rFonts w:cs="Arial"/>
        </w:rPr>
        <w:t>a</w:t>
      </w:r>
      <w:r w:rsidR="001242C2" w:rsidRPr="001242C2">
        <w:rPr>
          <w:rFonts w:cs="Arial"/>
        </w:rPr>
        <w:t xml:space="preserve">dmitted episodes in the VAED, between </w:t>
      </w:r>
      <w:r w:rsidR="008869C1">
        <w:rPr>
          <w:rFonts w:cs="Arial"/>
        </w:rPr>
        <w:t>30</w:t>
      </w:r>
      <w:r w:rsidR="008869C1" w:rsidRPr="001242C2">
        <w:rPr>
          <w:rFonts w:cs="Arial"/>
        </w:rPr>
        <w:t xml:space="preserve"> </w:t>
      </w:r>
      <w:r w:rsidR="001242C2" w:rsidRPr="001242C2">
        <w:rPr>
          <w:rFonts w:cs="Arial"/>
        </w:rPr>
        <w:t xml:space="preserve">days prior and four months after diagnosis date, </w:t>
      </w:r>
      <w:r w:rsidR="007A17B2">
        <w:rPr>
          <w:rFonts w:cs="Arial"/>
        </w:rPr>
        <w:t>that</w:t>
      </w:r>
      <w:r w:rsidR="007A17B2" w:rsidRPr="001242C2">
        <w:rPr>
          <w:rFonts w:cs="Arial"/>
        </w:rPr>
        <w:t xml:space="preserve"> </w:t>
      </w:r>
      <w:r w:rsidR="001242C2" w:rsidRPr="001242C2">
        <w:rPr>
          <w:rFonts w:cs="Arial"/>
        </w:rPr>
        <w:t>contained metastatic cancer diagnosis codes (neoplasm and morphology codes).</w:t>
      </w:r>
    </w:p>
    <w:p w14:paraId="30608137" w14:textId="01BE6F44" w:rsidR="00842B03" w:rsidRPr="0020440A" w:rsidRDefault="0020440A" w:rsidP="00F11801">
      <w:pPr>
        <w:pStyle w:val="DHHStablefigurenote"/>
        <w:rPr>
          <w:b/>
        </w:rPr>
      </w:pPr>
      <w:r w:rsidRPr="00D53842">
        <w:rPr>
          <w:color w:val="000000"/>
        </w:rPr>
        <w:t>Appendix 2 provides the dataset.</w:t>
      </w:r>
      <w:r w:rsidR="00842B03">
        <w:rPr>
          <w:b/>
        </w:rPr>
        <w:br w:type="page"/>
      </w:r>
    </w:p>
    <w:p w14:paraId="7DCBA8C6" w14:textId="6F5E8195" w:rsidR="00E57023" w:rsidRDefault="00E57023" w:rsidP="00867A76">
      <w:pPr>
        <w:pStyle w:val="DHHSfigurecaption"/>
      </w:pPr>
      <w:bookmarkStart w:id="659" w:name="_Toc19008121"/>
      <w:bookmarkStart w:id="660" w:name="_Toc19008341"/>
      <w:bookmarkStart w:id="661" w:name="_Toc19008488"/>
      <w:bookmarkStart w:id="662" w:name="_Toc19008635"/>
      <w:bookmarkStart w:id="663" w:name="_Toc27414343"/>
      <w:r w:rsidRPr="00E57023">
        <w:lastRenderedPageBreak/>
        <w:t>Figure 12.</w:t>
      </w:r>
      <w:r w:rsidR="00FA5553">
        <w:t>1.</w:t>
      </w:r>
      <w:r w:rsidR="00746ED0">
        <w:t>1</w:t>
      </w:r>
      <w:r w:rsidR="00CA2AD7">
        <w:t>:</w:t>
      </w:r>
      <w:r w:rsidRPr="00E57023">
        <w:t xml:space="preserve"> Median days from diagnosis to start of primary curative treatment (</w:t>
      </w:r>
      <w:r>
        <w:t>breast</w:t>
      </w:r>
      <w:r w:rsidRPr="00E57023">
        <w:t>)</w:t>
      </w:r>
      <w:r w:rsidR="007A17B2">
        <w:t>,</w:t>
      </w:r>
      <w:r w:rsidRPr="00E57023">
        <w:t xml:space="preserve"> by year, 2014 and 2016</w:t>
      </w:r>
      <w:bookmarkEnd w:id="659"/>
      <w:bookmarkEnd w:id="660"/>
      <w:bookmarkEnd w:id="661"/>
      <w:bookmarkEnd w:id="662"/>
      <w:bookmarkEnd w:id="663"/>
    </w:p>
    <w:p w14:paraId="18531D01" w14:textId="505792F6" w:rsidR="0086297D" w:rsidRPr="0086297D" w:rsidRDefault="0086297D" w:rsidP="0086297D">
      <w:pPr>
        <w:pStyle w:val="DHHSbody"/>
      </w:pPr>
      <w:r>
        <w:rPr>
          <w:noProof/>
        </w:rPr>
        <w:drawing>
          <wp:inline distT="0" distB="0" distL="0" distR="0" wp14:anchorId="204F3257" wp14:editId="0E722E78">
            <wp:extent cx="6743700" cy="6743700"/>
            <wp:effectExtent l="0" t="0" r="0" b="0"/>
            <wp:docPr id="227" name="Picture 227" descr="This figure shows a data summary of 'Measure 12.1 – Median days from diagnosis to start of primary curative treatment' (breast). The data set is available under 'Measure 12.1 – Median days from diagnosis to start of primary curative treatment' (breast)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743700" cy="6743700"/>
                    </a:xfrm>
                    <a:prstGeom prst="rect">
                      <a:avLst/>
                    </a:prstGeom>
                    <a:noFill/>
                    <a:ln>
                      <a:noFill/>
                    </a:ln>
                  </pic:spPr>
                </pic:pic>
              </a:graphicData>
            </a:graphic>
          </wp:inline>
        </w:drawing>
      </w:r>
    </w:p>
    <w:p w14:paraId="0BBDDF6C" w14:textId="1AF58613" w:rsidR="00842B03" w:rsidRDefault="0020440A" w:rsidP="0020440A">
      <w:pPr>
        <w:pStyle w:val="DHHStablefigurenote"/>
        <w:rPr>
          <w:rFonts w:eastAsia="Times"/>
          <w:b/>
        </w:rPr>
      </w:pPr>
      <w:r w:rsidRPr="0020440A">
        <w:rPr>
          <w:b/>
        </w:rPr>
        <w:t xml:space="preserve">Note: </w:t>
      </w:r>
      <w:r w:rsidRPr="0020440A">
        <w:t>Appendix 2 provides the dataset</w:t>
      </w:r>
      <w:r w:rsidRPr="00D53842">
        <w:t>.</w:t>
      </w:r>
      <w:r w:rsidR="00842B03">
        <w:rPr>
          <w:b/>
        </w:rPr>
        <w:br w:type="page"/>
      </w:r>
    </w:p>
    <w:p w14:paraId="2DA7AC9B" w14:textId="203A50B5" w:rsidR="00E57023" w:rsidRDefault="00E57023" w:rsidP="00867A76">
      <w:pPr>
        <w:pStyle w:val="DHHSfigurecaption"/>
      </w:pPr>
      <w:bookmarkStart w:id="664" w:name="_Toc19008122"/>
      <w:bookmarkStart w:id="665" w:name="_Toc19008342"/>
      <w:bookmarkStart w:id="666" w:name="_Toc19008489"/>
      <w:bookmarkStart w:id="667" w:name="_Toc19008636"/>
      <w:bookmarkStart w:id="668" w:name="_Toc27414344"/>
      <w:r w:rsidRPr="00E57023">
        <w:lastRenderedPageBreak/>
        <w:t>Figure 12.</w:t>
      </w:r>
      <w:r w:rsidR="00FA5553">
        <w:t>1.</w:t>
      </w:r>
      <w:r w:rsidR="00746ED0">
        <w:t>2</w:t>
      </w:r>
      <w:r w:rsidR="00CA2AD7">
        <w:t>:</w:t>
      </w:r>
      <w:r w:rsidRPr="00E57023">
        <w:t xml:space="preserve"> Median days from diagnosis to start of primary curative treatment (</w:t>
      </w:r>
      <w:r>
        <w:t>colorectal</w:t>
      </w:r>
      <w:r w:rsidRPr="00E57023">
        <w:t>)</w:t>
      </w:r>
      <w:r w:rsidR="007A17B2">
        <w:t>,</w:t>
      </w:r>
      <w:r w:rsidRPr="00E57023">
        <w:t xml:space="preserve"> by year, 2014 and 2016</w:t>
      </w:r>
      <w:bookmarkEnd w:id="664"/>
      <w:bookmarkEnd w:id="665"/>
      <w:bookmarkEnd w:id="666"/>
      <w:bookmarkEnd w:id="667"/>
      <w:bookmarkEnd w:id="668"/>
    </w:p>
    <w:p w14:paraId="06634347" w14:textId="49161F16" w:rsidR="00CA40F6" w:rsidRPr="00CA40F6" w:rsidRDefault="00CA40F6" w:rsidP="00CA40F6">
      <w:pPr>
        <w:pStyle w:val="DHHSbody"/>
      </w:pPr>
      <w:r>
        <w:rPr>
          <w:noProof/>
        </w:rPr>
        <w:drawing>
          <wp:inline distT="0" distB="0" distL="0" distR="0" wp14:anchorId="07510FCD" wp14:editId="67879ED3">
            <wp:extent cx="6743700" cy="6743700"/>
            <wp:effectExtent l="0" t="0" r="0" b="0"/>
            <wp:docPr id="232" name="Picture 232" descr="This figure shows a data summary of 'Measure 12.1 – Median days from diagnosis to start of primary curative treatment' (colorectal). The data set is available under 'Measure 12.1 – Median days from diagnosis to start of primary curative treatment' (colorectal)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743700" cy="6743700"/>
                    </a:xfrm>
                    <a:prstGeom prst="rect">
                      <a:avLst/>
                    </a:prstGeom>
                    <a:noFill/>
                    <a:ln>
                      <a:noFill/>
                    </a:ln>
                  </pic:spPr>
                </pic:pic>
              </a:graphicData>
            </a:graphic>
          </wp:inline>
        </w:drawing>
      </w:r>
    </w:p>
    <w:p w14:paraId="0D4EEECD" w14:textId="5BF56972" w:rsidR="00842B03" w:rsidRPr="0020440A" w:rsidRDefault="0020440A" w:rsidP="0020440A">
      <w:pPr>
        <w:pStyle w:val="DHHStablefigurenote"/>
        <w:rPr>
          <w:rFonts w:eastAsia="Times"/>
          <w:b/>
        </w:rPr>
      </w:pPr>
      <w:r w:rsidRPr="0020440A">
        <w:rPr>
          <w:b/>
        </w:rPr>
        <w:t xml:space="preserve">Note: </w:t>
      </w:r>
      <w:r w:rsidRPr="0020440A">
        <w:t>Appendix 2 provides the dataset</w:t>
      </w:r>
      <w:r w:rsidRPr="0020440A">
        <w:rPr>
          <w:b/>
        </w:rPr>
        <w:t xml:space="preserve"> </w:t>
      </w:r>
      <w:r w:rsidR="00842B03" w:rsidRPr="0020440A">
        <w:rPr>
          <w:b/>
        </w:rPr>
        <w:br w:type="page"/>
      </w:r>
    </w:p>
    <w:p w14:paraId="0813282D" w14:textId="6A360ECA" w:rsidR="00E57023" w:rsidRDefault="00E57023" w:rsidP="00867A76">
      <w:pPr>
        <w:pStyle w:val="DHHSfigurecaption"/>
      </w:pPr>
      <w:bookmarkStart w:id="669" w:name="_Toc19008123"/>
      <w:bookmarkStart w:id="670" w:name="_Toc19008343"/>
      <w:bookmarkStart w:id="671" w:name="_Toc19008490"/>
      <w:bookmarkStart w:id="672" w:name="_Toc19008637"/>
      <w:bookmarkStart w:id="673" w:name="_Toc27414345"/>
      <w:r w:rsidRPr="00E57023">
        <w:lastRenderedPageBreak/>
        <w:t>Figure 12</w:t>
      </w:r>
      <w:r w:rsidR="00FA5553">
        <w:t>.1</w:t>
      </w:r>
      <w:r w:rsidRPr="00E57023">
        <w:t>.</w:t>
      </w:r>
      <w:r w:rsidR="00746ED0">
        <w:t>3</w:t>
      </w:r>
      <w:r w:rsidR="00CA2AD7">
        <w:t>:</w:t>
      </w:r>
      <w:r w:rsidRPr="00E57023">
        <w:t xml:space="preserve"> Median days from diagnosis to start of primary curative treatment (</w:t>
      </w:r>
      <w:r w:rsidR="00842B03">
        <w:t>genitourinary</w:t>
      </w:r>
      <w:r w:rsidRPr="00E57023">
        <w:t>)</w:t>
      </w:r>
      <w:r w:rsidR="007A17B2">
        <w:t>,</w:t>
      </w:r>
      <w:r w:rsidRPr="00E57023">
        <w:t xml:space="preserve"> by year, 2014 and 2016</w:t>
      </w:r>
      <w:bookmarkEnd w:id="669"/>
      <w:bookmarkEnd w:id="670"/>
      <w:bookmarkEnd w:id="671"/>
      <w:bookmarkEnd w:id="672"/>
      <w:bookmarkEnd w:id="673"/>
    </w:p>
    <w:p w14:paraId="0189578F" w14:textId="29FDCF55" w:rsidR="00F638C9" w:rsidRPr="00F638C9" w:rsidRDefault="00F638C9" w:rsidP="00F638C9">
      <w:pPr>
        <w:pStyle w:val="DHHSbody"/>
      </w:pPr>
      <w:r>
        <w:rPr>
          <w:noProof/>
        </w:rPr>
        <w:drawing>
          <wp:inline distT="0" distB="0" distL="0" distR="0" wp14:anchorId="389E79E6" wp14:editId="55F29DCC">
            <wp:extent cx="6743700" cy="6743700"/>
            <wp:effectExtent l="0" t="0" r="0" b="0"/>
            <wp:docPr id="256" name="Picture 256" descr="This figure shows a data summary of 'Measure 12.1 – Median days from diagnosis to start of primary curative treatment' (genitourinary). The data set is available under 'Measure 12.1 – Median days from diagnosis to start of primary curative treatment' (genitourinary)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743700" cy="6743700"/>
                    </a:xfrm>
                    <a:prstGeom prst="rect">
                      <a:avLst/>
                    </a:prstGeom>
                    <a:noFill/>
                    <a:ln>
                      <a:noFill/>
                    </a:ln>
                  </pic:spPr>
                </pic:pic>
              </a:graphicData>
            </a:graphic>
          </wp:inline>
        </w:drawing>
      </w:r>
    </w:p>
    <w:p w14:paraId="36E6D4AF" w14:textId="53CFB7B4" w:rsidR="00842B03" w:rsidRPr="0020440A" w:rsidRDefault="0020440A" w:rsidP="0020440A">
      <w:pPr>
        <w:pStyle w:val="DHHStablefigurenote"/>
        <w:rPr>
          <w:rFonts w:eastAsia="Times"/>
          <w:b/>
        </w:rPr>
      </w:pPr>
      <w:r w:rsidRPr="0020440A">
        <w:rPr>
          <w:b/>
        </w:rPr>
        <w:t xml:space="preserve">Note: </w:t>
      </w:r>
      <w:r w:rsidRPr="0020440A">
        <w:t>Appendix 2 provides the dataset</w:t>
      </w:r>
      <w:r w:rsidRPr="0020440A">
        <w:rPr>
          <w:b/>
        </w:rPr>
        <w:t xml:space="preserve"> </w:t>
      </w:r>
      <w:r w:rsidR="00842B03" w:rsidRPr="0020440A">
        <w:rPr>
          <w:b/>
        </w:rPr>
        <w:br w:type="page"/>
      </w:r>
    </w:p>
    <w:p w14:paraId="28688D2A" w14:textId="1F9D5FFE" w:rsidR="00E57023" w:rsidRDefault="00E57023" w:rsidP="00867A76">
      <w:pPr>
        <w:pStyle w:val="DHHSfigurecaption"/>
      </w:pPr>
      <w:bookmarkStart w:id="674" w:name="_Toc19008124"/>
      <w:bookmarkStart w:id="675" w:name="_Toc19008344"/>
      <w:bookmarkStart w:id="676" w:name="_Toc19008491"/>
      <w:bookmarkStart w:id="677" w:name="_Toc19008638"/>
      <w:bookmarkStart w:id="678" w:name="_Toc27414346"/>
      <w:r w:rsidRPr="00E57023">
        <w:lastRenderedPageBreak/>
        <w:t>Figure 12.</w:t>
      </w:r>
      <w:r w:rsidR="00FA5553">
        <w:t>1.</w:t>
      </w:r>
      <w:r w:rsidR="00746ED0">
        <w:t>4</w:t>
      </w:r>
      <w:r w:rsidR="00CA2AD7">
        <w:t>:</w:t>
      </w:r>
      <w:r w:rsidRPr="00E57023">
        <w:t xml:space="preserve"> Median days from diagnosis to start of primary curative treatment (</w:t>
      </w:r>
      <w:r w:rsidR="00842B03">
        <w:t>haematological</w:t>
      </w:r>
      <w:r w:rsidRPr="00E57023">
        <w:t>)</w:t>
      </w:r>
      <w:r w:rsidR="007A17B2">
        <w:t>,</w:t>
      </w:r>
      <w:r w:rsidRPr="00E57023">
        <w:t xml:space="preserve"> by year, 2014 and 2016</w:t>
      </w:r>
      <w:bookmarkEnd w:id="674"/>
      <w:bookmarkEnd w:id="675"/>
      <w:bookmarkEnd w:id="676"/>
      <w:bookmarkEnd w:id="677"/>
      <w:bookmarkEnd w:id="678"/>
    </w:p>
    <w:p w14:paraId="17D3CE7D" w14:textId="1E307135" w:rsidR="00F638C9" w:rsidRDefault="00F638C9" w:rsidP="00F638C9">
      <w:pPr>
        <w:pStyle w:val="DHHSbody"/>
      </w:pPr>
      <w:r>
        <w:rPr>
          <w:noProof/>
        </w:rPr>
        <w:drawing>
          <wp:inline distT="0" distB="0" distL="0" distR="0" wp14:anchorId="5481751B" wp14:editId="42BFCDE0">
            <wp:extent cx="6731000" cy="6731000"/>
            <wp:effectExtent l="0" t="0" r="0" b="0"/>
            <wp:docPr id="285" name="Picture 285" descr="This figure shows a data summary of 'Measure 12.1 – Median days from diagnosis to start of primary curative treatment' (haematological). The data set is available under 'Measure 12.1 – Median days from diagnosis to start of primary curative treatment' (haematological)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731000" cy="6731000"/>
                    </a:xfrm>
                    <a:prstGeom prst="rect">
                      <a:avLst/>
                    </a:prstGeom>
                    <a:noFill/>
                    <a:ln>
                      <a:noFill/>
                    </a:ln>
                  </pic:spPr>
                </pic:pic>
              </a:graphicData>
            </a:graphic>
          </wp:inline>
        </w:drawing>
      </w:r>
    </w:p>
    <w:p w14:paraId="4373D1E0" w14:textId="1B4B2814" w:rsidR="0020440A" w:rsidRPr="00F638C9" w:rsidRDefault="0020440A" w:rsidP="0020440A">
      <w:pPr>
        <w:pStyle w:val="DHHStablefigurenote"/>
      </w:pPr>
      <w:r w:rsidRPr="0020440A">
        <w:rPr>
          <w:b/>
        </w:rPr>
        <w:t xml:space="preserve">Note: </w:t>
      </w:r>
      <w:r w:rsidRPr="0020440A">
        <w:t>Appendix 2 provides the dataset</w:t>
      </w:r>
      <w:r w:rsidR="00DC2D82">
        <w:t>.</w:t>
      </w:r>
    </w:p>
    <w:p w14:paraId="5FFBBCAB" w14:textId="60A70B1C" w:rsidR="00D20ED5" w:rsidRPr="00E40F5F" w:rsidRDefault="00D20ED5" w:rsidP="00940E89">
      <w:pPr>
        <w:pStyle w:val="DHHSbody"/>
        <w:rPr>
          <w:b/>
          <w:lang w:eastAsia="en-AU"/>
        </w:rPr>
      </w:pPr>
      <w:r w:rsidRPr="00CA78EE">
        <w:rPr>
          <w:rStyle w:val="Heading4Char"/>
        </w:rPr>
        <w:t>Measure assessment</w:t>
      </w:r>
    </w:p>
    <w:p w14:paraId="5781D65E" w14:textId="06F1526E" w:rsidR="00D20ED5" w:rsidRDefault="00D20ED5" w:rsidP="00940E89">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D62702"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2B09C3B8" w14:textId="0A75041F" w:rsidR="00D20ED5" w:rsidRDefault="00D20ED5" w:rsidP="00940E89">
      <w:pPr>
        <w:spacing w:after="120" w:line="270" w:lineRule="atLeast"/>
        <w:rPr>
          <w:rFonts w:ascii="Arial" w:hAnsi="Arial" w:cs="Arial"/>
        </w:rPr>
      </w:pPr>
      <w:r>
        <w:rPr>
          <w:rFonts w:ascii="Arial" w:hAnsi="Arial" w:cs="Arial"/>
        </w:rPr>
        <w:t xml:space="preserve">Overall trend: </w:t>
      </w:r>
      <w:r w:rsidR="00D62702">
        <w:rPr>
          <w:rFonts w:ascii="Arial" w:hAnsi="Arial" w:cs="Arial"/>
        </w:rPr>
        <w:t>Static or unchanging</w:t>
      </w:r>
    </w:p>
    <w:p w14:paraId="788320B5" w14:textId="5D2CB032" w:rsidR="008F46F0" w:rsidRPr="00931F54" w:rsidRDefault="00D20ED5" w:rsidP="00940E89">
      <w:pPr>
        <w:pStyle w:val="DHHSbody"/>
      </w:pPr>
      <w:r w:rsidRPr="00AF7428">
        <w:rPr>
          <w:rFonts w:cs="Arial"/>
          <w:lang w:eastAsia="en-AU"/>
        </w:rPr>
        <w:t>Commentary</w:t>
      </w:r>
      <w:r w:rsidRPr="00404FAE">
        <w:rPr>
          <w:rFonts w:cs="Arial"/>
          <w:lang w:eastAsia="en-AU"/>
        </w:rPr>
        <w:t>:</w:t>
      </w:r>
      <w:r w:rsidR="002D4F68" w:rsidRPr="00404FAE">
        <w:rPr>
          <w:rFonts w:cs="Arial"/>
          <w:lang w:eastAsia="en-AU"/>
        </w:rPr>
        <w:t xml:space="preserve"> </w:t>
      </w:r>
      <w:r w:rsidR="002C40B2">
        <w:rPr>
          <w:rFonts w:cs="Arial"/>
          <w:lang w:eastAsia="en-AU"/>
        </w:rPr>
        <w:t xml:space="preserve">The time from a new diagnosis of cancer to </w:t>
      </w:r>
      <w:r w:rsidR="007A17B2">
        <w:rPr>
          <w:rFonts w:cs="Arial"/>
          <w:lang w:eastAsia="en-AU"/>
        </w:rPr>
        <w:t xml:space="preserve">starting </w:t>
      </w:r>
      <w:r w:rsidR="002C40B2">
        <w:rPr>
          <w:rFonts w:cs="Arial"/>
          <w:lang w:eastAsia="en-AU"/>
        </w:rPr>
        <w:t>treatment is a period of stress and anxiety for patients and their families.</w:t>
      </w:r>
      <w:r w:rsidR="00952FC7">
        <w:rPr>
          <w:rFonts w:cs="Arial"/>
          <w:lang w:eastAsia="en-AU"/>
        </w:rPr>
        <w:t xml:space="preserve"> </w:t>
      </w:r>
      <w:r w:rsidR="00931F54">
        <w:rPr>
          <w:rFonts w:cs="Arial"/>
          <w:lang w:eastAsia="en-AU"/>
        </w:rPr>
        <w:t>Delays in time</w:t>
      </w:r>
      <w:r w:rsidR="007A17B2">
        <w:rPr>
          <w:rFonts w:cs="Arial"/>
          <w:lang w:eastAsia="en-AU"/>
        </w:rPr>
        <w:t xml:space="preserve"> </w:t>
      </w:r>
      <w:r w:rsidR="00931F54">
        <w:rPr>
          <w:rFonts w:cs="Arial"/>
          <w:lang w:eastAsia="en-AU"/>
        </w:rPr>
        <w:t>to</w:t>
      </w:r>
      <w:r w:rsidR="007A17B2">
        <w:rPr>
          <w:rFonts w:cs="Arial"/>
          <w:lang w:eastAsia="en-AU"/>
        </w:rPr>
        <w:t xml:space="preserve"> </w:t>
      </w:r>
      <w:r w:rsidR="00931F54">
        <w:rPr>
          <w:rFonts w:cs="Arial"/>
          <w:lang w:eastAsia="en-AU"/>
        </w:rPr>
        <w:t xml:space="preserve">treatment have been associated with worsened survival in some </w:t>
      </w:r>
      <w:r w:rsidR="00B2656E">
        <w:rPr>
          <w:rFonts w:cs="Arial"/>
          <w:lang w:eastAsia="en-AU"/>
        </w:rPr>
        <w:t>cancers</w:t>
      </w:r>
      <w:r w:rsidR="007A17B2">
        <w:rPr>
          <w:rFonts w:cs="Arial"/>
          <w:lang w:eastAsia="en-AU"/>
        </w:rPr>
        <w:t>,</w:t>
      </w:r>
      <w:r w:rsidR="00931F54">
        <w:rPr>
          <w:rFonts w:cs="Arial"/>
          <w:lang w:eastAsia="en-AU"/>
        </w:rPr>
        <w:t xml:space="preserve"> </w:t>
      </w:r>
      <w:r w:rsidR="00931F54">
        <w:rPr>
          <w:rFonts w:cs="Arial"/>
          <w:lang w:eastAsia="en-AU"/>
        </w:rPr>
        <w:lastRenderedPageBreak/>
        <w:t>particularly</w:t>
      </w:r>
      <w:r w:rsidR="007A17B2">
        <w:rPr>
          <w:rFonts w:cs="Arial"/>
          <w:lang w:eastAsia="en-AU"/>
        </w:rPr>
        <w:t xml:space="preserve"> </w:t>
      </w:r>
      <w:r w:rsidR="00931F54">
        <w:rPr>
          <w:rFonts w:cs="Arial"/>
          <w:lang w:eastAsia="en-AU"/>
        </w:rPr>
        <w:t>early</w:t>
      </w:r>
      <w:r w:rsidR="007A17B2">
        <w:rPr>
          <w:rFonts w:cs="Arial"/>
          <w:lang w:eastAsia="en-AU"/>
        </w:rPr>
        <w:t>-</w:t>
      </w:r>
      <w:r w:rsidR="00931F54">
        <w:rPr>
          <w:rFonts w:cs="Arial"/>
          <w:lang w:eastAsia="en-AU"/>
        </w:rPr>
        <w:t>stage</w:t>
      </w:r>
      <w:r w:rsidR="007A17B2">
        <w:rPr>
          <w:rFonts w:cs="Arial"/>
          <w:lang w:eastAsia="en-AU"/>
        </w:rPr>
        <w:t xml:space="preserve"> cancer</w:t>
      </w:r>
      <w:r w:rsidR="00931F54">
        <w:rPr>
          <w:rFonts w:cs="Arial"/>
          <w:lang w:eastAsia="en-AU"/>
        </w:rPr>
        <w:t xml:space="preserve">s. Hence, it is important that people </w:t>
      </w:r>
      <w:r w:rsidR="00A10080">
        <w:rPr>
          <w:rFonts w:cs="Arial"/>
          <w:lang w:eastAsia="en-AU"/>
        </w:rPr>
        <w:t xml:space="preserve">are able to access timely </w:t>
      </w:r>
      <w:r w:rsidR="00931F54">
        <w:rPr>
          <w:rFonts w:cs="Arial"/>
          <w:lang w:eastAsia="en-AU"/>
        </w:rPr>
        <w:t>treatment.</w:t>
      </w:r>
      <w:r w:rsidR="00B958C8">
        <w:rPr>
          <w:rStyle w:val="FootnoteReference"/>
          <w:rFonts w:cs="Arial"/>
          <w:lang w:eastAsia="en-AU"/>
        </w:rPr>
        <w:footnoteReference w:id="125"/>
      </w:r>
      <w:r w:rsidR="00952FC7">
        <w:rPr>
          <w:rFonts w:cs="Arial"/>
          <w:lang w:eastAsia="en-AU"/>
        </w:rPr>
        <w:t xml:space="preserve"> </w:t>
      </w:r>
      <w:r w:rsidR="00931F54">
        <w:rPr>
          <w:rFonts w:cs="Arial"/>
          <w:lang w:eastAsia="en-AU"/>
        </w:rPr>
        <w:t>For the purposes of this measure</w:t>
      </w:r>
      <w:r w:rsidR="00545934">
        <w:rPr>
          <w:rFonts w:cs="Arial"/>
          <w:lang w:eastAsia="en-AU"/>
        </w:rPr>
        <w:t>,</w:t>
      </w:r>
      <w:r w:rsidR="00931F54">
        <w:rPr>
          <w:rFonts w:cs="Arial"/>
          <w:lang w:eastAsia="en-AU"/>
        </w:rPr>
        <w:t xml:space="preserve"> primary curative treatment refers to surgery, </w:t>
      </w:r>
      <w:r w:rsidR="00931F54">
        <w:t>radiotherapy or systemic anti-cancer therapy (SACT).</w:t>
      </w:r>
    </w:p>
    <w:p w14:paraId="6D80C611" w14:textId="6A79FA6C" w:rsidR="00E40F5F" w:rsidRDefault="00226448" w:rsidP="00D20ED5">
      <w:pPr>
        <w:pStyle w:val="DHHSbody"/>
      </w:pPr>
      <w:r w:rsidRPr="007C4C4B">
        <w:rPr>
          <w:rFonts w:cs="Arial"/>
          <w:lang w:eastAsia="en-AU"/>
        </w:rPr>
        <w:t xml:space="preserve">Figure 12.1 shows that </w:t>
      </w:r>
      <w:r w:rsidR="00A10080">
        <w:rPr>
          <w:rFonts w:cs="Arial"/>
          <w:lang w:eastAsia="en-AU"/>
        </w:rPr>
        <w:t xml:space="preserve">overall median time to treatment initiation from diagnosis in </w:t>
      </w:r>
      <w:r w:rsidRPr="007C4C4B">
        <w:rPr>
          <w:rFonts w:cs="Arial"/>
          <w:lang w:eastAsia="en-AU"/>
        </w:rPr>
        <w:t xml:space="preserve">2014 </w:t>
      </w:r>
      <w:r w:rsidR="00A10080">
        <w:rPr>
          <w:rFonts w:cs="Arial"/>
          <w:lang w:eastAsia="en-AU"/>
        </w:rPr>
        <w:t>and</w:t>
      </w:r>
      <w:r w:rsidRPr="007C4C4B">
        <w:rPr>
          <w:rFonts w:cs="Arial"/>
          <w:lang w:eastAsia="en-AU"/>
        </w:rPr>
        <w:t xml:space="preserve"> 2016 </w:t>
      </w:r>
      <w:r w:rsidR="00A10080">
        <w:rPr>
          <w:rFonts w:cs="Arial"/>
          <w:lang w:eastAsia="en-AU"/>
        </w:rPr>
        <w:t>was</w:t>
      </w:r>
      <w:r w:rsidRPr="007C4C4B">
        <w:rPr>
          <w:rFonts w:cs="Arial"/>
          <w:lang w:eastAsia="en-AU"/>
        </w:rPr>
        <w:t xml:space="preserve"> 2</w:t>
      </w:r>
      <w:r w:rsidR="008B7EFB">
        <w:rPr>
          <w:rFonts w:cs="Arial"/>
          <w:lang w:eastAsia="en-AU"/>
        </w:rPr>
        <w:t>1</w:t>
      </w:r>
      <w:r w:rsidRPr="007C4C4B">
        <w:rPr>
          <w:rFonts w:cs="Arial"/>
          <w:lang w:eastAsia="en-AU"/>
        </w:rPr>
        <w:t xml:space="preserve"> and 22 days, respectively.</w:t>
      </w:r>
      <w:r w:rsidR="00EE5D80" w:rsidRPr="007C4C4B">
        <w:rPr>
          <w:rFonts w:cs="Arial"/>
          <w:lang w:eastAsia="en-AU"/>
        </w:rPr>
        <w:t xml:space="preserve"> </w:t>
      </w:r>
      <w:r w:rsidR="00EE5D80" w:rsidRPr="007C4C4B">
        <w:t>Aboriginal</w:t>
      </w:r>
      <w:r w:rsidR="002F2AC6" w:rsidRPr="007C4C4B">
        <w:t xml:space="preserve"> and Torres Strait Islanders, </w:t>
      </w:r>
      <w:r w:rsidR="007A17B2">
        <w:t xml:space="preserve">the </w:t>
      </w:r>
      <w:r w:rsidR="00EE5D80" w:rsidRPr="007C4C4B">
        <w:t>most disadvantaged</w:t>
      </w:r>
      <w:r w:rsidR="002F2AC6" w:rsidRPr="007C4C4B">
        <w:t xml:space="preserve"> Victorians and rural/regional Victorians experience</w:t>
      </w:r>
      <w:r w:rsidR="00DB2B8E" w:rsidRPr="007C4C4B">
        <w:t>d</w:t>
      </w:r>
      <w:r w:rsidR="002F2AC6" w:rsidRPr="007C4C4B">
        <w:t xml:space="preserve"> </w:t>
      </w:r>
      <w:r w:rsidR="00E357F7" w:rsidRPr="007C4C4B">
        <w:t xml:space="preserve">longer times from diagnosis to start of treatment </w:t>
      </w:r>
      <w:r w:rsidR="004038BE">
        <w:t>than the overall figures for both 2014 and 2016</w:t>
      </w:r>
      <w:r w:rsidR="007A17B2">
        <w:t>,</w:t>
      </w:r>
      <w:r w:rsidR="004038BE">
        <w:t xml:space="preserve"> </w:t>
      </w:r>
      <w:r w:rsidR="002F2AC6" w:rsidRPr="007C4C4B">
        <w:t>suggesting inequitable access to care for these groups</w:t>
      </w:r>
      <w:r w:rsidR="00E357F7" w:rsidRPr="007C4C4B">
        <w:t>.</w:t>
      </w:r>
      <w:r w:rsidR="00942B99" w:rsidRPr="007C4C4B">
        <w:t xml:space="preserve"> Variation in the timeliness </w:t>
      </w:r>
      <w:r w:rsidR="007C4C4B">
        <w:t xml:space="preserve">from diagnosis to the </w:t>
      </w:r>
      <w:r w:rsidR="00942B99" w:rsidRPr="007C4C4B">
        <w:t>start</w:t>
      </w:r>
      <w:r w:rsidR="007C4C4B">
        <w:t xml:space="preserve"> of</w:t>
      </w:r>
      <w:r w:rsidR="00942B99" w:rsidRPr="007C4C4B">
        <w:t xml:space="preserve"> </w:t>
      </w:r>
      <w:r w:rsidR="007C4C4B" w:rsidRPr="007C4C4B">
        <w:t>primary curative treatment</w:t>
      </w:r>
      <w:r w:rsidR="00942B99" w:rsidRPr="007C4C4B">
        <w:t xml:space="preserve"> between </w:t>
      </w:r>
      <w:r w:rsidR="007C4C4B" w:rsidRPr="007C4C4B">
        <w:t>metropolitan</w:t>
      </w:r>
      <w:r w:rsidR="00942B99" w:rsidRPr="007C4C4B">
        <w:t xml:space="preserve"> and </w:t>
      </w:r>
      <w:r w:rsidR="007C4C4B" w:rsidRPr="007C4C4B">
        <w:t>rural/remote</w:t>
      </w:r>
      <w:r w:rsidR="00944E7A">
        <w:t xml:space="preserve"> ICS</w:t>
      </w:r>
      <w:r w:rsidR="007C4C4B">
        <w:t xml:space="preserve"> (</w:t>
      </w:r>
      <w:r w:rsidR="002677DD">
        <w:t>for example,</w:t>
      </w:r>
      <w:r w:rsidR="007C4C4B">
        <w:t xml:space="preserve"> GRICS median days were 26 in 2014</w:t>
      </w:r>
      <w:r w:rsidR="007C4C4B" w:rsidRPr="007C4C4B">
        <w:t xml:space="preserve"> </w:t>
      </w:r>
      <w:r w:rsidR="007C4C4B">
        <w:t xml:space="preserve">rising to 27 in 2017) </w:t>
      </w:r>
      <w:r w:rsidR="00942B99" w:rsidRPr="007C4C4B">
        <w:t>may indicate resource pressures in the public system</w:t>
      </w:r>
      <w:r w:rsidR="007C4C4B">
        <w:t xml:space="preserve"> or clinical</w:t>
      </w:r>
      <w:r w:rsidR="00EB2944">
        <w:t xml:space="preserve"> variation by providers in ICSs in determining cancer treatment.</w:t>
      </w:r>
      <w:r w:rsidR="00952FC7">
        <w:t xml:space="preserve"> </w:t>
      </w:r>
    </w:p>
    <w:p w14:paraId="4465B257" w14:textId="192BA5C7" w:rsidR="00E40F5F" w:rsidRDefault="00E40F5F" w:rsidP="00D20ED5">
      <w:pPr>
        <w:pStyle w:val="DHHSbody"/>
      </w:pPr>
      <w:r>
        <w:t>Figures 12.</w:t>
      </w:r>
      <w:r w:rsidR="00FA5553">
        <w:t>1.</w:t>
      </w:r>
      <w:r w:rsidR="004B44A9">
        <w:t>1</w:t>
      </w:r>
      <w:r>
        <w:t xml:space="preserve"> to 12</w:t>
      </w:r>
      <w:r w:rsidR="00FA5553">
        <w:t>.1</w:t>
      </w:r>
      <w:r>
        <w:t>.</w:t>
      </w:r>
      <w:r w:rsidR="004B44A9">
        <w:t>4</w:t>
      </w:r>
      <w:r>
        <w:t xml:space="preserve"> show that the median time to treatment initiation from diagnosis for the top four tumour streams </w:t>
      </w:r>
      <w:r w:rsidR="007A17B2">
        <w:t xml:space="preserve">that </w:t>
      </w:r>
      <w:r>
        <w:t>recorded the highest number of cases varied from no change (20 days) between 2014 and 2016 for breast cancer (Figure 12</w:t>
      </w:r>
      <w:r w:rsidR="00FA5553">
        <w:t>.1</w:t>
      </w:r>
      <w:r>
        <w:t>.</w:t>
      </w:r>
      <w:r w:rsidR="004B44A9">
        <w:t>1</w:t>
      </w:r>
      <w:r>
        <w:t>) to 24 days in 2014</w:t>
      </w:r>
      <w:r w:rsidR="007A17B2">
        <w:t>,</w:t>
      </w:r>
      <w:r>
        <w:t xml:space="preserve"> rising to 32 days in 2016 for genitourinary cancer.</w:t>
      </w:r>
      <w:r w:rsidR="00952FC7">
        <w:t xml:space="preserve"> </w:t>
      </w:r>
      <w:r>
        <w:t xml:space="preserve">The median time to treatment initiation from diagnosis for colorectal and haematological cancer was </w:t>
      </w:r>
      <w:r w:rsidR="00FD7A10">
        <w:t>20 days (2014)</w:t>
      </w:r>
      <w:r w:rsidR="007A17B2">
        <w:t>,</w:t>
      </w:r>
      <w:r w:rsidR="00FD7A10">
        <w:t xml:space="preserve"> rising to 23 days in 2016 and 20 days (2014) and 19 days in 2016, respectively.</w:t>
      </w:r>
    </w:p>
    <w:p w14:paraId="75CB4708" w14:textId="65F782D7" w:rsidR="0078151D" w:rsidRPr="00B842F3" w:rsidRDefault="007C4C4B" w:rsidP="00CA78EE">
      <w:pPr>
        <w:pStyle w:val="DHHSbody"/>
        <w:rPr>
          <w:rFonts w:cs="Arial"/>
        </w:rPr>
      </w:pPr>
      <w:r w:rsidRPr="00F22B25">
        <w:rPr>
          <w:rFonts w:cs="Arial"/>
        </w:rPr>
        <w:t xml:space="preserve">No </w:t>
      </w:r>
      <w:r w:rsidR="00564058">
        <w:rPr>
          <w:rFonts w:cs="Arial"/>
        </w:rPr>
        <w:t xml:space="preserve">specific </w:t>
      </w:r>
      <w:r w:rsidRPr="00F22B25">
        <w:rPr>
          <w:rFonts w:cs="Arial"/>
        </w:rPr>
        <w:t xml:space="preserve">target has been set for this </w:t>
      </w:r>
      <w:r w:rsidR="004038BE" w:rsidRPr="00F22B25">
        <w:rPr>
          <w:rFonts w:cs="Arial"/>
        </w:rPr>
        <w:t>measure</w:t>
      </w:r>
      <w:r w:rsidR="00564058">
        <w:rPr>
          <w:rFonts w:cs="Arial"/>
        </w:rPr>
        <w:t xml:space="preserve"> rather the intent </w:t>
      </w:r>
      <w:r w:rsidR="00163D8F">
        <w:rPr>
          <w:rFonts w:cs="Arial"/>
        </w:rPr>
        <w:t xml:space="preserve">here </w:t>
      </w:r>
      <w:r w:rsidR="00564058">
        <w:rPr>
          <w:rFonts w:cs="Arial"/>
        </w:rPr>
        <w:t>is to align with the targeted approach set out in the Victorian optimal pathway for people with c</w:t>
      </w:r>
      <w:r w:rsidR="00A751CE">
        <w:rPr>
          <w:rFonts w:cs="Arial"/>
        </w:rPr>
        <w:t>ancer</w:t>
      </w:r>
      <w:r w:rsidR="00163D8F">
        <w:rPr>
          <w:rStyle w:val="FootnoteReference"/>
          <w:rFonts w:cs="Arial"/>
        </w:rPr>
        <w:footnoteReference w:id="126"/>
      </w:r>
      <w:r w:rsidR="00A5376B" w:rsidRPr="00F22B25">
        <w:rPr>
          <w:rFonts w:cs="Arial"/>
        </w:rPr>
        <w:t>;</w:t>
      </w:r>
      <w:r w:rsidRPr="00F22B25">
        <w:rPr>
          <w:rFonts w:cs="Arial"/>
        </w:rPr>
        <w:t xml:space="preserve"> </w:t>
      </w:r>
      <w:r w:rsidR="00163D8F">
        <w:rPr>
          <w:rFonts w:cs="Arial"/>
        </w:rPr>
        <w:t>therefore</w:t>
      </w:r>
      <w:r w:rsidR="00A5376B" w:rsidRPr="00F22B25">
        <w:rPr>
          <w:rFonts w:cs="Arial"/>
        </w:rPr>
        <w:t>,</w:t>
      </w:r>
      <w:r w:rsidRPr="00F22B25">
        <w:rPr>
          <w:rFonts w:cs="Arial"/>
        </w:rPr>
        <w:t xml:space="preserve"> </w:t>
      </w:r>
      <w:r w:rsidR="00F22B25" w:rsidRPr="00F22B25">
        <w:rPr>
          <w:rFonts w:cs="Arial"/>
        </w:rPr>
        <w:t>care should be taken when interpreting the results of this measure due to limitations outlined in the footnote below.</w:t>
      </w:r>
      <w:r w:rsidR="00A751CE" w:rsidRPr="00F22B25">
        <w:rPr>
          <w:rStyle w:val="FootnoteReference"/>
          <w:rFonts w:cs="Arial"/>
        </w:rPr>
        <w:footnoteReference w:id="127"/>
      </w:r>
    </w:p>
    <w:p w14:paraId="00D88F4F" w14:textId="77777777" w:rsidR="00E40F5F" w:rsidRDefault="00E40F5F">
      <w:pPr>
        <w:rPr>
          <w:rFonts w:ascii="Arial" w:eastAsia="MS Gothic" w:hAnsi="Arial"/>
          <w:b/>
          <w:bCs/>
          <w:sz w:val="24"/>
          <w:szCs w:val="26"/>
        </w:rPr>
      </w:pPr>
      <w:r>
        <w:br w:type="page"/>
      </w:r>
    </w:p>
    <w:p w14:paraId="6B3C7980" w14:textId="55C4FADB" w:rsidR="00DF376C" w:rsidRDefault="00DF376C" w:rsidP="00DF376C">
      <w:pPr>
        <w:pStyle w:val="Heading3"/>
        <w:rPr>
          <w:lang w:eastAsia="en-AU"/>
        </w:rPr>
      </w:pPr>
      <w:bookmarkStart w:id="679" w:name="_Measure_12.2_–"/>
      <w:bookmarkStart w:id="680" w:name="_Toc19008125"/>
      <w:bookmarkEnd w:id="679"/>
      <w:r>
        <w:rPr>
          <w:lang w:eastAsia="en-AU"/>
        </w:rPr>
        <w:lastRenderedPageBreak/>
        <w:t>Measure 12.2 – Proportion of patients receiving PET prior to primary treatment where appropriate</w:t>
      </w:r>
      <w:bookmarkEnd w:id="680"/>
    </w:p>
    <w:p w14:paraId="0A0E1120" w14:textId="77777777" w:rsidR="001162EB" w:rsidRPr="001162EB" w:rsidRDefault="001162EB" w:rsidP="001162EB">
      <w:pPr>
        <w:pStyle w:val="DHHSbody"/>
        <w:rPr>
          <w:lang w:eastAsia="en-AU"/>
        </w:rPr>
      </w:pPr>
      <w:r>
        <w:rPr>
          <w:lang w:eastAsia="en-AU"/>
        </w:rPr>
        <w:t>This measure will be reported in a future report. Refer to Appendix 1.</w:t>
      </w:r>
    </w:p>
    <w:p w14:paraId="58B3A236" w14:textId="77777777" w:rsidR="00DF376C" w:rsidRDefault="00DF376C" w:rsidP="00DF376C">
      <w:pPr>
        <w:pStyle w:val="Heading3"/>
        <w:rPr>
          <w:lang w:eastAsia="en-AU"/>
        </w:rPr>
      </w:pPr>
      <w:bookmarkStart w:id="681" w:name="_Measure_12.3_–"/>
      <w:bookmarkStart w:id="682" w:name="_Toc19008126"/>
      <w:bookmarkEnd w:id="681"/>
      <w:r>
        <w:rPr>
          <w:lang w:eastAsia="en-AU"/>
        </w:rPr>
        <w:t>Measure 12.3 –</w:t>
      </w:r>
      <w:r w:rsidR="009102AF">
        <w:rPr>
          <w:lang w:eastAsia="en-AU"/>
        </w:rPr>
        <w:t xml:space="preserve"> Proportion of patients receiving</w:t>
      </w:r>
      <w:r w:rsidR="00FD52A4">
        <w:rPr>
          <w:lang w:eastAsia="en-AU"/>
        </w:rPr>
        <w:t xml:space="preserve"> molecular diagnostics prior to primary treatment where appropriate</w:t>
      </w:r>
      <w:bookmarkEnd w:id="682"/>
    </w:p>
    <w:p w14:paraId="7235F507" w14:textId="4ED58A1E" w:rsidR="002D0EEF" w:rsidRPr="001A2A05" w:rsidRDefault="001162EB" w:rsidP="001A2A05">
      <w:pPr>
        <w:pStyle w:val="DHHSbody"/>
        <w:rPr>
          <w:lang w:eastAsia="en-AU"/>
        </w:rPr>
      </w:pPr>
      <w:r>
        <w:rPr>
          <w:lang w:eastAsia="en-AU"/>
        </w:rPr>
        <w:t>This measure will be reported in a future report. Refer to Appendix 1.</w:t>
      </w:r>
      <w:r w:rsidR="002D0EEF">
        <w:rPr>
          <w:highlight w:val="green"/>
          <w:lang w:eastAsia="en-AU"/>
        </w:rPr>
        <w:br w:type="page"/>
      </w:r>
    </w:p>
    <w:p w14:paraId="7A0F71E1" w14:textId="341EA994" w:rsidR="0044729A" w:rsidRDefault="00DF376C" w:rsidP="00E25847">
      <w:pPr>
        <w:pStyle w:val="Heading3"/>
        <w:rPr>
          <w:highlight w:val="green"/>
          <w:lang w:eastAsia="en-AU"/>
        </w:rPr>
      </w:pPr>
      <w:bookmarkStart w:id="683" w:name="_Measure_12.4_–"/>
      <w:bookmarkStart w:id="684" w:name="_Toc19008127"/>
      <w:bookmarkEnd w:id="683"/>
      <w:r w:rsidRPr="00F609E8">
        <w:rPr>
          <w:lang w:eastAsia="en-AU"/>
        </w:rPr>
        <w:lastRenderedPageBreak/>
        <w:t>Measure 12.4 –</w:t>
      </w:r>
      <w:r w:rsidR="009102AF" w:rsidRPr="00F609E8">
        <w:rPr>
          <w:lang w:eastAsia="en-AU"/>
        </w:rPr>
        <w:t xml:space="preserve"> Proportion of patients </w:t>
      </w:r>
      <w:r w:rsidR="00E25847" w:rsidRPr="00E25847">
        <w:t>with non-metastatic lung, breast, rectal and oesophageal cancers receiving radical radiotherapy as part of their primary treatment</w:t>
      </w:r>
      <w:bookmarkEnd w:id="684"/>
      <w:r w:rsidR="00E25847" w:rsidRPr="00E25847">
        <w:rPr>
          <w:highlight w:val="green"/>
          <w:lang w:eastAsia="en-AU"/>
        </w:rPr>
        <w:t xml:space="preserve"> </w:t>
      </w:r>
    </w:p>
    <w:p w14:paraId="574F30F1" w14:textId="4BF2D0B3" w:rsidR="001C3A98" w:rsidRPr="001C3A98" w:rsidRDefault="00572ECB" w:rsidP="00867A76">
      <w:pPr>
        <w:pStyle w:val="DHHSfigurecaption"/>
        <w:rPr>
          <w:lang w:eastAsia="en-AU"/>
        </w:rPr>
      </w:pPr>
      <w:bookmarkStart w:id="685" w:name="_Toc19008128"/>
      <w:bookmarkStart w:id="686" w:name="_Toc19008345"/>
      <w:bookmarkStart w:id="687" w:name="_Toc19008492"/>
      <w:bookmarkStart w:id="688" w:name="_Toc19008639"/>
      <w:bookmarkStart w:id="689" w:name="_Toc27414347"/>
      <w:r>
        <w:rPr>
          <w:lang w:eastAsia="en-AU"/>
        </w:rPr>
        <w:t>Figure</w:t>
      </w:r>
      <w:r w:rsidR="007819A0" w:rsidRPr="001D32D0">
        <w:rPr>
          <w:lang w:eastAsia="en-AU"/>
        </w:rPr>
        <w:t xml:space="preserve"> 1</w:t>
      </w:r>
      <w:r w:rsidR="007819A0">
        <w:rPr>
          <w:lang w:eastAsia="en-AU"/>
        </w:rPr>
        <w:t>2</w:t>
      </w:r>
      <w:r w:rsidR="007819A0" w:rsidRPr="001D32D0">
        <w:rPr>
          <w:lang w:eastAsia="en-AU"/>
        </w:rPr>
        <w:t>.</w:t>
      </w:r>
      <w:r w:rsidR="007819A0">
        <w:rPr>
          <w:lang w:eastAsia="en-AU"/>
        </w:rPr>
        <w:t>4</w:t>
      </w:r>
      <w:r w:rsidR="002677DD">
        <w:rPr>
          <w:lang w:eastAsia="en-AU"/>
        </w:rPr>
        <w:t>:</w:t>
      </w:r>
      <w:r w:rsidR="007819A0" w:rsidRPr="001D32D0">
        <w:rPr>
          <w:lang w:eastAsia="en-AU"/>
        </w:rPr>
        <w:t xml:space="preserve"> </w:t>
      </w:r>
      <w:r w:rsidR="006F5E2F" w:rsidRPr="00133D3D">
        <w:t xml:space="preserve">Proportion of patients </w:t>
      </w:r>
      <w:r w:rsidR="006F5E2F">
        <w:t xml:space="preserve">with non-metastatic lung cancer </w:t>
      </w:r>
      <w:r w:rsidR="006F5E2F" w:rsidRPr="00133D3D">
        <w:t xml:space="preserve">receiving </w:t>
      </w:r>
      <w:r w:rsidR="006F5E2F">
        <w:t xml:space="preserve">radical </w:t>
      </w:r>
      <w:r w:rsidR="006F5E2F" w:rsidRPr="00133D3D">
        <w:t xml:space="preserve">radiotherapy as part of </w:t>
      </w:r>
      <w:r w:rsidR="006F5E2F">
        <w:t>their primary</w:t>
      </w:r>
      <w:r w:rsidR="006F5E2F" w:rsidRPr="00133D3D">
        <w:t xml:space="preserve"> treatment</w:t>
      </w:r>
      <w:r w:rsidR="00611CE2">
        <w:t>,</w:t>
      </w:r>
      <w:r w:rsidR="006F5E2F">
        <w:t xml:space="preserve"> </w:t>
      </w:r>
      <w:r w:rsidR="006F5E2F" w:rsidRPr="001D32D0">
        <w:rPr>
          <w:lang w:eastAsia="en-AU"/>
        </w:rPr>
        <w:t xml:space="preserve">by </w:t>
      </w:r>
      <w:r w:rsidR="006F5E2F">
        <w:rPr>
          <w:lang w:eastAsia="en-AU"/>
        </w:rPr>
        <w:t xml:space="preserve">age, sex, </w:t>
      </w:r>
      <w:r w:rsidR="00D3516B">
        <w:rPr>
          <w:lang w:eastAsia="en-AU"/>
        </w:rPr>
        <w:t>I</w:t>
      </w:r>
      <w:r w:rsidR="006F5E2F">
        <w:rPr>
          <w:lang w:eastAsia="en-AU"/>
        </w:rPr>
        <w:t>ndigenous status</w:t>
      </w:r>
      <w:r w:rsidR="00EE148C">
        <w:rPr>
          <w:lang w:eastAsia="en-AU"/>
        </w:rPr>
        <w:t>,</w:t>
      </w:r>
      <w:r w:rsidR="006F5E2F">
        <w:rPr>
          <w:lang w:eastAsia="en-AU"/>
        </w:rPr>
        <w:t xml:space="preserve"> language spoken at home</w:t>
      </w:r>
      <w:r w:rsidR="006F5E2F" w:rsidRPr="001D32D0">
        <w:rPr>
          <w:lang w:eastAsia="en-AU"/>
        </w:rPr>
        <w:t xml:space="preserve">, </w:t>
      </w:r>
      <w:r w:rsidR="00EC6317">
        <w:rPr>
          <w:lang w:eastAsia="en-AU"/>
        </w:rPr>
        <w:t xml:space="preserve">remoteness area, </w:t>
      </w:r>
      <w:r w:rsidR="002677DD">
        <w:rPr>
          <w:lang w:eastAsia="en-AU"/>
        </w:rPr>
        <w:t>SES</w:t>
      </w:r>
      <w:r w:rsidR="00EC6317">
        <w:rPr>
          <w:lang w:eastAsia="en-AU"/>
        </w:rPr>
        <w:t xml:space="preserve"> and ICS,</w:t>
      </w:r>
      <w:r w:rsidR="00EC6317" w:rsidRPr="001D32D0">
        <w:rPr>
          <w:lang w:eastAsia="en-AU"/>
        </w:rPr>
        <w:t xml:space="preserve"> </w:t>
      </w:r>
      <w:r w:rsidR="006F5E2F" w:rsidRPr="001D32D0">
        <w:rPr>
          <w:lang w:eastAsia="en-AU"/>
        </w:rPr>
        <w:t>2014</w:t>
      </w:r>
      <w:r w:rsidR="002677DD">
        <w:rPr>
          <w:lang w:eastAsia="en-AU"/>
        </w:rPr>
        <w:t>–</w:t>
      </w:r>
      <w:r w:rsidR="006F5E2F" w:rsidRPr="001D32D0">
        <w:rPr>
          <w:lang w:eastAsia="en-AU"/>
        </w:rPr>
        <w:t>2016</w:t>
      </w:r>
      <w:bookmarkEnd w:id="685"/>
      <w:bookmarkEnd w:id="686"/>
      <w:bookmarkEnd w:id="687"/>
      <w:bookmarkEnd w:id="688"/>
      <w:bookmarkEnd w:id="689"/>
    </w:p>
    <w:p w14:paraId="4D6D557F" w14:textId="03854F86" w:rsidR="00B64DE2" w:rsidRDefault="00FD5A28" w:rsidP="00245781">
      <w:pPr>
        <w:pStyle w:val="DHHSbody"/>
        <w:rPr>
          <w:b/>
          <w:lang w:eastAsia="en-AU"/>
        </w:rPr>
      </w:pPr>
      <w:r>
        <w:rPr>
          <w:b/>
          <w:noProof/>
          <w:lang w:eastAsia="en-AU"/>
        </w:rPr>
        <w:drawing>
          <wp:inline distT="0" distB="0" distL="0" distR="0" wp14:anchorId="6EFB4982" wp14:editId="46D33F7E">
            <wp:extent cx="6718300" cy="7517130"/>
            <wp:effectExtent l="0" t="0" r="6350" b="7620"/>
            <wp:docPr id="496" name="Picture 496" descr="This figure shows a data summary of 'Measure 12.4 – Proportion of patients with non-metastatic lung, breast, rectal and oesophageal cancers receiving radical radiotherapy as part of their primary treatment'. Specially this figure focuses on lung cancer via subgroups namely age. sex, Indigenous status, language spoken at home, remoteness area, socioeconomic status and Integrated Cancer Service  for the study period 2014-2016.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718300" cy="7517130"/>
                    </a:xfrm>
                    <a:prstGeom prst="rect">
                      <a:avLst/>
                    </a:prstGeom>
                    <a:noFill/>
                  </pic:spPr>
                </pic:pic>
              </a:graphicData>
            </a:graphic>
          </wp:inline>
        </w:drawing>
      </w:r>
    </w:p>
    <w:p w14:paraId="4F2FCB8D" w14:textId="52F43963" w:rsidR="00572ECB" w:rsidRDefault="00B912F7" w:rsidP="00D85FC8">
      <w:pPr>
        <w:pStyle w:val="DHHSbody"/>
        <w:rPr>
          <w:b/>
          <w:lang w:eastAsia="en-AU"/>
        </w:rPr>
      </w:pPr>
      <w:r>
        <w:rPr>
          <w:rFonts w:cs="Arial"/>
          <w:i/>
          <w:color w:val="000000"/>
          <w:sz w:val="18"/>
          <w:szCs w:val="18"/>
        </w:rPr>
        <w:t>Appendix 2 provides the dataset.</w:t>
      </w:r>
      <w:r w:rsidR="00073A3B" w:rsidRPr="00125F5A">
        <w:rPr>
          <w:b/>
          <w:noProof/>
          <w:lang w:eastAsia="en-AU"/>
        </w:rPr>
        <mc:AlternateContent>
          <mc:Choice Requires="wps">
            <w:drawing>
              <wp:anchor distT="45720" distB="45720" distL="114300" distR="114300" simplePos="0" relativeHeight="251959296" behindDoc="0" locked="0" layoutInCell="1" allowOverlap="1" wp14:anchorId="4410BD60" wp14:editId="0376BF7D">
                <wp:simplePos x="0" y="0"/>
                <wp:positionH relativeFrom="column">
                  <wp:posOffset>3212465</wp:posOffset>
                </wp:positionH>
                <wp:positionV relativeFrom="paragraph">
                  <wp:posOffset>7606665</wp:posOffset>
                </wp:positionV>
                <wp:extent cx="1295400" cy="1404620"/>
                <wp:effectExtent l="0" t="0" r="0" b="127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04620"/>
                        </a:xfrm>
                        <a:prstGeom prst="rect">
                          <a:avLst/>
                        </a:prstGeom>
                        <a:solidFill>
                          <a:srgbClr val="FFFFFF"/>
                        </a:solidFill>
                        <a:ln w="9525">
                          <a:noFill/>
                          <a:miter lim="800000"/>
                          <a:headEnd/>
                          <a:tailEnd/>
                        </a:ln>
                      </wps:spPr>
                      <wps:txbx>
                        <w:txbxContent>
                          <w:p w14:paraId="3B6D11D9" w14:textId="4F5A9724" w:rsidR="00110FC6" w:rsidRPr="00125F5A" w:rsidRDefault="00110FC6" w:rsidP="00125F5A">
                            <w:pPr>
                              <w:jc w:val="center"/>
                              <w:rPr>
                                <w:rFonts w:ascii="Arial" w:hAnsi="Arial" w:cs="Arial"/>
                                <w:b/>
                              </w:rPr>
                            </w:pPr>
                            <w:r w:rsidRPr="00125F5A">
                              <w:rPr>
                                <w:rFonts w:ascii="Arial" w:hAnsi="Arial" w:cs="Arial"/>
                                <w:b/>
                              </w:rPr>
                              <w:t>Percentage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10BD60" id="_x0000_s1027" type="#_x0000_t202" style="position:absolute;margin-left:252.95pt;margin-top:598.95pt;width:102pt;height:110.6pt;z-index:251959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" stroked="f">
                <v:textbox style="mso-fit-shape-to-text:t">
                  <w:txbxContent>
                    <w:p w14:paraId="3B6D11D9" w14:textId="4F5A9724" w:rsidR="00110FC6" w:rsidRPr="00125F5A" w:rsidRDefault="00110FC6" w:rsidP="00125F5A">
                      <w:pPr>
                        <w:jc w:val="center"/>
                        <w:rPr>
                          <w:rFonts w:ascii="Arial" w:hAnsi="Arial" w:cs="Arial"/>
                          <w:b/>
                        </w:rPr>
                      </w:pPr>
                      <w:r w:rsidRPr="00125F5A">
                        <w:rPr>
                          <w:rFonts w:ascii="Arial" w:hAnsi="Arial" w:cs="Arial"/>
                          <w:b/>
                        </w:rPr>
                        <w:t>Percentage (%)</w:t>
                      </w:r>
                    </w:p>
                  </w:txbxContent>
                </v:textbox>
              </v:shape>
            </w:pict>
          </mc:Fallback>
        </mc:AlternateContent>
      </w:r>
      <w:r w:rsidR="00572ECB">
        <w:rPr>
          <w:b/>
        </w:rPr>
        <w:br w:type="page"/>
      </w:r>
    </w:p>
    <w:p w14:paraId="1B79394B" w14:textId="6FA6442A" w:rsidR="00E84B09" w:rsidRDefault="00D41E50" w:rsidP="00867A76">
      <w:pPr>
        <w:pStyle w:val="DHHSfigurecaption"/>
        <w:rPr>
          <w:lang w:eastAsia="en-AU"/>
        </w:rPr>
      </w:pPr>
      <w:bookmarkStart w:id="690" w:name="_Toc19008129"/>
      <w:bookmarkStart w:id="691" w:name="_Toc19008346"/>
      <w:bookmarkStart w:id="692" w:name="_Toc19008493"/>
      <w:bookmarkStart w:id="693" w:name="_Toc19008640"/>
      <w:bookmarkStart w:id="694" w:name="_Toc27414348"/>
      <w:r>
        <w:rPr>
          <w:lang w:eastAsia="en-AU"/>
        </w:rPr>
        <w:lastRenderedPageBreak/>
        <w:t>Figure</w:t>
      </w:r>
      <w:r w:rsidR="00E84B09" w:rsidRPr="001D32D0">
        <w:rPr>
          <w:lang w:eastAsia="en-AU"/>
        </w:rPr>
        <w:t xml:space="preserve"> 1</w:t>
      </w:r>
      <w:r w:rsidR="00E84B09">
        <w:rPr>
          <w:lang w:eastAsia="en-AU"/>
        </w:rPr>
        <w:t>2</w:t>
      </w:r>
      <w:r w:rsidR="00E84B09" w:rsidRPr="001D32D0">
        <w:rPr>
          <w:lang w:eastAsia="en-AU"/>
        </w:rPr>
        <w:t>.</w:t>
      </w:r>
      <w:r w:rsidR="00E84B09">
        <w:rPr>
          <w:lang w:eastAsia="en-AU"/>
        </w:rPr>
        <w:t>4.1</w:t>
      </w:r>
      <w:r w:rsidR="002677DD">
        <w:rPr>
          <w:lang w:eastAsia="en-AU"/>
        </w:rPr>
        <w:t>:</w:t>
      </w:r>
      <w:r w:rsidR="00E84B09" w:rsidRPr="001D32D0">
        <w:rPr>
          <w:lang w:eastAsia="en-AU"/>
        </w:rPr>
        <w:t xml:space="preserve"> </w:t>
      </w:r>
      <w:r w:rsidR="00E84B09" w:rsidRPr="00133D3D">
        <w:t xml:space="preserve">Proportion of patients </w:t>
      </w:r>
      <w:r w:rsidR="00E84B09">
        <w:t xml:space="preserve">with non-metastatic breast cancer </w:t>
      </w:r>
      <w:r w:rsidR="00E84B09" w:rsidRPr="00133D3D">
        <w:t xml:space="preserve">receiving </w:t>
      </w:r>
      <w:r w:rsidR="00E84B09">
        <w:t xml:space="preserve">radical </w:t>
      </w:r>
      <w:r w:rsidR="00E84B09" w:rsidRPr="00133D3D">
        <w:t xml:space="preserve">radiotherapy as part of </w:t>
      </w:r>
      <w:r w:rsidR="00E84B09">
        <w:t>their primary</w:t>
      </w:r>
      <w:r w:rsidR="00E84B09" w:rsidRPr="00133D3D">
        <w:t xml:space="preserve"> treatment</w:t>
      </w:r>
      <w:r w:rsidR="00EE148C">
        <w:t>,</w:t>
      </w:r>
      <w:r w:rsidR="00E84B09">
        <w:t xml:space="preserve"> </w:t>
      </w:r>
      <w:r w:rsidR="00E84B09" w:rsidRPr="001D32D0">
        <w:rPr>
          <w:lang w:eastAsia="en-AU"/>
        </w:rPr>
        <w:t xml:space="preserve">by </w:t>
      </w:r>
      <w:r w:rsidR="00E84B09">
        <w:rPr>
          <w:lang w:eastAsia="en-AU"/>
        </w:rPr>
        <w:t xml:space="preserve">age, sex, </w:t>
      </w:r>
      <w:r w:rsidR="00D3516B">
        <w:rPr>
          <w:lang w:eastAsia="en-AU"/>
        </w:rPr>
        <w:t>I</w:t>
      </w:r>
      <w:r w:rsidR="00E84B09">
        <w:rPr>
          <w:lang w:eastAsia="en-AU"/>
        </w:rPr>
        <w:t>ndigenous status</w:t>
      </w:r>
      <w:r w:rsidR="00EE148C">
        <w:rPr>
          <w:lang w:eastAsia="en-AU"/>
        </w:rPr>
        <w:t>,</w:t>
      </w:r>
      <w:r w:rsidR="00E84B09">
        <w:rPr>
          <w:lang w:eastAsia="en-AU"/>
        </w:rPr>
        <w:t xml:space="preserve"> language spoken at home</w:t>
      </w:r>
      <w:r w:rsidR="00E84B09" w:rsidRPr="001D32D0">
        <w:rPr>
          <w:lang w:eastAsia="en-AU"/>
        </w:rPr>
        <w:t xml:space="preserve">, </w:t>
      </w:r>
      <w:r w:rsidR="00EC6317">
        <w:rPr>
          <w:lang w:eastAsia="en-AU"/>
        </w:rPr>
        <w:t xml:space="preserve">remoteness area, </w:t>
      </w:r>
      <w:r w:rsidR="002677DD">
        <w:rPr>
          <w:lang w:eastAsia="en-AU"/>
        </w:rPr>
        <w:t>SES</w:t>
      </w:r>
      <w:r w:rsidR="00EC6317">
        <w:rPr>
          <w:lang w:eastAsia="en-AU"/>
        </w:rPr>
        <w:t xml:space="preserve"> and ICS,</w:t>
      </w:r>
      <w:r w:rsidR="00EC6317" w:rsidRPr="001D32D0">
        <w:rPr>
          <w:lang w:eastAsia="en-AU"/>
        </w:rPr>
        <w:t xml:space="preserve"> </w:t>
      </w:r>
      <w:r w:rsidR="00E84B09" w:rsidRPr="001D32D0">
        <w:rPr>
          <w:lang w:eastAsia="en-AU"/>
        </w:rPr>
        <w:t>2014</w:t>
      </w:r>
      <w:r w:rsidR="002677DD">
        <w:rPr>
          <w:lang w:eastAsia="en-AU"/>
        </w:rPr>
        <w:t>–</w:t>
      </w:r>
      <w:r w:rsidR="00E84B09" w:rsidRPr="001D32D0">
        <w:rPr>
          <w:lang w:eastAsia="en-AU"/>
        </w:rPr>
        <w:t>2016</w:t>
      </w:r>
      <w:bookmarkEnd w:id="690"/>
      <w:bookmarkEnd w:id="691"/>
      <w:bookmarkEnd w:id="692"/>
      <w:bookmarkEnd w:id="693"/>
      <w:bookmarkEnd w:id="694"/>
    </w:p>
    <w:p w14:paraId="50040258" w14:textId="78F21955" w:rsidR="007E51A0" w:rsidRDefault="00FD5A28" w:rsidP="00245781">
      <w:pPr>
        <w:pStyle w:val="DHHSbody"/>
        <w:rPr>
          <w:b/>
          <w:lang w:eastAsia="en-AU"/>
        </w:rPr>
      </w:pPr>
      <w:r>
        <w:rPr>
          <w:b/>
          <w:noProof/>
          <w:lang w:eastAsia="en-AU"/>
        </w:rPr>
        <w:drawing>
          <wp:inline distT="0" distB="0" distL="0" distR="0" wp14:anchorId="78E70905" wp14:editId="12696AB9">
            <wp:extent cx="6718300" cy="7876540"/>
            <wp:effectExtent l="0" t="0" r="6350" b="0"/>
            <wp:docPr id="497" name="Picture 497" descr="This figure shows a data summary of 'Measure 12.4 – Proportion of patients with non-metastatic lung, breast, rectal and oesophageal cancers receiving radical radiotherapy as part of their primary treatment'. Specially this figure focuses on breast cancer via subgroups namely age. sex, Indigenous status, language spoken at home, remoteness area, socioeconomic status and Integrated Cancer Service  for the study period 2014-2016.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718300" cy="7876540"/>
                    </a:xfrm>
                    <a:prstGeom prst="rect">
                      <a:avLst/>
                    </a:prstGeom>
                    <a:noFill/>
                  </pic:spPr>
                </pic:pic>
              </a:graphicData>
            </a:graphic>
          </wp:inline>
        </w:drawing>
      </w:r>
    </w:p>
    <w:p w14:paraId="5BE348BC" w14:textId="3E1D434C" w:rsidR="00B27CE0" w:rsidRDefault="00F710DB" w:rsidP="00F710DB">
      <w:pPr>
        <w:pStyle w:val="DHHSbody"/>
        <w:rPr>
          <w:b/>
          <w:lang w:eastAsia="en-AU"/>
        </w:rPr>
      </w:pPr>
      <w:r>
        <w:rPr>
          <w:rFonts w:cs="Arial"/>
          <w:i/>
          <w:color w:val="000000"/>
          <w:sz w:val="18"/>
          <w:szCs w:val="18"/>
        </w:rPr>
        <w:t>Appendix 2 provides the dataset.</w:t>
      </w:r>
      <w:r w:rsidR="00B27CE0">
        <w:rPr>
          <w:b/>
        </w:rPr>
        <w:br w:type="page"/>
      </w:r>
    </w:p>
    <w:p w14:paraId="1C8ECFE9" w14:textId="6476AAE0" w:rsidR="00E84B09" w:rsidRDefault="00384275" w:rsidP="00867A76">
      <w:pPr>
        <w:pStyle w:val="DHHSfigurecaption"/>
        <w:rPr>
          <w:lang w:eastAsia="en-AU"/>
        </w:rPr>
      </w:pPr>
      <w:bookmarkStart w:id="695" w:name="_Toc19008130"/>
      <w:bookmarkStart w:id="696" w:name="_Toc19008347"/>
      <w:bookmarkStart w:id="697" w:name="_Toc19008494"/>
      <w:bookmarkStart w:id="698" w:name="_Toc19008641"/>
      <w:bookmarkStart w:id="699" w:name="_Toc27414349"/>
      <w:r>
        <w:rPr>
          <w:lang w:eastAsia="en-AU"/>
        </w:rPr>
        <w:lastRenderedPageBreak/>
        <w:t>Figure</w:t>
      </w:r>
      <w:r w:rsidR="00E84B09" w:rsidRPr="001D32D0">
        <w:rPr>
          <w:lang w:eastAsia="en-AU"/>
        </w:rPr>
        <w:t xml:space="preserve"> 1</w:t>
      </w:r>
      <w:r w:rsidR="00E84B09">
        <w:rPr>
          <w:lang w:eastAsia="en-AU"/>
        </w:rPr>
        <w:t>2</w:t>
      </w:r>
      <w:r w:rsidR="00E84B09" w:rsidRPr="001D32D0">
        <w:rPr>
          <w:lang w:eastAsia="en-AU"/>
        </w:rPr>
        <w:t>.</w:t>
      </w:r>
      <w:r w:rsidR="00E84B09">
        <w:rPr>
          <w:lang w:eastAsia="en-AU"/>
        </w:rPr>
        <w:t>4.2</w:t>
      </w:r>
      <w:r w:rsidR="002677DD">
        <w:rPr>
          <w:lang w:eastAsia="en-AU"/>
        </w:rPr>
        <w:t>:</w:t>
      </w:r>
      <w:r w:rsidR="00E84B09" w:rsidRPr="001D32D0">
        <w:rPr>
          <w:lang w:eastAsia="en-AU"/>
        </w:rPr>
        <w:t xml:space="preserve"> </w:t>
      </w:r>
      <w:r w:rsidR="00E84B09" w:rsidRPr="00133D3D">
        <w:t xml:space="preserve">Proportion of patients </w:t>
      </w:r>
      <w:r w:rsidR="00E84B09">
        <w:t xml:space="preserve">with non-metastatic colorectal cancer </w:t>
      </w:r>
      <w:r w:rsidR="00E84B09" w:rsidRPr="00133D3D">
        <w:t xml:space="preserve">receiving </w:t>
      </w:r>
      <w:r w:rsidR="00E84B09">
        <w:t xml:space="preserve">radical </w:t>
      </w:r>
      <w:r w:rsidR="00E84B09" w:rsidRPr="00133D3D">
        <w:t xml:space="preserve">radiotherapy as part of </w:t>
      </w:r>
      <w:r w:rsidR="00E84B09">
        <w:t>their primary</w:t>
      </w:r>
      <w:r w:rsidR="00E84B09" w:rsidRPr="00133D3D">
        <w:t xml:space="preserve"> treatment</w:t>
      </w:r>
      <w:r w:rsidR="00611CE2">
        <w:t>,</w:t>
      </w:r>
      <w:r w:rsidR="00E84B09">
        <w:t xml:space="preserve"> </w:t>
      </w:r>
      <w:r w:rsidR="00E84B09" w:rsidRPr="001D32D0">
        <w:rPr>
          <w:lang w:eastAsia="en-AU"/>
        </w:rPr>
        <w:t xml:space="preserve">by </w:t>
      </w:r>
      <w:r w:rsidR="00E84B09">
        <w:rPr>
          <w:lang w:eastAsia="en-AU"/>
        </w:rPr>
        <w:t xml:space="preserve">age, sex, </w:t>
      </w:r>
      <w:r w:rsidR="00D3516B">
        <w:rPr>
          <w:lang w:eastAsia="en-AU"/>
        </w:rPr>
        <w:t>I</w:t>
      </w:r>
      <w:r w:rsidR="00E84B09">
        <w:rPr>
          <w:lang w:eastAsia="en-AU"/>
        </w:rPr>
        <w:t>ndigenous status, language spoken at home</w:t>
      </w:r>
      <w:r w:rsidR="00EC6317" w:rsidRPr="001D32D0">
        <w:rPr>
          <w:lang w:eastAsia="en-AU"/>
        </w:rPr>
        <w:t xml:space="preserve">, </w:t>
      </w:r>
      <w:r w:rsidR="00EC6317">
        <w:rPr>
          <w:lang w:eastAsia="en-AU"/>
        </w:rPr>
        <w:t xml:space="preserve">remoteness area, </w:t>
      </w:r>
      <w:r w:rsidR="002677DD">
        <w:rPr>
          <w:lang w:eastAsia="en-AU"/>
        </w:rPr>
        <w:t>SES</w:t>
      </w:r>
      <w:r w:rsidR="00EC6317">
        <w:rPr>
          <w:lang w:eastAsia="en-AU"/>
        </w:rPr>
        <w:t xml:space="preserve"> and ICS,</w:t>
      </w:r>
      <w:r w:rsidR="00E84B09" w:rsidRPr="001D32D0">
        <w:rPr>
          <w:lang w:eastAsia="en-AU"/>
        </w:rPr>
        <w:t xml:space="preserve"> 2014</w:t>
      </w:r>
      <w:r w:rsidR="002677DD">
        <w:rPr>
          <w:lang w:eastAsia="en-AU"/>
        </w:rPr>
        <w:t>–</w:t>
      </w:r>
      <w:r w:rsidR="00E84B09" w:rsidRPr="001D32D0">
        <w:rPr>
          <w:lang w:eastAsia="en-AU"/>
        </w:rPr>
        <w:t>2016</w:t>
      </w:r>
      <w:bookmarkEnd w:id="695"/>
      <w:bookmarkEnd w:id="696"/>
      <w:bookmarkEnd w:id="697"/>
      <w:bookmarkEnd w:id="698"/>
      <w:bookmarkEnd w:id="699"/>
    </w:p>
    <w:p w14:paraId="08891E8C" w14:textId="1090020B" w:rsidR="009768C6" w:rsidRDefault="00FD5A28" w:rsidP="00245781">
      <w:pPr>
        <w:pStyle w:val="DHHSbody"/>
        <w:rPr>
          <w:b/>
          <w:lang w:eastAsia="en-AU"/>
        </w:rPr>
      </w:pPr>
      <w:r>
        <w:rPr>
          <w:b/>
          <w:noProof/>
          <w:lang w:eastAsia="en-AU"/>
        </w:rPr>
        <w:drawing>
          <wp:inline distT="0" distB="0" distL="0" distR="0" wp14:anchorId="4D81F3C8" wp14:editId="579EF9D7">
            <wp:extent cx="6712585" cy="7730490"/>
            <wp:effectExtent l="0" t="0" r="0" b="3810"/>
            <wp:docPr id="498" name="Picture 498" descr="This figure shows a data summary of 'Measure 12.4 – Proportion of patients with non-metastatic lung, breast, rectal and oesophageal cancers receiving radical radiotherapy as part of their primary treatment'. Specially this figure focuses on colorectal cancer via subgroups namely age. sex, Indigenous status, language spoken at home, remoteness area, socioeconomic status and Integrated Cancer Service  for the study period 2014-2016.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712585" cy="7730490"/>
                    </a:xfrm>
                    <a:prstGeom prst="rect">
                      <a:avLst/>
                    </a:prstGeom>
                    <a:noFill/>
                  </pic:spPr>
                </pic:pic>
              </a:graphicData>
            </a:graphic>
          </wp:inline>
        </w:drawing>
      </w:r>
    </w:p>
    <w:p w14:paraId="14C8F74D" w14:textId="03AB968D" w:rsidR="00BE3A51" w:rsidRDefault="00F710DB" w:rsidP="00F710DB">
      <w:pPr>
        <w:pStyle w:val="DHHSbody"/>
        <w:rPr>
          <w:b/>
          <w:lang w:eastAsia="en-AU"/>
        </w:rPr>
      </w:pPr>
      <w:r>
        <w:rPr>
          <w:rFonts w:cs="Arial"/>
          <w:i/>
          <w:color w:val="000000"/>
          <w:sz w:val="18"/>
          <w:szCs w:val="18"/>
        </w:rPr>
        <w:t>Appendix 2 provides the dataset.</w:t>
      </w:r>
      <w:r w:rsidR="00B91E44" w:rsidRPr="00EF5876">
        <w:rPr>
          <w:b/>
          <w:noProof/>
        </w:rPr>
        <mc:AlternateContent>
          <mc:Choice Requires="wps">
            <w:drawing>
              <wp:anchor distT="45720" distB="45720" distL="114300" distR="114300" simplePos="0" relativeHeight="251961344" behindDoc="0" locked="0" layoutInCell="1" allowOverlap="1" wp14:anchorId="7C6F989D" wp14:editId="358564EB">
                <wp:simplePos x="0" y="0"/>
                <wp:positionH relativeFrom="column">
                  <wp:posOffset>2961146</wp:posOffset>
                </wp:positionH>
                <wp:positionV relativeFrom="paragraph">
                  <wp:posOffset>8823536</wp:posOffset>
                </wp:positionV>
                <wp:extent cx="1133475" cy="1404620"/>
                <wp:effectExtent l="0" t="0" r="9525"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solidFill>
                          <a:srgbClr val="FFFFFF"/>
                        </a:solidFill>
                        <a:ln w="9525">
                          <a:noFill/>
                          <a:miter lim="800000"/>
                          <a:headEnd/>
                          <a:tailEnd/>
                        </a:ln>
                      </wps:spPr>
                      <wps:txbx>
                        <w:txbxContent>
                          <w:p w14:paraId="27B31B67" w14:textId="110E0B3F" w:rsidR="00110FC6" w:rsidRPr="00EF5876" w:rsidRDefault="00110FC6">
                            <w:pPr>
                              <w:rPr>
                                <w:rFonts w:ascii="Arial" w:hAnsi="Arial" w:cs="Arial"/>
                                <w:b/>
                                <w:sz w:val="18"/>
                                <w:szCs w:val="18"/>
                              </w:rPr>
                            </w:pPr>
                            <w:r w:rsidRPr="00EF5876">
                              <w:rPr>
                                <w:rFonts w:ascii="Arial" w:hAnsi="Arial" w:cs="Arial"/>
                                <w:b/>
                                <w:sz w:val="18"/>
                                <w:szCs w:val="18"/>
                              </w:rPr>
                              <w:t>Percentage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6F989D" id="_x0000_s1028" type="#_x0000_t202" style="position:absolute;margin-left:233.15pt;margin-top:694.75pt;width:89.25pt;height:110.6pt;z-index:251961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" stroked="f">
                <v:textbox style="mso-fit-shape-to-text:t">
                  <w:txbxContent>
                    <w:p w14:paraId="27B31B67" w14:textId="110E0B3F" w:rsidR="00110FC6" w:rsidRPr="00EF5876" w:rsidRDefault="00110FC6">
                      <w:pPr>
                        <w:rPr>
                          <w:rFonts w:ascii="Arial" w:hAnsi="Arial" w:cs="Arial"/>
                          <w:b/>
                          <w:sz w:val="18"/>
                          <w:szCs w:val="18"/>
                        </w:rPr>
                      </w:pPr>
                      <w:r w:rsidRPr="00EF5876">
                        <w:rPr>
                          <w:rFonts w:ascii="Arial" w:hAnsi="Arial" w:cs="Arial"/>
                          <w:b/>
                          <w:sz w:val="18"/>
                          <w:szCs w:val="18"/>
                        </w:rPr>
                        <w:t>Percentage (%)</w:t>
                      </w:r>
                    </w:p>
                  </w:txbxContent>
                </v:textbox>
              </v:shape>
            </w:pict>
          </mc:Fallback>
        </mc:AlternateContent>
      </w:r>
      <w:r w:rsidR="00BE3A51">
        <w:rPr>
          <w:b/>
        </w:rPr>
        <w:br w:type="page"/>
      </w:r>
    </w:p>
    <w:p w14:paraId="66D87B81" w14:textId="2B9C0E5A" w:rsidR="00E84B09" w:rsidRDefault="00965A7D" w:rsidP="00867A76">
      <w:pPr>
        <w:pStyle w:val="DHHSfigurecaption"/>
        <w:rPr>
          <w:lang w:eastAsia="en-AU"/>
        </w:rPr>
      </w:pPr>
      <w:bookmarkStart w:id="700" w:name="_Toc19008131"/>
      <w:bookmarkStart w:id="701" w:name="_Toc19008348"/>
      <w:bookmarkStart w:id="702" w:name="_Toc19008495"/>
      <w:bookmarkStart w:id="703" w:name="_Toc19008642"/>
      <w:bookmarkStart w:id="704" w:name="_Toc27414350"/>
      <w:r>
        <w:rPr>
          <w:lang w:eastAsia="en-AU"/>
        </w:rPr>
        <w:lastRenderedPageBreak/>
        <w:t>Figure</w:t>
      </w:r>
      <w:r w:rsidR="00E84B09" w:rsidRPr="001D32D0">
        <w:rPr>
          <w:lang w:eastAsia="en-AU"/>
        </w:rPr>
        <w:t xml:space="preserve"> 1</w:t>
      </w:r>
      <w:r w:rsidR="00E84B09">
        <w:rPr>
          <w:lang w:eastAsia="en-AU"/>
        </w:rPr>
        <w:t>2</w:t>
      </w:r>
      <w:r w:rsidR="00E84B09" w:rsidRPr="001D32D0">
        <w:rPr>
          <w:lang w:eastAsia="en-AU"/>
        </w:rPr>
        <w:t>.</w:t>
      </w:r>
      <w:r w:rsidR="00E84B09">
        <w:rPr>
          <w:lang w:eastAsia="en-AU"/>
        </w:rPr>
        <w:t>4.3</w:t>
      </w:r>
      <w:r w:rsidR="002677DD">
        <w:rPr>
          <w:lang w:eastAsia="en-AU"/>
        </w:rPr>
        <w:t>:</w:t>
      </w:r>
      <w:r w:rsidR="00E84B09" w:rsidRPr="001D32D0">
        <w:rPr>
          <w:lang w:eastAsia="en-AU"/>
        </w:rPr>
        <w:t xml:space="preserve"> </w:t>
      </w:r>
      <w:r w:rsidR="00E84B09" w:rsidRPr="00133D3D">
        <w:t xml:space="preserve">Proportion of patients </w:t>
      </w:r>
      <w:r w:rsidR="00E84B09">
        <w:t xml:space="preserve">with non-metastatic oesophageal cancer </w:t>
      </w:r>
      <w:r w:rsidR="00E84B09" w:rsidRPr="00133D3D">
        <w:t xml:space="preserve">receiving </w:t>
      </w:r>
      <w:r w:rsidR="00E84B09">
        <w:t xml:space="preserve">radical </w:t>
      </w:r>
      <w:r w:rsidR="00E84B09" w:rsidRPr="00133D3D">
        <w:t xml:space="preserve">radiotherapy as part of </w:t>
      </w:r>
      <w:r w:rsidR="00E84B09">
        <w:t>their primary</w:t>
      </w:r>
      <w:r w:rsidR="00E84B09" w:rsidRPr="00133D3D">
        <w:t xml:space="preserve"> treatment</w:t>
      </w:r>
      <w:r w:rsidR="00611CE2">
        <w:t>,</w:t>
      </w:r>
      <w:r w:rsidR="00E84B09">
        <w:t xml:space="preserve"> </w:t>
      </w:r>
      <w:r w:rsidR="00E84B09" w:rsidRPr="001D32D0">
        <w:rPr>
          <w:lang w:eastAsia="en-AU"/>
        </w:rPr>
        <w:t xml:space="preserve">by </w:t>
      </w:r>
      <w:r w:rsidR="00E84B09">
        <w:rPr>
          <w:lang w:eastAsia="en-AU"/>
        </w:rPr>
        <w:t xml:space="preserve">age, sex, </w:t>
      </w:r>
      <w:r w:rsidR="00D3516B">
        <w:rPr>
          <w:lang w:eastAsia="en-AU"/>
        </w:rPr>
        <w:t>I</w:t>
      </w:r>
      <w:r w:rsidR="00E84B09">
        <w:rPr>
          <w:lang w:eastAsia="en-AU"/>
        </w:rPr>
        <w:t>ndigenous status, language spoken at home</w:t>
      </w:r>
      <w:r w:rsidR="00E84B09" w:rsidRPr="001D32D0">
        <w:rPr>
          <w:lang w:eastAsia="en-AU"/>
        </w:rPr>
        <w:t xml:space="preserve">, </w:t>
      </w:r>
      <w:r w:rsidR="00EC6317">
        <w:rPr>
          <w:lang w:eastAsia="en-AU"/>
        </w:rPr>
        <w:t xml:space="preserve">remoteness area, </w:t>
      </w:r>
      <w:r w:rsidR="002677DD">
        <w:rPr>
          <w:lang w:eastAsia="en-AU"/>
        </w:rPr>
        <w:t>SES</w:t>
      </w:r>
      <w:r w:rsidR="00EC6317">
        <w:rPr>
          <w:lang w:eastAsia="en-AU"/>
        </w:rPr>
        <w:t xml:space="preserve"> and ICS,</w:t>
      </w:r>
      <w:r w:rsidR="00EC6317" w:rsidRPr="001D32D0">
        <w:rPr>
          <w:lang w:eastAsia="en-AU"/>
        </w:rPr>
        <w:t xml:space="preserve"> </w:t>
      </w:r>
      <w:r w:rsidR="00E84B09" w:rsidRPr="001D32D0">
        <w:rPr>
          <w:lang w:eastAsia="en-AU"/>
        </w:rPr>
        <w:t>2014</w:t>
      </w:r>
      <w:r w:rsidR="002677DD">
        <w:rPr>
          <w:lang w:eastAsia="en-AU"/>
        </w:rPr>
        <w:t>–</w:t>
      </w:r>
      <w:r w:rsidR="00E84B09" w:rsidRPr="001D32D0">
        <w:rPr>
          <w:lang w:eastAsia="en-AU"/>
        </w:rPr>
        <w:t>2016</w:t>
      </w:r>
      <w:bookmarkEnd w:id="700"/>
      <w:bookmarkEnd w:id="701"/>
      <w:bookmarkEnd w:id="702"/>
      <w:bookmarkEnd w:id="703"/>
      <w:bookmarkEnd w:id="704"/>
    </w:p>
    <w:p w14:paraId="1CDF602C" w14:textId="1A687103" w:rsidR="000A7270" w:rsidRDefault="00FD5A28" w:rsidP="00245781">
      <w:pPr>
        <w:pStyle w:val="DHHSbody"/>
        <w:rPr>
          <w:b/>
          <w:lang w:eastAsia="en-AU"/>
        </w:rPr>
      </w:pPr>
      <w:r>
        <w:rPr>
          <w:b/>
          <w:noProof/>
          <w:lang w:eastAsia="en-AU"/>
        </w:rPr>
        <w:drawing>
          <wp:inline distT="0" distB="0" distL="0" distR="0" wp14:anchorId="49E014A3" wp14:editId="4A6083B5">
            <wp:extent cx="6730365" cy="7852410"/>
            <wp:effectExtent l="0" t="0" r="0" b="0"/>
            <wp:docPr id="499" name="Picture 499" descr="This figure shows a data summary of 'Measure 12.4 – Proportion of patients with non-metastatic lung, breast, rectal and oesophageal cancers receiving radical radiotherapy as part of their primary treatment'. Specially this figure focuses on oesophageal cancer via subgroups namely age. sex, Indigenous status, language spoken at home, remoteness area, socioeconomic status and Integrated Cancer Service  for the study period 2014-2016. The data set is available under 'Measure 12.4 – Proportion of patients with non–metastatic lung, breast, rectal and oesophageal cancers receiving radical radiotherapy as part of their primary treatment'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730365" cy="7852410"/>
                    </a:xfrm>
                    <a:prstGeom prst="rect">
                      <a:avLst/>
                    </a:prstGeom>
                    <a:noFill/>
                  </pic:spPr>
                </pic:pic>
              </a:graphicData>
            </a:graphic>
          </wp:inline>
        </w:drawing>
      </w:r>
    </w:p>
    <w:p w14:paraId="6F301734" w14:textId="22F726EB" w:rsidR="00F710DB" w:rsidRDefault="00F710DB" w:rsidP="00F710DB">
      <w:pPr>
        <w:pStyle w:val="DHHSbody"/>
        <w:rPr>
          <w:b/>
          <w:lang w:eastAsia="en-AU"/>
        </w:rPr>
      </w:pPr>
      <w:r>
        <w:rPr>
          <w:rFonts w:cs="Arial"/>
          <w:i/>
          <w:color w:val="000000"/>
          <w:sz w:val="18"/>
          <w:szCs w:val="18"/>
        </w:rPr>
        <w:t>Appendix 2 provides the dataset.</w:t>
      </w:r>
    </w:p>
    <w:p w14:paraId="22D153CF" w14:textId="211E3918" w:rsidR="00907FA8" w:rsidRPr="00671C7A" w:rsidRDefault="00907FA8" w:rsidP="00940E89">
      <w:pPr>
        <w:pStyle w:val="Heading4"/>
        <w:spacing w:before="0" w:line="270" w:lineRule="atLeast"/>
        <w:rPr>
          <w:lang w:eastAsia="en-AU"/>
        </w:rPr>
      </w:pPr>
      <w:r>
        <w:rPr>
          <w:lang w:eastAsia="en-AU"/>
        </w:rPr>
        <w:lastRenderedPageBreak/>
        <w:t>Measure assessment</w:t>
      </w:r>
    </w:p>
    <w:p w14:paraId="238241BC" w14:textId="1067EAFC" w:rsidR="00EA3932" w:rsidRPr="00940E89" w:rsidRDefault="00907FA8" w:rsidP="00940E89">
      <w:pPr>
        <w:autoSpaceDE w:val="0"/>
        <w:autoSpaceDN w:val="0"/>
        <w:adjustRightInd w:val="0"/>
        <w:spacing w:after="120" w:line="270" w:lineRule="atLeast"/>
        <w:rPr>
          <w:rFonts w:ascii="Arial" w:hAnsi="Arial" w:cs="Arial"/>
          <w:color w:val="C5511A"/>
        </w:rPr>
      </w:pPr>
      <w:r w:rsidRPr="00EC6317">
        <w:rPr>
          <w:rFonts w:ascii="Arial" w:hAnsi="Arial" w:cs="Arial"/>
        </w:rPr>
        <w:t xml:space="preserve">Traffic light rating: </w:t>
      </w:r>
      <w:r w:rsidR="00EC6317"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494C6FBB" w14:textId="24C10E1A" w:rsidR="00907FA8" w:rsidRPr="00CD2303" w:rsidRDefault="00907FA8" w:rsidP="00940E89">
      <w:pPr>
        <w:spacing w:after="120" w:line="270" w:lineRule="atLeast"/>
        <w:rPr>
          <w:rFonts w:ascii="Arial" w:hAnsi="Arial" w:cs="Arial"/>
          <w:b/>
        </w:rPr>
      </w:pPr>
      <w:r w:rsidRPr="00D85EE0">
        <w:rPr>
          <w:rFonts w:ascii="Arial" w:hAnsi="Arial" w:cs="Arial"/>
        </w:rPr>
        <w:t>Overall trend:</w:t>
      </w:r>
      <w:r>
        <w:rPr>
          <w:rFonts w:ascii="Arial" w:hAnsi="Arial" w:cs="Arial"/>
        </w:rPr>
        <w:t xml:space="preserve"> </w:t>
      </w:r>
      <w:r w:rsidR="00501D26">
        <w:rPr>
          <w:rFonts w:ascii="Arial" w:hAnsi="Arial" w:cs="Arial"/>
        </w:rPr>
        <w:t>Static or unchanging</w:t>
      </w:r>
    </w:p>
    <w:p w14:paraId="60F75B80" w14:textId="4009CDCF" w:rsidR="00B11082" w:rsidRDefault="00907FA8" w:rsidP="00940E89">
      <w:pPr>
        <w:spacing w:after="120" w:line="270" w:lineRule="atLeast"/>
        <w:rPr>
          <w:rFonts w:ascii="Arial" w:hAnsi="Arial" w:cs="Arial"/>
          <w:lang w:val="en-GB"/>
        </w:rPr>
      </w:pPr>
      <w:r>
        <w:rPr>
          <w:rFonts w:ascii="Arial" w:hAnsi="Arial" w:cs="Arial"/>
        </w:rPr>
        <w:t xml:space="preserve">Commentary: </w:t>
      </w:r>
      <w:r w:rsidR="000420D4">
        <w:rPr>
          <w:rFonts w:ascii="Arial" w:hAnsi="Arial" w:cs="Arial"/>
        </w:rPr>
        <w:t>Radical r</w:t>
      </w:r>
      <w:r>
        <w:rPr>
          <w:rFonts w:ascii="Arial" w:hAnsi="Arial" w:cs="Arial"/>
        </w:rPr>
        <w:t xml:space="preserve">adiotherapy, also known as </w:t>
      </w:r>
      <w:r>
        <w:rPr>
          <w:rFonts w:ascii="Arial" w:hAnsi="Arial" w:cs="Arial"/>
          <w:lang w:val="en-GB"/>
        </w:rPr>
        <w:t>r</w:t>
      </w:r>
      <w:r w:rsidR="00D76046" w:rsidRPr="00D76046">
        <w:rPr>
          <w:rFonts w:ascii="Arial" w:hAnsi="Arial" w:cs="Arial"/>
          <w:lang w:val="en-GB"/>
        </w:rPr>
        <w:t xml:space="preserve">adiation therapy, is one of the main treatments for </w:t>
      </w:r>
      <w:r w:rsidR="00525189">
        <w:rPr>
          <w:rFonts w:ascii="Arial" w:hAnsi="Arial" w:cs="Arial"/>
          <w:lang w:val="en-GB"/>
        </w:rPr>
        <w:t xml:space="preserve">many </w:t>
      </w:r>
      <w:r w:rsidR="00D76046" w:rsidRPr="00D76046">
        <w:rPr>
          <w:rFonts w:ascii="Arial" w:hAnsi="Arial" w:cs="Arial"/>
          <w:lang w:val="en-GB"/>
        </w:rPr>
        <w:t>cancer</w:t>
      </w:r>
      <w:r w:rsidR="00525189">
        <w:rPr>
          <w:rFonts w:ascii="Arial" w:hAnsi="Arial" w:cs="Arial"/>
          <w:lang w:val="en-GB"/>
        </w:rPr>
        <w:t>s</w:t>
      </w:r>
      <w:r>
        <w:rPr>
          <w:rFonts w:ascii="Arial" w:hAnsi="Arial" w:cs="Arial"/>
          <w:lang w:val="en-GB"/>
        </w:rPr>
        <w:t>.</w:t>
      </w:r>
      <w:r w:rsidR="00952FC7">
        <w:rPr>
          <w:rFonts w:ascii="Arial" w:hAnsi="Arial" w:cs="Arial"/>
          <w:lang w:val="en-GB"/>
        </w:rPr>
        <w:t xml:space="preserve"> </w:t>
      </w:r>
      <w:r w:rsidR="00D85EE0">
        <w:rPr>
          <w:rFonts w:ascii="Arial" w:hAnsi="Arial" w:cs="Arial"/>
          <w:lang w:val="en-GB"/>
        </w:rPr>
        <w:t>It is also an area of health in which new technologies are emerging rapidly.</w:t>
      </w:r>
      <w:r w:rsidR="00952FC7">
        <w:rPr>
          <w:rFonts w:ascii="Arial" w:hAnsi="Arial" w:cs="Arial"/>
          <w:lang w:val="en-GB"/>
        </w:rPr>
        <w:t xml:space="preserve"> </w:t>
      </w:r>
      <w:r w:rsidR="00B11082">
        <w:rPr>
          <w:rFonts w:ascii="Arial" w:hAnsi="Arial" w:cs="Arial"/>
          <w:lang w:val="en-GB"/>
        </w:rPr>
        <w:t xml:space="preserve">This measure focuses on </w:t>
      </w:r>
      <w:r w:rsidR="001027F4">
        <w:rPr>
          <w:rFonts w:ascii="Arial" w:hAnsi="Arial" w:cs="Arial"/>
          <w:lang w:val="en-GB"/>
        </w:rPr>
        <w:t xml:space="preserve">the proportion of </w:t>
      </w:r>
      <w:r w:rsidR="00B11082">
        <w:rPr>
          <w:rFonts w:ascii="Arial" w:hAnsi="Arial" w:cs="Arial"/>
          <w:lang w:val="en-GB"/>
        </w:rPr>
        <w:t>patients with</w:t>
      </w:r>
      <w:r w:rsidR="001027F4">
        <w:rPr>
          <w:rFonts w:ascii="Arial" w:hAnsi="Arial" w:cs="Arial"/>
          <w:lang w:val="en-GB"/>
        </w:rPr>
        <w:t xml:space="preserve"> non-metastatic lung, breast, colorectal and/or oesophageal cancers who receive radiotherapy as part of their treatment.</w:t>
      </w:r>
      <w:r w:rsidR="00952FC7">
        <w:rPr>
          <w:rFonts w:ascii="Arial" w:hAnsi="Arial" w:cs="Arial"/>
          <w:lang w:val="en-GB"/>
        </w:rPr>
        <w:t xml:space="preserve"> </w:t>
      </w:r>
      <w:r w:rsidR="000F46BB">
        <w:rPr>
          <w:rFonts w:ascii="Arial" w:hAnsi="Arial" w:cs="Arial"/>
          <w:lang w:val="en-GB"/>
        </w:rPr>
        <w:t xml:space="preserve">Of the four tumour streams, breast cancer (female and male) recorded the highest proportion of patients receiving </w:t>
      </w:r>
      <w:r w:rsidR="000420D4">
        <w:rPr>
          <w:rFonts w:ascii="Arial" w:hAnsi="Arial" w:cs="Arial"/>
          <w:lang w:val="en-GB"/>
        </w:rPr>
        <w:t>radiotherapy</w:t>
      </w:r>
      <w:r w:rsidR="000F46BB">
        <w:rPr>
          <w:rFonts w:ascii="Arial" w:hAnsi="Arial" w:cs="Arial"/>
          <w:lang w:val="en-GB"/>
        </w:rPr>
        <w:t xml:space="preserve"> at 63.6 per cent in 2014 rising to 64.6 per cent in 2016.</w:t>
      </w:r>
      <w:r w:rsidR="00952FC7">
        <w:rPr>
          <w:rFonts w:ascii="Arial" w:hAnsi="Arial" w:cs="Arial"/>
          <w:lang w:val="en-GB"/>
        </w:rPr>
        <w:t xml:space="preserve"> </w:t>
      </w:r>
      <w:r w:rsidR="000F46BB">
        <w:rPr>
          <w:rFonts w:ascii="Arial" w:hAnsi="Arial" w:cs="Arial"/>
          <w:lang w:val="en-GB"/>
        </w:rPr>
        <w:t>By comparison colorectal recorded the next highest proportion of 36.2 per cent in 2014 and 39.7 per cent in 2016.</w:t>
      </w:r>
      <w:r w:rsidR="00952FC7">
        <w:rPr>
          <w:rFonts w:ascii="Arial" w:hAnsi="Arial" w:cs="Arial"/>
          <w:lang w:val="en-GB"/>
        </w:rPr>
        <w:t xml:space="preserve"> </w:t>
      </w:r>
      <w:r w:rsidR="000F46BB">
        <w:rPr>
          <w:rFonts w:ascii="Arial" w:hAnsi="Arial" w:cs="Arial"/>
          <w:lang w:val="en-GB"/>
        </w:rPr>
        <w:t>This was followed by oeso</w:t>
      </w:r>
      <w:r w:rsidR="00CB1DE5">
        <w:rPr>
          <w:rFonts w:ascii="Arial" w:hAnsi="Arial" w:cs="Arial"/>
          <w:lang w:val="en-GB"/>
        </w:rPr>
        <w:t>phageal cancer (32.5 per cent in 2014</w:t>
      </w:r>
      <w:r w:rsidR="00611CE2">
        <w:rPr>
          <w:rFonts w:ascii="Arial" w:hAnsi="Arial" w:cs="Arial"/>
          <w:lang w:val="en-GB"/>
        </w:rPr>
        <w:t xml:space="preserve"> and</w:t>
      </w:r>
      <w:r w:rsidR="00CB1DE5">
        <w:rPr>
          <w:rFonts w:ascii="Arial" w:hAnsi="Arial" w:cs="Arial"/>
          <w:lang w:val="en-GB"/>
        </w:rPr>
        <w:t xml:space="preserve"> 37 per cent in 2016) and lung cancer (20</w:t>
      </w:r>
      <w:r w:rsidR="00A4119B">
        <w:rPr>
          <w:rFonts w:ascii="Arial" w:hAnsi="Arial" w:cs="Arial"/>
          <w:lang w:val="en-GB"/>
        </w:rPr>
        <w:t>.4</w:t>
      </w:r>
      <w:r w:rsidR="00CB1DE5">
        <w:rPr>
          <w:rFonts w:ascii="Arial" w:hAnsi="Arial" w:cs="Arial"/>
          <w:lang w:val="en-GB"/>
        </w:rPr>
        <w:t xml:space="preserve"> </w:t>
      </w:r>
      <w:r w:rsidR="00A4119B">
        <w:rPr>
          <w:rFonts w:ascii="Arial" w:hAnsi="Arial" w:cs="Arial"/>
          <w:lang w:val="en-GB"/>
        </w:rPr>
        <w:t>p</w:t>
      </w:r>
      <w:r w:rsidR="00CB1DE5">
        <w:rPr>
          <w:rFonts w:ascii="Arial" w:hAnsi="Arial" w:cs="Arial"/>
          <w:lang w:val="en-GB"/>
        </w:rPr>
        <w:t xml:space="preserve">er cent in 2014 and 23.2 </w:t>
      </w:r>
      <w:r w:rsidR="00E83F50">
        <w:rPr>
          <w:rFonts w:ascii="Arial" w:hAnsi="Arial" w:cs="Arial"/>
          <w:lang w:val="en-GB"/>
        </w:rPr>
        <w:t>per and</w:t>
      </w:r>
      <w:r w:rsidR="00611CE2">
        <w:rPr>
          <w:rFonts w:ascii="Arial" w:hAnsi="Arial" w:cs="Arial"/>
          <w:lang w:val="en-GB"/>
        </w:rPr>
        <w:t xml:space="preserve"> </w:t>
      </w:r>
      <w:r w:rsidR="00CB1DE5">
        <w:rPr>
          <w:rFonts w:ascii="Arial" w:hAnsi="Arial" w:cs="Arial"/>
          <w:lang w:val="en-GB"/>
        </w:rPr>
        <w:t>cent in 2016</w:t>
      </w:r>
      <w:r w:rsidR="00611CE2">
        <w:rPr>
          <w:rFonts w:ascii="Arial" w:hAnsi="Arial" w:cs="Arial"/>
          <w:lang w:val="en-GB"/>
        </w:rPr>
        <w:t>)</w:t>
      </w:r>
      <w:r w:rsidR="00CB1DE5">
        <w:rPr>
          <w:rFonts w:ascii="Arial" w:hAnsi="Arial" w:cs="Arial"/>
          <w:lang w:val="en-GB"/>
        </w:rPr>
        <w:t xml:space="preserve"> (Figures 12.4, 12.4.1, 12.4.2 and 12.4.3).</w:t>
      </w:r>
      <w:r w:rsidR="003D68AB">
        <w:rPr>
          <w:rFonts w:ascii="Arial" w:hAnsi="Arial" w:cs="Arial"/>
          <w:lang w:val="en-GB"/>
        </w:rPr>
        <w:t xml:space="preserve"> </w:t>
      </w:r>
    </w:p>
    <w:p w14:paraId="09B1D47F" w14:textId="781AD13F" w:rsidR="00F710DB" w:rsidRDefault="00B11082" w:rsidP="00F710DB">
      <w:pPr>
        <w:spacing w:after="120" w:line="270" w:lineRule="atLeast"/>
        <w:rPr>
          <w:rFonts w:ascii="Arial" w:hAnsi="Arial" w:cs="Arial"/>
          <w:lang w:val="en-GB"/>
        </w:rPr>
      </w:pPr>
      <w:r w:rsidRPr="006C4A2D">
        <w:rPr>
          <w:rFonts w:ascii="Arial" w:hAnsi="Arial" w:cs="Arial"/>
          <w:lang w:val="en-GB"/>
        </w:rPr>
        <w:t>No target has been set for this measure</w:t>
      </w:r>
      <w:r w:rsidR="00B40166" w:rsidRPr="006C4A2D">
        <w:rPr>
          <w:rFonts w:ascii="Arial" w:hAnsi="Arial" w:cs="Arial"/>
          <w:lang w:val="en-GB"/>
        </w:rPr>
        <w:t>;</w:t>
      </w:r>
      <w:r w:rsidR="000F46BB" w:rsidRPr="006C4A2D">
        <w:rPr>
          <w:rFonts w:ascii="Arial" w:hAnsi="Arial" w:cs="Arial"/>
          <w:lang w:val="en-GB"/>
        </w:rPr>
        <w:t xml:space="preserve"> however</w:t>
      </w:r>
      <w:r w:rsidR="00B40166" w:rsidRPr="006C4A2D">
        <w:rPr>
          <w:rFonts w:ascii="Arial" w:hAnsi="Arial" w:cs="Arial"/>
          <w:lang w:val="en-GB"/>
        </w:rPr>
        <w:t>,</w:t>
      </w:r>
      <w:r w:rsidR="000F46BB" w:rsidRPr="006C4A2D">
        <w:rPr>
          <w:rFonts w:ascii="Arial" w:hAnsi="Arial" w:cs="Arial"/>
          <w:lang w:val="en-GB"/>
        </w:rPr>
        <w:t xml:space="preserve"> as the population of Victoria ages, </w:t>
      </w:r>
      <w:r w:rsidR="009F5037" w:rsidRPr="006C4A2D">
        <w:rPr>
          <w:rFonts w:ascii="Arial" w:hAnsi="Arial" w:cs="Arial"/>
          <w:lang w:val="en-GB"/>
        </w:rPr>
        <w:t>coupled with projected increase in cancer incidence (including age and gender profiles</w:t>
      </w:r>
      <w:r w:rsidR="00501D26" w:rsidRPr="006C4A2D">
        <w:rPr>
          <w:rStyle w:val="FootnoteReference"/>
          <w:rFonts w:cs="Arial"/>
          <w:lang w:val="en-GB"/>
        </w:rPr>
        <w:footnoteReference w:id="128"/>
      </w:r>
      <w:r w:rsidR="009F5037" w:rsidRPr="006C4A2D">
        <w:rPr>
          <w:rFonts w:ascii="Arial" w:hAnsi="Arial" w:cs="Arial"/>
          <w:lang w:val="en-GB"/>
        </w:rPr>
        <w:t>)</w:t>
      </w:r>
      <w:r w:rsidR="00A31199" w:rsidRPr="006C4A2D">
        <w:rPr>
          <w:rFonts w:ascii="Arial" w:hAnsi="Arial" w:cs="Arial"/>
          <w:lang w:val="en-GB"/>
        </w:rPr>
        <w:t xml:space="preserve"> </w:t>
      </w:r>
      <w:r w:rsidR="00F243FA">
        <w:rPr>
          <w:rFonts w:ascii="Arial" w:hAnsi="Arial" w:cs="Arial"/>
          <w:lang w:val="en-GB"/>
        </w:rPr>
        <w:t xml:space="preserve">this </w:t>
      </w:r>
      <w:r w:rsidR="00A31199" w:rsidRPr="006C4A2D">
        <w:rPr>
          <w:rFonts w:ascii="Arial" w:hAnsi="Arial" w:cs="Arial"/>
          <w:lang w:val="en-GB"/>
        </w:rPr>
        <w:t xml:space="preserve">will likely see an increase in treatment volume as it relates to radical radiotherapy.  </w:t>
      </w:r>
      <w:r w:rsidR="005A52C6" w:rsidRPr="006C4A2D">
        <w:rPr>
          <w:rFonts w:ascii="Arial" w:hAnsi="Arial" w:cs="Arial"/>
        </w:rPr>
        <w:t xml:space="preserve">Figures </w:t>
      </w:r>
      <w:r w:rsidR="005A52C6" w:rsidRPr="006C4A2D">
        <w:rPr>
          <w:rFonts w:ascii="Arial" w:hAnsi="Arial" w:cs="Arial"/>
          <w:lang w:val="en-GB"/>
        </w:rPr>
        <w:t>12.4, 12.4.1, 12.4.2 and 12.4.3 show that the proportion of patients receiving radical radiotherapy treatment varies across ICS.</w:t>
      </w:r>
      <w:r w:rsidR="00066963">
        <w:rPr>
          <w:rFonts w:ascii="Arial" w:hAnsi="Arial" w:cs="Arial"/>
          <w:lang w:val="en-GB"/>
        </w:rPr>
        <w:t xml:space="preserve"> A</w:t>
      </w:r>
      <w:r w:rsidR="005A52C6" w:rsidRPr="006C4A2D">
        <w:rPr>
          <w:rFonts w:ascii="Arial" w:hAnsi="Arial" w:cs="Arial"/>
          <w:lang w:val="en-GB"/>
        </w:rPr>
        <w:t xml:space="preserve"> </w:t>
      </w:r>
      <w:r w:rsidR="00066963">
        <w:rPr>
          <w:rFonts w:ascii="Arial" w:hAnsi="Arial" w:cs="Arial"/>
          <w:lang w:val="en-GB"/>
        </w:rPr>
        <w:t>h</w:t>
      </w:r>
      <w:r w:rsidR="005A52C6" w:rsidRPr="006C4A2D">
        <w:rPr>
          <w:rFonts w:ascii="Arial" w:hAnsi="Arial" w:cs="Arial"/>
          <w:lang w:val="en-GB"/>
        </w:rPr>
        <w:t xml:space="preserve">igher </w:t>
      </w:r>
      <w:r w:rsidR="0013544F">
        <w:rPr>
          <w:rFonts w:ascii="Arial" w:hAnsi="Arial" w:cs="Arial"/>
          <w:lang w:val="en-GB"/>
        </w:rPr>
        <w:t xml:space="preserve">proportion of patients receiving </w:t>
      </w:r>
      <w:r w:rsidR="005A52C6" w:rsidRPr="006C4A2D">
        <w:rPr>
          <w:rFonts w:ascii="Arial" w:hAnsi="Arial" w:cs="Arial"/>
          <w:lang w:val="en-GB"/>
        </w:rPr>
        <w:t xml:space="preserve">radical radiotherapy </w:t>
      </w:r>
      <w:r w:rsidR="0013544F">
        <w:rPr>
          <w:rFonts w:ascii="Arial" w:hAnsi="Arial" w:cs="Arial"/>
          <w:lang w:val="en-GB"/>
        </w:rPr>
        <w:t>as part of their primary treatment</w:t>
      </w:r>
      <w:r w:rsidR="005A52C6" w:rsidRPr="006C4A2D">
        <w:rPr>
          <w:rFonts w:ascii="Arial" w:hAnsi="Arial" w:cs="Arial"/>
          <w:lang w:val="en-GB"/>
        </w:rPr>
        <w:t xml:space="preserve"> were reported for urban patients </w:t>
      </w:r>
      <w:r w:rsidR="006C4A2D" w:rsidRPr="006C4A2D">
        <w:rPr>
          <w:rFonts w:ascii="Arial" w:hAnsi="Arial" w:cs="Arial"/>
          <w:lang w:val="en-GB"/>
        </w:rPr>
        <w:t xml:space="preserve">however </w:t>
      </w:r>
      <w:r w:rsidR="0013544F">
        <w:rPr>
          <w:rFonts w:ascii="Arial" w:hAnsi="Arial" w:cs="Arial"/>
          <w:lang w:val="en-GB"/>
        </w:rPr>
        <w:t>proportion</w:t>
      </w:r>
      <w:r w:rsidR="006C4A2D" w:rsidRPr="006C4A2D">
        <w:rPr>
          <w:rFonts w:ascii="Arial" w:hAnsi="Arial" w:cs="Arial"/>
          <w:lang w:val="en-GB"/>
        </w:rPr>
        <w:t xml:space="preserve">s for inner and outer regional/remote areas showed a steady increase </w:t>
      </w:r>
      <w:r w:rsidR="006C4A2D" w:rsidRPr="006C4A2D">
        <w:rPr>
          <w:rFonts w:ascii="Arial" w:hAnsi="Arial" w:cs="Arial"/>
        </w:rPr>
        <w:t xml:space="preserve">between 2014 and 2016 over all four tumour streams – an indication that radiotherapy services </w:t>
      </w:r>
      <w:r w:rsidR="00534B19">
        <w:rPr>
          <w:rFonts w:ascii="Arial" w:hAnsi="Arial" w:cs="Arial"/>
        </w:rPr>
        <w:t>(Albury Wodonga Regional Cancer Centre and South West Regional Cancer Centre) established in 2015 has</w:t>
      </w:r>
      <w:r w:rsidR="00EA7B01">
        <w:rPr>
          <w:rFonts w:ascii="Arial" w:hAnsi="Arial" w:cs="Arial"/>
        </w:rPr>
        <w:t xml:space="preserve"> improved</w:t>
      </w:r>
      <w:r w:rsidR="006C4A2D" w:rsidRPr="006C4A2D">
        <w:rPr>
          <w:rFonts w:ascii="Arial" w:hAnsi="Arial" w:cs="Arial"/>
        </w:rPr>
        <w:t xml:space="preserve"> access to this service </w:t>
      </w:r>
      <w:r w:rsidR="00534B19">
        <w:rPr>
          <w:rFonts w:ascii="Arial" w:hAnsi="Arial" w:cs="Arial"/>
        </w:rPr>
        <w:t xml:space="preserve">for rural patients. </w:t>
      </w:r>
      <w:r w:rsidR="00EE30C3">
        <w:rPr>
          <w:rFonts w:ascii="Arial" w:hAnsi="Arial" w:cs="Arial"/>
        </w:rPr>
        <w:t>Of note</w:t>
      </w:r>
      <w:r w:rsidR="00D3516B">
        <w:rPr>
          <w:rFonts w:ascii="Arial" w:hAnsi="Arial" w:cs="Arial"/>
        </w:rPr>
        <w:t>,</w:t>
      </w:r>
      <w:r w:rsidR="00EE30C3">
        <w:rPr>
          <w:rFonts w:ascii="Arial" w:hAnsi="Arial" w:cs="Arial"/>
        </w:rPr>
        <w:t xml:space="preserve"> too</w:t>
      </w:r>
      <w:r w:rsidR="00D3516B">
        <w:rPr>
          <w:rFonts w:ascii="Arial" w:hAnsi="Arial" w:cs="Arial"/>
        </w:rPr>
        <w:t>,</w:t>
      </w:r>
      <w:r w:rsidR="00EE30C3">
        <w:rPr>
          <w:rFonts w:ascii="Arial" w:hAnsi="Arial" w:cs="Arial"/>
        </w:rPr>
        <w:t xml:space="preserve"> Figures </w:t>
      </w:r>
      <w:r w:rsidR="00EE30C3">
        <w:rPr>
          <w:rFonts w:ascii="Arial" w:hAnsi="Arial" w:cs="Arial"/>
          <w:lang w:val="en-GB"/>
        </w:rPr>
        <w:t xml:space="preserve">12.4, 12.4.1, 12.4.2 and 12.4.3 </w:t>
      </w:r>
      <w:r w:rsidR="00D3516B">
        <w:rPr>
          <w:rFonts w:ascii="Arial" w:hAnsi="Arial" w:cs="Arial"/>
          <w:lang w:val="en-GB"/>
        </w:rPr>
        <w:t xml:space="preserve">show an </w:t>
      </w:r>
      <w:r w:rsidR="00EE30C3">
        <w:rPr>
          <w:rFonts w:ascii="Arial" w:hAnsi="Arial" w:cs="Arial"/>
          <w:lang w:val="en-GB"/>
        </w:rPr>
        <w:t>increase in</w:t>
      </w:r>
      <w:r w:rsidR="00EE30C3">
        <w:rPr>
          <w:rFonts w:ascii="Arial" w:hAnsi="Arial" w:cs="Arial"/>
        </w:rPr>
        <w:t xml:space="preserve"> the proportion of cultural</w:t>
      </w:r>
      <w:r w:rsidR="00545ACE">
        <w:rPr>
          <w:rFonts w:ascii="Arial" w:hAnsi="Arial" w:cs="Arial"/>
        </w:rPr>
        <w:t>ly</w:t>
      </w:r>
      <w:r w:rsidR="00EE30C3">
        <w:rPr>
          <w:rFonts w:ascii="Arial" w:hAnsi="Arial" w:cs="Arial"/>
        </w:rPr>
        <w:t xml:space="preserve"> diverse cancer patients who do not speak English as a first language receiving radical radiotherapy</w:t>
      </w:r>
      <w:r w:rsidR="00295EA8">
        <w:rPr>
          <w:rFonts w:ascii="Arial" w:hAnsi="Arial" w:cs="Arial"/>
        </w:rPr>
        <w:t xml:space="preserve"> </w:t>
      </w:r>
      <w:r w:rsidR="004F7120">
        <w:rPr>
          <w:rFonts w:ascii="Arial" w:hAnsi="Arial" w:cs="Arial"/>
        </w:rPr>
        <w:t xml:space="preserve">as part of their primary treatment </w:t>
      </w:r>
      <w:r w:rsidR="00295EA8">
        <w:rPr>
          <w:rFonts w:ascii="Arial" w:hAnsi="Arial" w:cs="Arial"/>
        </w:rPr>
        <w:t>between 2014 and 2016.</w:t>
      </w:r>
      <w:r w:rsidR="00952FC7">
        <w:rPr>
          <w:rFonts w:ascii="Arial" w:hAnsi="Arial" w:cs="Arial"/>
        </w:rPr>
        <w:t xml:space="preserve"> </w:t>
      </w:r>
      <w:r w:rsidR="00F710DB">
        <w:rPr>
          <w:rFonts w:ascii="Arial" w:hAnsi="Arial" w:cs="Arial"/>
          <w:lang w:val="en-GB"/>
        </w:rPr>
        <w:t xml:space="preserve">Data as it relates to Aboriginal Victorians should be interpreted with caution for all </w:t>
      </w:r>
      <w:r w:rsidR="00F710DB" w:rsidRPr="006C4A2D">
        <w:rPr>
          <w:rFonts w:ascii="Arial" w:hAnsi="Arial" w:cs="Arial"/>
        </w:rPr>
        <w:t>four tumour streams</w:t>
      </w:r>
      <w:r w:rsidR="00F710DB">
        <w:rPr>
          <w:rFonts w:ascii="Arial" w:hAnsi="Arial" w:cs="Arial"/>
        </w:rPr>
        <w:t xml:space="preserve"> because of the very low numbers of cases reported (refer to Appendix </w:t>
      </w:r>
      <w:r w:rsidR="00CD2303">
        <w:rPr>
          <w:rFonts w:ascii="Arial" w:hAnsi="Arial" w:cs="Arial"/>
        </w:rPr>
        <w:t>2)</w:t>
      </w:r>
    </w:p>
    <w:p w14:paraId="4E4DB7F8" w14:textId="4A0D7534" w:rsidR="002D0EEF" w:rsidRPr="00A31199" w:rsidRDefault="002D0EEF" w:rsidP="001A2A05">
      <w:pPr>
        <w:spacing w:after="120" w:line="270" w:lineRule="atLeast"/>
        <w:rPr>
          <w:rFonts w:ascii="Arial" w:hAnsi="Arial" w:cs="Arial"/>
          <w:lang w:val="en-GB"/>
        </w:rPr>
      </w:pPr>
      <w:r w:rsidRPr="00D76046">
        <w:rPr>
          <w:rFonts w:ascii="Arial" w:hAnsi="Arial" w:cs="Arial"/>
          <w:sz w:val="16"/>
          <w:szCs w:val="16"/>
          <w:highlight w:val="green"/>
        </w:rPr>
        <w:br w:type="page"/>
      </w:r>
    </w:p>
    <w:p w14:paraId="56E0E328" w14:textId="77777777" w:rsidR="00E2792D" w:rsidRDefault="00E2792D" w:rsidP="00DF376C">
      <w:pPr>
        <w:pStyle w:val="Heading3"/>
        <w:rPr>
          <w:lang w:eastAsia="en-AU"/>
        </w:rPr>
        <w:sectPr w:rsidR="00E2792D" w:rsidSect="00E12658">
          <w:pgSz w:w="11906" w:h="16838"/>
          <w:pgMar w:top="1701" w:right="849" w:bottom="1134" w:left="426" w:header="454" w:footer="510" w:gutter="0"/>
          <w:cols w:space="720"/>
          <w:docGrid w:linePitch="360"/>
        </w:sectPr>
      </w:pPr>
      <w:bookmarkStart w:id="705" w:name="_Toc19008132"/>
    </w:p>
    <w:p w14:paraId="6A961916" w14:textId="16ABC63E" w:rsidR="00DF376C" w:rsidRDefault="00DF376C" w:rsidP="00DF376C">
      <w:pPr>
        <w:pStyle w:val="Heading3"/>
        <w:rPr>
          <w:lang w:eastAsia="en-AU"/>
        </w:rPr>
      </w:pPr>
      <w:bookmarkStart w:id="706" w:name="_Measure_12.5_–"/>
      <w:bookmarkEnd w:id="706"/>
      <w:r w:rsidRPr="00451AE2">
        <w:rPr>
          <w:lang w:eastAsia="en-AU"/>
        </w:rPr>
        <w:lastRenderedPageBreak/>
        <w:t>Measure 12.5 –</w:t>
      </w:r>
      <w:r w:rsidR="009102AF" w:rsidRPr="00451AE2">
        <w:rPr>
          <w:lang w:eastAsia="en-AU"/>
        </w:rPr>
        <w:t xml:space="preserve"> Proportion of patients receiving</w:t>
      </w:r>
      <w:r w:rsidR="00B52802" w:rsidRPr="00451AE2">
        <w:rPr>
          <w:lang w:eastAsia="en-AU"/>
        </w:rPr>
        <w:t xml:space="preserve"> systemic anti-cancer therapy within recommended timelines and where appropriate</w:t>
      </w:r>
      <w:bookmarkEnd w:id="705"/>
    </w:p>
    <w:p w14:paraId="6F691E23" w14:textId="15532FB8" w:rsidR="00B77AC3" w:rsidRDefault="00B77AC3" w:rsidP="00867A76">
      <w:pPr>
        <w:pStyle w:val="DHHSfigurecaption"/>
      </w:pPr>
      <w:bookmarkStart w:id="707" w:name="_Toc19008133"/>
      <w:bookmarkStart w:id="708" w:name="_Toc19008349"/>
      <w:bookmarkStart w:id="709" w:name="_Toc19008496"/>
      <w:bookmarkStart w:id="710" w:name="_Toc19008643"/>
      <w:bookmarkStart w:id="711" w:name="_Toc27414351"/>
      <w:r w:rsidRPr="00A10E2E">
        <w:t>Figure 12.5</w:t>
      </w:r>
      <w:r w:rsidR="002677DD">
        <w:t>:</w:t>
      </w:r>
      <w:r w:rsidRPr="00A10E2E">
        <w:t xml:space="preserve"> Proportion of patients (overall) receiving systemic anti-cancer therapy within recommended timelines</w:t>
      </w:r>
      <w:r w:rsidR="00C346F0">
        <w:t>,</w:t>
      </w:r>
      <w:r w:rsidRPr="00A10E2E">
        <w:t xml:space="preserve"> by age (A), sex (B), Indigenous status</w:t>
      </w:r>
      <w:r w:rsidR="00A10E2E" w:rsidRPr="00A10E2E">
        <w:t xml:space="preserve"> (C)</w:t>
      </w:r>
      <w:r w:rsidR="00E162BF">
        <w:t xml:space="preserve">, </w:t>
      </w:r>
      <w:r w:rsidR="00776B43">
        <w:t>l</w:t>
      </w:r>
      <w:r w:rsidR="00A10E2E" w:rsidRPr="00A10E2E">
        <w:t>anguage spoken at home (D)</w:t>
      </w:r>
      <w:r w:rsidR="00E162BF">
        <w:t xml:space="preserve">, </w:t>
      </w:r>
      <w:r w:rsidR="00776B43">
        <w:t>r</w:t>
      </w:r>
      <w:r w:rsidR="00E162BF">
        <w:t>emote</w:t>
      </w:r>
      <w:r w:rsidR="00CC0123">
        <w:t>ness</w:t>
      </w:r>
      <w:r w:rsidR="00E162BF">
        <w:t xml:space="preserve"> area (E)</w:t>
      </w:r>
      <w:r w:rsidR="00A10E2E" w:rsidRPr="00A10E2E">
        <w:t xml:space="preserve">, </w:t>
      </w:r>
      <w:r w:rsidR="00DE7FFE">
        <w:t>SES</w:t>
      </w:r>
      <w:r w:rsidR="00E162BF">
        <w:t xml:space="preserve"> (F) and </w:t>
      </w:r>
      <w:r w:rsidR="008439C8">
        <w:t>ICS</w:t>
      </w:r>
      <w:r w:rsidR="00E162BF">
        <w:t xml:space="preserve"> (G), </w:t>
      </w:r>
      <w:r w:rsidR="00A10E2E" w:rsidRPr="00A10E2E">
        <w:t>Victoria, 2014</w:t>
      </w:r>
      <w:r w:rsidR="002677DD">
        <w:t>–</w:t>
      </w:r>
      <w:r w:rsidR="00A10E2E" w:rsidRPr="00A10E2E">
        <w:t>2016</w:t>
      </w:r>
      <w:bookmarkEnd w:id="707"/>
      <w:bookmarkEnd w:id="708"/>
      <w:bookmarkEnd w:id="709"/>
      <w:bookmarkEnd w:id="710"/>
      <w:bookmarkEnd w:id="711"/>
    </w:p>
    <w:p w14:paraId="0D2F5095" w14:textId="77777777" w:rsidR="006116E6" w:rsidRDefault="006116E6" w:rsidP="00160602">
      <w:pPr>
        <w:pStyle w:val="DHHSbody"/>
        <w:numPr>
          <w:ilvl w:val="2"/>
          <w:numId w:val="27"/>
        </w:numPr>
        <w:ind w:left="426" w:hanging="426"/>
        <w:rPr>
          <w:b/>
          <w:lang w:eastAsia="en-AU"/>
        </w:rPr>
        <w:sectPr w:rsidR="006116E6" w:rsidSect="00E12658">
          <w:pgSz w:w="11906" w:h="16838"/>
          <w:pgMar w:top="1701" w:right="849" w:bottom="1134" w:left="426" w:header="454" w:footer="510" w:gutter="0"/>
          <w:cols w:space="720"/>
          <w:docGrid w:linePitch="360"/>
        </w:sectPr>
      </w:pPr>
    </w:p>
    <w:p w14:paraId="70F12D92" w14:textId="5FCCE023" w:rsidR="001B634D" w:rsidRDefault="001B634D" w:rsidP="00160602">
      <w:pPr>
        <w:pStyle w:val="DHHSbody"/>
        <w:numPr>
          <w:ilvl w:val="2"/>
          <w:numId w:val="27"/>
        </w:numPr>
        <w:ind w:left="426" w:hanging="426"/>
        <w:rPr>
          <w:b/>
          <w:lang w:eastAsia="en-AU"/>
        </w:rPr>
      </w:pPr>
      <w:r>
        <w:rPr>
          <w:b/>
          <w:lang w:eastAsia="en-AU"/>
        </w:rPr>
        <w:t>Age</w:t>
      </w:r>
    </w:p>
    <w:p w14:paraId="7E183669" w14:textId="3DE59642" w:rsidR="001B634D" w:rsidRPr="007447A8" w:rsidRDefault="00FD5A28" w:rsidP="007447A8">
      <w:pPr>
        <w:pStyle w:val="DHHSbody"/>
      </w:pPr>
      <w:r>
        <w:rPr>
          <w:noProof/>
        </w:rPr>
        <w:drawing>
          <wp:inline distT="0" distB="0" distL="0" distR="0" wp14:anchorId="721E4BFD" wp14:editId="10B100ED">
            <wp:extent cx="3152140" cy="2298700"/>
            <wp:effectExtent l="0" t="0" r="0" b="6350"/>
            <wp:docPr id="500" name="Picture 500"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ag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140" cy="2298700"/>
                    </a:xfrm>
                    <a:prstGeom prst="rect">
                      <a:avLst/>
                    </a:prstGeom>
                    <a:noFill/>
                  </pic:spPr>
                </pic:pic>
              </a:graphicData>
            </a:graphic>
          </wp:inline>
        </w:drawing>
      </w:r>
    </w:p>
    <w:p w14:paraId="2E47E2C7" w14:textId="761B7202" w:rsidR="00D034AC" w:rsidRDefault="00D034AC" w:rsidP="00160602">
      <w:pPr>
        <w:pStyle w:val="DHHSbody"/>
        <w:numPr>
          <w:ilvl w:val="2"/>
          <w:numId w:val="27"/>
        </w:numPr>
        <w:ind w:left="357" w:hanging="357"/>
        <w:rPr>
          <w:b/>
          <w:lang w:eastAsia="en-AU"/>
        </w:rPr>
      </w:pPr>
      <w:r>
        <w:rPr>
          <w:b/>
          <w:lang w:eastAsia="en-AU"/>
        </w:rPr>
        <w:t>Sex</w:t>
      </w:r>
    </w:p>
    <w:p w14:paraId="3B861D82" w14:textId="52846D73" w:rsidR="00D034AC" w:rsidRDefault="00FD5A28" w:rsidP="00D034AC">
      <w:pPr>
        <w:pStyle w:val="DHHSbody"/>
        <w:tabs>
          <w:tab w:val="left" w:pos="142"/>
        </w:tabs>
        <w:rPr>
          <w:b/>
          <w:lang w:eastAsia="en-AU"/>
        </w:rPr>
      </w:pPr>
      <w:r>
        <w:rPr>
          <w:b/>
          <w:noProof/>
          <w:lang w:eastAsia="en-AU"/>
        </w:rPr>
        <w:drawing>
          <wp:inline distT="0" distB="0" distL="0" distR="0" wp14:anchorId="345E5C10" wp14:editId="2BD562F2">
            <wp:extent cx="3091180" cy="2322830"/>
            <wp:effectExtent l="0" t="0" r="0" b="1270"/>
            <wp:docPr id="501" name="Picture 501"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sex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1180" cy="2322830"/>
                    </a:xfrm>
                    <a:prstGeom prst="rect">
                      <a:avLst/>
                    </a:prstGeom>
                    <a:noFill/>
                  </pic:spPr>
                </pic:pic>
              </a:graphicData>
            </a:graphic>
          </wp:inline>
        </w:drawing>
      </w:r>
    </w:p>
    <w:p w14:paraId="244DEDC4" w14:textId="77777777" w:rsidR="006116E6" w:rsidRPr="007447A8" w:rsidRDefault="006116E6" w:rsidP="007447A8">
      <w:pPr>
        <w:pStyle w:val="DHHSbody"/>
        <w:sectPr w:rsidR="006116E6" w:rsidRPr="007447A8" w:rsidSect="00245781">
          <w:type w:val="continuous"/>
          <w:pgSz w:w="11906" w:h="16838"/>
          <w:pgMar w:top="1701" w:right="851" w:bottom="1134" w:left="425" w:header="454" w:footer="510" w:gutter="0"/>
          <w:cols w:num="2" w:space="720"/>
          <w:docGrid w:linePitch="360"/>
        </w:sectPr>
      </w:pPr>
    </w:p>
    <w:p w14:paraId="77D61000" w14:textId="5E352C0D" w:rsidR="000C2C40" w:rsidRPr="00493EBD" w:rsidRDefault="000C2C40" w:rsidP="00160602">
      <w:pPr>
        <w:pStyle w:val="DHHSbody"/>
        <w:numPr>
          <w:ilvl w:val="0"/>
          <w:numId w:val="59"/>
        </w:numPr>
        <w:ind w:left="357" w:hanging="357"/>
        <w:rPr>
          <w:b/>
          <w:bCs/>
        </w:rPr>
      </w:pPr>
      <w:r w:rsidRPr="00493EBD">
        <w:rPr>
          <w:b/>
          <w:bCs/>
        </w:rPr>
        <w:t>Indigenous status</w:t>
      </w:r>
    </w:p>
    <w:p w14:paraId="4D420416" w14:textId="514E8042" w:rsidR="001B634D" w:rsidRPr="007447A8" w:rsidRDefault="00FD5A28" w:rsidP="007447A8">
      <w:pPr>
        <w:pStyle w:val="DHHSbody"/>
      </w:pPr>
      <w:r>
        <w:rPr>
          <w:noProof/>
        </w:rPr>
        <w:drawing>
          <wp:inline distT="0" distB="0" distL="0" distR="0" wp14:anchorId="7DEEBA2B" wp14:editId="7C5747FD">
            <wp:extent cx="3103245" cy="2255520"/>
            <wp:effectExtent l="0" t="0" r="1905" b="0"/>
            <wp:docPr id="502" name="Picture 502"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Indigenous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03245" cy="2255520"/>
                    </a:xfrm>
                    <a:prstGeom prst="rect">
                      <a:avLst/>
                    </a:prstGeom>
                    <a:noFill/>
                  </pic:spPr>
                </pic:pic>
              </a:graphicData>
            </a:graphic>
          </wp:inline>
        </w:drawing>
      </w:r>
    </w:p>
    <w:p w14:paraId="05BCB4CA" w14:textId="33AB016C" w:rsidR="00D034AC" w:rsidRPr="00D034AC" w:rsidRDefault="00D034AC" w:rsidP="007447A8">
      <w:pPr>
        <w:pStyle w:val="DHHSbody"/>
        <w:ind w:left="357" w:hanging="357"/>
        <w:rPr>
          <w:lang w:eastAsia="en-AU"/>
        </w:rPr>
      </w:pPr>
      <w:r>
        <w:rPr>
          <w:b/>
          <w:lang w:eastAsia="en-AU"/>
        </w:rPr>
        <w:t>D.</w:t>
      </w:r>
      <w:r w:rsidR="00C455F2">
        <w:rPr>
          <w:b/>
          <w:lang w:eastAsia="en-AU"/>
        </w:rPr>
        <w:tab/>
      </w:r>
      <w:r>
        <w:rPr>
          <w:b/>
          <w:lang w:eastAsia="en-AU"/>
        </w:rPr>
        <w:t>Language spoken at home</w:t>
      </w:r>
    </w:p>
    <w:p w14:paraId="73EC8B8B" w14:textId="2350D7A0" w:rsidR="00D034AC" w:rsidRDefault="00FD5A28" w:rsidP="00EC47BC">
      <w:pPr>
        <w:pStyle w:val="DHHSbody"/>
        <w:ind w:right="277"/>
        <w:rPr>
          <w:lang w:eastAsia="en-AU"/>
        </w:rPr>
      </w:pPr>
      <w:r>
        <w:rPr>
          <w:noProof/>
          <w:lang w:eastAsia="en-AU"/>
        </w:rPr>
        <w:drawing>
          <wp:inline distT="0" distB="0" distL="0" distR="0" wp14:anchorId="310C92EA" wp14:editId="4462D540">
            <wp:extent cx="3145790" cy="2322830"/>
            <wp:effectExtent l="0" t="0" r="0" b="1270"/>
            <wp:docPr id="503" name="Picture 503"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language spoken at hom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45790" cy="2322830"/>
                    </a:xfrm>
                    <a:prstGeom prst="rect">
                      <a:avLst/>
                    </a:prstGeom>
                    <a:noFill/>
                  </pic:spPr>
                </pic:pic>
              </a:graphicData>
            </a:graphic>
          </wp:inline>
        </w:drawing>
      </w:r>
    </w:p>
    <w:p w14:paraId="3089EA76" w14:textId="77777777" w:rsidR="006116E6" w:rsidRPr="007447A8" w:rsidRDefault="006116E6" w:rsidP="007447A8">
      <w:pPr>
        <w:pStyle w:val="DHHSbody"/>
        <w:sectPr w:rsidR="006116E6" w:rsidRPr="007447A8" w:rsidSect="006116E6">
          <w:type w:val="continuous"/>
          <w:pgSz w:w="11906" w:h="16838"/>
          <w:pgMar w:top="1701" w:right="849" w:bottom="1134" w:left="426" w:header="454" w:footer="510" w:gutter="0"/>
          <w:cols w:num="2" w:space="720"/>
          <w:docGrid w:linePitch="360"/>
        </w:sectPr>
      </w:pPr>
    </w:p>
    <w:p w14:paraId="7BE566BC" w14:textId="47F1FF83" w:rsidR="00D034AC" w:rsidRPr="00D034AC" w:rsidRDefault="009F27CA" w:rsidP="00160602">
      <w:pPr>
        <w:pStyle w:val="DHHSbody"/>
        <w:numPr>
          <w:ilvl w:val="0"/>
          <w:numId w:val="10"/>
        </w:numPr>
        <w:ind w:left="357" w:hanging="357"/>
        <w:rPr>
          <w:lang w:eastAsia="en-AU"/>
        </w:rPr>
      </w:pPr>
      <w:r>
        <w:rPr>
          <w:b/>
          <w:lang w:eastAsia="en-AU"/>
        </w:rPr>
        <w:t>Remoteness area</w:t>
      </w:r>
    </w:p>
    <w:p w14:paraId="7494FBCD" w14:textId="46324325" w:rsidR="009F27CA" w:rsidRPr="007447A8" w:rsidRDefault="00FD5A28" w:rsidP="007447A8">
      <w:pPr>
        <w:pStyle w:val="DHHSbody"/>
      </w:pPr>
      <w:r>
        <w:rPr>
          <w:noProof/>
        </w:rPr>
        <w:drawing>
          <wp:inline distT="0" distB="0" distL="0" distR="0" wp14:anchorId="6FE513AE" wp14:editId="253CE7C3">
            <wp:extent cx="3152140" cy="2097405"/>
            <wp:effectExtent l="0" t="0" r="0" b="0"/>
            <wp:docPr id="504" name="Picture 504"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remoteness area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949" cy="2097943"/>
                    </a:xfrm>
                    <a:prstGeom prst="rect">
                      <a:avLst/>
                    </a:prstGeom>
                    <a:noFill/>
                  </pic:spPr>
                </pic:pic>
              </a:graphicData>
            </a:graphic>
          </wp:inline>
        </w:drawing>
      </w:r>
    </w:p>
    <w:p w14:paraId="42D4CAB1" w14:textId="77777777" w:rsidR="007447A8" w:rsidRPr="007447A8" w:rsidRDefault="00D034AC" w:rsidP="00160602">
      <w:pPr>
        <w:pStyle w:val="DHHSbody"/>
        <w:numPr>
          <w:ilvl w:val="0"/>
          <w:numId w:val="10"/>
        </w:numPr>
        <w:ind w:left="357" w:hanging="357"/>
        <w:rPr>
          <w:lang w:eastAsia="en-AU"/>
        </w:rPr>
      </w:pPr>
      <w:r w:rsidRPr="0001176F">
        <w:rPr>
          <w:b/>
          <w:lang w:eastAsia="en-AU"/>
        </w:rPr>
        <w:t>Socioeconomic status</w:t>
      </w:r>
    </w:p>
    <w:p w14:paraId="05595A6B" w14:textId="4A92B479" w:rsidR="00D034AC" w:rsidRPr="007D48D0" w:rsidRDefault="00FD5A28" w:rsidP="007447A8">
      <w:pPr>
        <w:pStyle w:val="DHHSbody"/>
        <w:rPr>
          <w:lang w:eastAsia="en-AU"/>
        </w:rPr>
      </w:pPr>
      <w:r>
        <w:rPr>
          <w:noProof/>
          <w:lang w:eastAsia="en-AU"/>
        </w:rPr>
        <w:drawing>
          <wp:inline distT="0" distB="0" distL="0" distR="0" wp14:anchorId="4D698DC4" wp14:editId="3F58C0A4">
            <wp:extent cx="3145790" cy="2188845"/>
            <wp:effectExtent l="0" t="0" r="0" b="1905"/>
            <wp:docPr id="505" name="Picture 505"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socioeconomic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45790" cy="2188845"/>
                    </a:xfrm>
                    <a:prstGeom prst="rect">
                      <a:avLst/>
                    </a:prstGeom>
                    <a:noFill/>
                  </pic:spPr>
                </pic:pic>
              </a:graphicData>
            </a:graphic>
          </wp:inline>
        </w:drawing>
      </w:r>
    </w:p>
    <w:p w14:paraId="3912F178" w14:textId="77777777" w:rsidR="006116E6" w:rsidRPr="007447A8" w:rsidRDefault="006116E6" w:rsidP="007447A8">
      <w:pPr>
        <w:pStyle w:val="DHHSbody"/>
        <w:sectPr w:rsidR="006116E6" w:rsidRPr="007447A8" w:rsidSect="00245781">
          <w:type w:val="continuous"/>
          <w:pgSz w:w="11906" w:h="16838"/>
          <w:pgMar w:top="1701" w:right="851" w:bottom="1134" w:left="425" w:header="454" w:footer="510" w:gutter="0"/>
          <w:cols w:num="2" w:space="720"/>
          <w:docGrid w:linePitch="360"/>
        </w:sectPr>
      </w:pPr>
    </w:p>
    <w:p w14:paraId="06AD009C" w14:textId="7070AA9C" w:rsidR="009F27CA" w:rsidRDefault="001B634D" w:rsidP="00160602">
      <w:pPr>
        <w:pStyle w:val="DHHSbody"/>
        <w:numPr>
          <w:ilvl w:val="0"/>
          <w:numId w:val="11"/>
        </w:numPr>
        <w:ind w:left="462" w:hanging="283"/>
        <w:rPr>
          <w:b/>
          <w:lang w:eastAsia="en-AU"/>
        </w:rPr>
      </w:pPr>
      <w:r>
        <w:rPr>
          <w:b/>
          <w:lang w:eastAsia="en-AU"/>
        </w:rPr>
        <w:br w:type="column"/>
      </w:r>
      <w:r w:rsidR="009F27CA" w:rsidRPr="009E35D0">
        <w:rPr>
          <w:b/>
          <w:lang w:eastAsia="en-AU"/>
        </w:rPr>
        <w:lastRenderedPageBreak/>
        <w:t>Integrated Cancer Service</w:t>
      </w:r>
    </w:p>
    <w:p w14:paraId="17BD12CD" w14:textId="3D86E241" w:rsidR="00FD5A28" w:rsidRPr="00FD5A28" w:rsidRDefault="00FD5A28" w:rsidP="00FD5A28">
      <w:pPr>
        <w:pStyle w:val="DHHSbody"/>
      </w:pPr>
      <w:r>
        <w:rPr>
          <w:noProof/>
        </w:rPr>
        <w:drawing>
          <wp:inline distT="0" distB="0" distL="0" distR="0" wp14:anchorId="3DB33179" wp14:editId="16071043">
            <wp:extent cx="6748780" cy="3108960"/>
            <wp:effectExtent l="0" t="0" r="0" b="0"/>
            <wp:docPr id="506" name="Picture 506" descr="This figure shows a data summary of 'Measure 12.5 – Proportion of patients receiving systemic anti-cancer therapy within recommended timelines and where appropriate'. Specially this figure focuses on the proportion of patients (overall) receiving systemic anti-cancer therapy within recommended timelines, by Integrated Cancer Servic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748780" cy="3108960"/>
                    </a:xfrm>
                    <a:prstGeom prst="rect">
                      <a:avLst/>
                    </a:prstGeom>
                    <a:noFill/>
                  </pic:spPr>
                </pic:pic>
              </a:graphicData>
            </a:graphic>
          </wp:inline>
        </w:drawing>
      </w:r>
    </w:p>
    <w:p w14:paraId="1B4D4B51" w14:textId="76C5A7A3" w:rsidR="00D14517" w:rsidRDefault="00E91AB8" w:rsidP="00CB0631">
      <w:pPr>
        <w:pStyle w:val="DHHSbody"/>
        <w:rPr>
          <w:i/>
          <w:sz w:val="18"/>
          <w:szCs w:val="18"/>
          <w:lang w:eastAsia="en-AU"/>
        </w:rPr>
      </w:pPr>
      <w:r>
        <w:rPr>
          <w:i/>
          <w:sz w:val="18"/>
          <w:szCs w:val="18"/>
          <w:lang w:eastAsia="en-AU"/>
        </w:rPr>
        <w:t>No</w:t>
      </w:r>
      <w:r w:rsidR="00103D87" w:rsidRPr="007E542E">
        <w:rPr>
          <w:i/>
          <w:sz w:val="18"/>
          <w:szCs w:val="18"/>
          <w:lang w:eastAsia="en-AU"/>
        </w:rPr>
        <w:t>te</w:t>
      </w:r>
      <w:r w:rsidR="00C974DC">
        <w:rPr>
          <w:i/>
          <w:sz w:val="18"/>
          <w:szCs w:val="18"/>
          <w:lang w:eastAsia="en-AU"/>
        </w:rPr>
        <w:t>s</w:t>
      </w:r>
      <w:r w:rsidR="00103D87" w:rsidRPr="007E542E">
        <w:rPr>
          <w:i/>
          <w:sz w:val="18"/>
          <w:szCs w:val="18"/>
          <w:lang w:eastAsia="en-AU"/>
        </w:rPr>
        <w:t>:</w:t>
      </w:r>
      <w:r w:rsidR="00952FC7">
        <w:rPr>
          <w:i/>
          <w:sz w:val="18"/>
          <w:szCs w:val="18"/>
          <w:lang w:eastAsia="en-AU"/>
        </w:rPr>
        <w:t xml:space="preserve"> </w:t>
      </w:r>
    </w:p>
    <w:p w14:paraId="73E1E6C7" w14:textId="3517138E" w:rsidR="00485987" w:rsidRDefault="00646679" w:rsidP="00E83F50">
      <w:pPr>
        <w:pStyle w:val="DHHSbody"/>
        <w:tabs>
          <w:tab w:val="left" w:pos="284"/>
        </w:tabs>
        <w:rPr>
          <w:i/>
          <w:sz w:val="18"/>
          <w:szCs w:val="18"/>
        </w:rPr>
      </w:pPr>
      <w:r w:rsidRPr="00823F41">
        <w:rPr>
          <w:i/>
          <w:sz w:val="18"/>
          <w:szCs w:val="18"/>
          <w:lang w:eastAsia="en-AU"/>
        </w:rPr>
        <w:t>The Department of Health and Human Services</w:t>
      </w:r>
      <w:r w:rsidR="00C974DC">
        <w:rPr>
          <w:i/>
          <w:sz w:val="18"/>
          <w:szCs w:val="18"/>
          <w:lang w:eastAsia="en-AU"/>
        </w:rPr>
        <w:t>’</w:t>
      </w:r>
      <w:r w:rsidRPr="00823F41">
        <w:rPr>
          <w:i/>
          <w:sz w:val="18"/>
          <w:szCs w:val="18"/>
          <w:lang w:eastAsia="en-AU"/>
        </w:rPr>
        <w:t xml:space="preserve"> ‘Guidelines for timely initiation of chemotherapy</w:t>
      </w:r>
      <w:r w:rsidR="00C974DC">
        <w:rPr>
          <w:i/>
          <w:sz w:val="18"/>
          <w:szCs w:val="18"/>
          <w:lang w:eastAsia="en-AU"/>
        </w:rPr>
        <w:t>:</w:t>
      </w:r>
      <w:r w:rsidR="00C974DC">
        <w:rPr>
          <w:i/>
          <w:sz w:val="18"/>
          <w:szCs w:val="18"/>
        </w:rPr>
        <w:t xml:space="preserve"> a</w:t>
      </w:r>
      <w:r w:rsidRPr="00823F41">
        <w:rPr>
          <w:i/>
          <w:sz w:val="18"/>
          <w:szCs w:val="18"/>
        </w:rPr>
        <w:t xml:space="preserve"> proposed framework for access to medical oncology and haematology cancer clinics and chemotherapy services in Victoria’</w:t>
      </w:r>
      <w:r w:rsidR="00CB0631" w:rsidRPr="00823F41">
        <w:rPr>
          <w:i/>
          <w:sz w:val="18"/>
          <w:szCs w:val="18"/>
        </w:rPr>
        <w:t xml:space="preserve"> </w:t>
      </w:r>
      <w:r w:rsidRPr="00823F41">
        <w:rPr>
          <w:i/>
          <w:sz w:val="18"/>
          <w:szCs w:val="18"/>
        </w:rPr>
        <w:t xml:space="preserve">(2015) describe the </w:t>
      </w:r>
      <w:r w:rsidR="00087E81">
        <w:rPr>
          <w:i/>
          <w:sz w:val="18"/>
          <w:szCs w:val="18"/>
        </w:rPr>
        <w:t xml:space="preserve">optimal </w:t>
      </w:r>
      <w:r w:rsidRPr="00823F41">
        <w:rPr>
          <w:i/>
          <w:sz w:val="18"/>
          <w:szCs w:val="18"/>
        </w:rPr>
        <w:t>timelines for treatment of colorectal, lung, breast and ovarian cancers in Victoria.</w:t>
      </w:r>
    </w:p>
    <w:p w14:paraId="65765B88" w14:textId="773503A3" w:rsidR="00387734" w:rsidRPr="00387734" w:rsidRDefault="00387734" w:rsidP="00E83F50">
      <w:pPr>
        <w:pStyle w:val="DHHSbody"/>
        <w:tabs>
          <w:tab w:val="left" w:pos="284"/>
        </w:tabs>
        <w:rPr>
          <w:rFonts w:cs="Arial"/>
          <w:i/>
          <w:iCs/>
          <w:sz w:val="18"/>
          <w:szCs w:val="18"/>
          <w:lang w:eastAsia="en-AU"/>
        </w:rPr>
      </w:pPr>
      <w:r w:rsidRPr="00387734">
        <w:rPr>
          <w:rFonts w:cs="Arial"/>
          <w:i/>
          <w:iCs/>
          <w:color w:val="000000"/>
          <w:sz w:val="18"/>
          <w:szCs w:val="18"/>
        </w:rPr>
        <w:t>Victorians with cancer who live in HRICS may receive treatment in New South Wales (Albury) hospitals, which is not captured in the VAED. Therefore, variables in this report that are derived using the VAED (i.e. comorbidity count, distant metastases, surgery and chemotherapy) are likely to be underestimated for Victorians living in HRICS.</w:t>
      </w:r>
    </w:p>
    <w:p w14:paraId="0949BE94" w14:textId="2D4D5A70" w:rsidR="00F12AD7" w:rsidRDefault="00F12AD7" w:rsidP="00E83F50">
      <w:pPr>
        <w:pStyle w:val="DHHSbody"/>
        <w:tabs>
          <w:tab w:val="left" w:pos="284"/>
        </w:tabs>
        <w:rPr>
          <w:i/>
          <w:sz w:val="18"/>
          <w:szCs w:val="18"/>
          <w:lang w:eastAsia="en-AU"/>
        </w:rPr>
      </w:pPr>
      <w:r>
        <w:rPr>
          <w:i/>
          <w:sz w:val="18"/>
          <w:szCs w:val="18"/>
        </w:rPr>
        <w:t>Appendix 2 prov</w:t>
      </w:r>
      <w:r w:rsidR="00E22667">
        <w:rPr>
          <w:i/>
          <w:sz w:val="18"/>
          <w:szCs w:val="18"/>
        </w:rPr>
        <w:t>ides the dataset</w:t>
      </w:r>
      <w:r w:rsidR="00DC2D82">
        <w:rPr>
          <w:i/>
          <w:sz w:val="18"/>
          <w:szCs w:val="18"/>
        </w:rPr>
        <w:t>.</w:t>
      </w:r>
    </w:p>
    <w:p w14:paraId="17A8FB20" w14:textId="48B6C7CD" w:rsidR="007D48D0" w:rsidRDefault="00B833F8" w:rsidP="00867A76">
      <w:pPr>
        <w:pStyle w:val="DHHSfigurecaption"/>
        <w:sectPr w:rsidR="007D48D0" w:rsidSect="006116E6">
          <w:type w:val="continuous"/>
          <w:pgSz w:w="11906" w:h="16838"/>
          <w:pgMar w:top="1701" w:right="849" w:bottom="1134" w:left="426" w:header="454" w:footer="510" w:gutter="0"/>
          <w:cols w:space="720"/>
          <w:docGrid w:linePitch="360"/>
        </w:sectPr>
      </w:pPr>
      <w:bookmarkStart w:id="712" w:name="_Toc19008134"/>
      <w:bookmarkStart w:id="713" w:name="_Toc19008350"/>
      <w:bookmarkStart w:id="714" w:name="_Toc19008497"/>
      <w:bookmarkStart w:id="715" w:name="_Toc19008644"/>
      <w:bookmarkStart w:id="716" w:name="_Toc27414352"/>
      <w:r w:rsidRPr="00A10E2E">
        <w:t>Figure 12.5</w:t>
      </w:r>
      <w:r w:rsidR="00A64EC6">
        <w:t>.1</w:t>
      </w:r>
      <w:r w:rsidR="002677DD">
        <w:t>:</w:t>
      </w:r>
      <w:r w:rsidRPr="00A10E2E">
        <w:t xml:space="preserve"> Proportion of </w:t>
      </w:r>
      <w:r w:rsidR="00A64EC6">
        <w:t xml:space="preserve">lung cancer </w:t>
      </w:r>
      <w:r w:rsidRPr="00A10E2E">
        <w:t>patients receiving systemic anti-cancer therapy within recommended timelines</w:t>
      </w:r>
      <w:r w:rsidR="00C346F0">
        <w:t>,</w:t>
      </w:r>
      <w:r w:rsidRPr="00A10E2E">
        <w:t xml:space="preserve"> by age (A), sex (B), Indigenous status (C)</w:t>
      </w:r>
      <w:r>
        <w:t>, l</w:t>
      </w:r>
      <w:r w:rsidRPr="00A10E2E">
        <w:t>anguage spoken at home (D)</w:t>
      </w:r>
      <w:r>
        <w:t>, remote</w:t>
      </w:r>
      <w:r w:rsidR="00CC0123">
        <w:t>ness</w:t>
      </w:r>
      <w:r>
        <w:t xml:space="preserve"> area (E)</w:t>
      </w:r>
      <w:r w:rsidRPr="00A10E2E">
        <w:t xml:space="preserve">, </w:t>
      </w:r>
      <w:r w:rsidR="00DE7FFE">
        <w:t>SES</w:t>
      </w:r>
      <w:r>
        <w:t xml:space="preserve"> (F) and </w:t>
      </w:r>
      <w:r w:rsidR="008439C8">
        <w:t>ICS</w:t>
      </w:r>
      <w:r>
        <w:t xml:space="preserve"> (G), </w:t>
      </w:r>
      <w:r w:rsidRPr="00A10E2E">
        <w:t>Victoria, 2014</w:t>
      </w:r>
      <w:r w:rsidR="002677DD">
        <w:t>–</w:t>
      </w:r>
      <w:r w:rsidRPr="00A10E2E">
        <w:t>201</w:t>
      </w:r>
      <w:bookmarkEnd w:id="712"/>
      <w:bookmarkEnd w:id="713"/>
      <w:bookmarkEnd w:id="714"/>
      <w:bookmarkEnd w:id="715"/>
      <w:bookmarkEnd w:id="716"/>
    </w:p>
    <w:p w14:paraId="5334016B" w14:textId="59DD4ACC" w:rsidR="007D48D0" w:rsidRDefault="001E4600" w:rsidP="00160602">
      <w:pPr>
        <w:pStyle w:val="DHHSbody"/>
        <w:numPr>
          <w:ilvl w:val="0"/>
          <w:numId w:val="37"/>
        </w:numPr>
        <w:ind w:left="357" w:hanging="357"/>
        <w:rPr>
          <w:b/>
          <w:lang w:eastAsia="en-AU"/>
        </w:rPr>
      </w:pPr>
      <w:r>
        <w:rPr>
          <w:b/>
          <w:lang w:eastAsia="en-AU"/>
        </w:rPr>
        <w:t>Age</w:t>
      </w:r>
    </w:p>
    <w:p w14:paraId="001584E4" w14:textId="1C0C0E6E" w:rsidR="007D48D0" w:rsidRDefault="00FD5A28" w:rsidP="00740C8E">
      <w:pPr>
        <w:pStyle w:val="DHHSbody"/>
        <w:rPr>
          <w:b/>
          <w:lang w:eastAsia="en-AU"/>
        </w:rPr>
      </w:pPr>
      <w:r>
        <w:rPr>
          <w:b/>
          <w:noProof/>
          <w:lang w:eastAsia="en-AU"/>
        </w:rPr>
        <w:drawing>
          <wp:inline distT="0" distB="0" distL="0" distR="0" wp14:anchorId="02892BCC" wp14:editId="7085196F">
            <wp:extent cx="3152140" cy="2097405"/>
            <wp:effectExtent l="0" t="0" r="0" b="0"/>
            <wp:docPr id="507" name="Picture 507"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ag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2140" cy="2097405"/>
                    </a:xfrm>
                    <a:prstGeom prst="rect">
                      <a:avLst/>
                    </a:prstGeom>
                    <a:noFill/>
                  </pic:spPr>
                </pic:pic>
              </a:graphicData>
            </a:graphic>
          </wp:inline>
        </w:drawing>
      </w:r>
    </w:p>
    <w:p w14:paraId="71977FA7" w14:textId="6A1E7D77" w:rsidR="001E4600" w:rsidRDefault="001E4600" w:rsidP="00160602">
      <w:pPr>
        <w:pStyle w:val="DHHSbody"/>
        <w:numPr>
          <w:ilvl w:val="0"/>
          <w:numId w:val="37"/>
        </w:numPr>
        <w:ind w:left="357" w:hanging="357"/>
        <w:rPr>
          <w:b/>
          <w:lang w:eastAsia="en-AU"/>
        </w:rPr>
      </w:pPr>
      <w:r>
        <w:rPr>
          <w:b/>
          <w:lang w:eastAsia="en-AU"/>
        </w:rPr>
        <w:t>Sex</w:t>
      </w:r>
    </w:p>
    <w:p w14:paraId="47E4C088" w14:textId="665C512D" w:rsidR="001E4600" w:rsidRDefault="00FD5A28" w:rsidP="001E4600">
      <w:pPr>
        <w:pStyle w:val="DHHSbody"/>
        <w:ind w:left="720" w:hanging="862"/>
        <w:rPr>
          <w:b/>
          <w:lang w:eastAsia="en-AU"/>
        </w:rPr>
      </w:pPr>
      <w:r>
        <w:rPr>
          <w:b/>
          <w:noProof/>
          <w:lang w:eastAsia="en-AU"/>
        </w:rPr>
        <w:drawing>
          <wp:inline distT="0" distB="0" distL="0" distR="0" wp14:anchorId="6A911EA9" wp14:editId="2A0D253A">
            <wp:extent cx="3230880" cy="2121535"/>
            <wp:effectExtent l="0" t="0" r="7620" b="0"/>
            <wp:docPr id="508" name="Picture 508"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sex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30880" cy="2121535"/>
                    </a:xfrm>
                    <a:prstGeom prst="rect">
                      <a:avLst/>
                    </a:prstGeom>
                    <a:noFill/>
                  </pic:spPr>
                </pic:pic>
              </a:graphicData>
            </a:graphic>
          </wp:inline>
        </w:drawing>
      </w:r>
    </w:p>
    <w:p w14:paraId="63B2BFB6" w14:textId="77777777" w:rsidR="0041746B" w:rsidRDefault="0041746B">
      <w:pPr>
        <w:rPr>
          <w:b/>
        </w:rPr>
        <w:sectPr w:rsidR="0041746B" w:rsidSect="0041746B">
          <w:type w:val="continuous"/>
          <w:pgSz w:w="11906" w:h="16838"/>
          <w:pgMar w:top="1701" w:right="849" w:bottom="1134" w:left="426" w:header="454" w:footer="510" w:gutter="0"/>
          <w:cols w:num="2" w:space="720"/>
          <w:docGrid w:linePitch="360"/>
        </w:sectPr>
      </w:pPr>
    </w:p>
    <w:p w14:paraId="32A114E8" w14:textId="36EAAB19" w:rsidR="001E4600" w:rsidRDefault="001E4600">
      <w:pPr>
        <w:rPr>
          <w:rFonts w:ascii="Arial" w:eastAsia="Times" w:hAnsi="Arial"/>
          <w:b/>
        </w:rPr>
      </w:pPr>
      <w:r>
        <w:rPr>
          <w:b/>
        </w:rPr>
        <w:br w:type="page"/>
      </w:r>
    </w:p>
    <w:p w14:paraId="7CCCEE24" w14:textId="77777777" w:rsidR="00CC7B5B" w:rsidRDefault="00CC7B5B" w:rsidP="00160602">
      <w:pPr>
        <w:pStyle w:val="DHHSbody"/>
        <w:numPr>
          <w:ilvl w:val="0"/>
          <w:numId w:val="36"/>
        </w:numPr>
        <w:ind w:left="567" w:hanging="283"/>
        <w:rPr>
          <w:b/>
          <w:lang w:eastAsia="en-AU"/>
        </w:rPr>
        <w:sectPr w:rsidR="00CC7B5B" w:rsidSect="006116E6">
          <w:type w:val="continuous"/>
          <w:pgSz w:w="11906" w:h="16838"/>
          <w:pgMar w:top="1701" w:right="849" w:bottom="1134" w:left="426" w:header="454" w:footer="510" w:gutter="0"/>
          <w:cols w:space="720"/>
          <w:docGrid w:linePitch="360"/>
        </w:sectPr>
      </w:pPr>
    </w:p>
    <w:p w14:paraId="01E1D925" w14:textId="72E6014D" w:rsidR="001E4600" w:rsidRPr="001E4600" w:rsidRDefault="001E4600" w:rsidP="00FD5A28">
      <w:pPr>
        <w:pStyle w:val="DHHSbody"/>
        <w:numPr>
          <w:ilvl w:val="0"/>
          <w:numId w:val="36"/>
        </w:numPr>
        <w:ind w:left="284" w:hanging="284"/>
        <w:rPr>
          <w:b/>
          <w:lang w:eastAsia="en-AU"/>
        </w:rPr>
      </w:pPr>
      <w:r>
        <w:rPr>
          <w:b/>
          <w:lang w:eastAsia="en-AU"/>
        </w:rPr>
        <w:lastRenderedPageBreak/>
        <w:t>Indigenous status</w:t>
      </w:r>
    </w:p>
    <w:p w14:paraId="2D82C9D1" w14:textId="087F167E" w:rsidR="001E4600" w:rsidRDefault="00E66EEA" w:rsidP="001E4600">
      <w:pPr>
        <w:pStyle w:val="DHHSbody"/>
        <w:rPr>
          <w:b/>
          <w:lang w:eastAsia="en-AU"/>
        </w:rPr>
      </w:pPr>
      <w:r>
        <w:rPr>
          <w:b/>
          <w:noProof/>
          <w:lang w:eastAsia="en-AU"/>
        </w:rPr>
        <w:drawing>
          <wp:inline distT="0" distB="0" distL="0" distR="0" wp14:anchorId="0E8E913B" wp14:editId="27D100C3">
            <wp:extent cx="3146425" cy="2302401"/>
            <wp:effectExtent l="0" t="0" r="0" b="3175"/>
            <wp:docPr id="9" name="Picture 9"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Indigenous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46425" cy="2302401"/>
                    </a:xfrm>
                    <a:prstGeom prst="rect">
                      <a:avLst/>
                    </a:prstGeom>
                    <a:noFill/>
                  </pic:spPr>
                </pic:pic>
              </a:graphicData>
            </a:graphic>
          </wp:inline>
        </w:drawing>
      </w:r>
    </w:p>
    <w:p w14:paraId="1884FA2C" w14:textId="3A7DE1E1" w:rsidR="00CC7B5B" w:rsidRDefault="00CC7B5B" w:rsidP="00160602">
      <w:pPr>
        <w:pStyle w:val="DHHSbody"/>
        <w:numPr>
          <w:ilvl w:val="0"/>
          <w:numId w:val="31"/>
        </w:numPr>
        <w:ind w:left="142" w:hanging="284"/>
        <w:rPr>
          <w:b/>
          <w:lang w:eastAsia="en-AU"/>
        </w:rPr>
      </w:pPr>
      <w:r>
        <w:rPr>
          <w:b/>
          <w:lang w:eastAsia="en-AU"/>
        </w:rPr>
        <w:t>Language spoken at home</w:t>
      </w:r>
    </w:p>
    <w:p w14:paraId="42903A47" w14:textId="345EF219" w:rsidR="00CC7B5B" w:rsidRDefault="00E66EEA" w:rsidP="00CC7B5B">
      <w:pPr>
        <w:pStyle w:val="DHHSbody"/>
        <w:rPr>
          <w:b/>
          <w:lang w:eastAsia="en-AU"/>
        </w:rPr>
      </w:pPr>
      <w:r>
        <w:rPr>
          <w:b/>
          <w:noProof/>
          <w:lang w:eastAsia="en-AU"/>
        </w:rPr>
        <w:drawing>
          <wp:inline distT="0" distB="0" distL="0" distR="0" wp14:anchorId="397A67F3" wp14:editId="0A204971">
            <wp:extent cx="3096895" cy="2304415"/>
            <wp:effectExtent l="0" t="0" r="8255" b="635"/>
            <wp:docPr id="10" name="Picture 10"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Language spoken at hom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96895" cy="2304415"/>
                    </a:xfrm>
                    <a:prstGeom prst="rect">
                      <a:avLst/>
                    </a:prstGeom>
                    <a:noFill/>
                  </pic:spPr>
                </pic:pic>
              </a:graphicData>
            </a:graphic>
          </wp:inline>
        </w:drawing>
      </w:r>
    </w:p>
    <w:p w14:paraId="0489C01E" w14:textId="77777777" w:rsidR="00CC7B5B" w:rsidRDefault="00CC7B5B" w:rsidP="00160602">
      <w:pPr>
        <w:pStyle w:val="DHHSbody"/>
        <w:numPr>
          <w:ilvl w:val="0"/>
          <w:numId w:val="31"/>
        </w:numPr>
        <w:ind w:left="458" w:hanging="283"/>
        <w:rPr>
          <w:b/>
          <w:lang w:eastAsia="en-AU"/>
        </w:rPr>
        <w:sectPr w:rsidR="00CC7B5B" w:rsidSect="00CC7B5B">
          <w:type w:val="continuous"/>
          <w:pgSz w:w="11906" w:h="16838"/>
          <w:pgMar w:top="1701" w:right="849" w:bottom="1134" w:left="426" w:header="454" w:footer="510" w:gutter="0"/>
          <w:cols w:num="2" w:space="720"/>
          <w:docGrid w:linePitch="360"/>
        </w:sectPr>
      </w:pPr>
    </w:p>
    <w:p w14:paraId="3107C224" w14:textId="4B6D4DA7" w:rsidR="00F11A9A" w:rsidRPr="00487F77" w:rsidRDefault="00F11A9A" w:rsidP="00FD5A28">
      <w:pPr>
        <w:pStyle w:val="DHHSbody"/>
        <w:numPr>
          <w:ilvl w:val="0"/>
          <w:numId w:val="31"/>
        </w:numPr>
        <w:ind w:left="284" w:hanging="284"/>
        <w:rPr>
          <w:b/>
          <w:lang w:eastAsia="en-AU"/>
        </w:rPr>
      </w:pPr>
      <w:r w:rsidRPr="00487F77">
        <w:rPr>
          <w:b/>
          <w:lang w:eastAsia="en-AU"/>
        </w:rPr>
        <w:t>Remoteness area</w:t>
      </w:r>
    </w:p>
    <w:p w14:paraId="3E46DFA8" w14:textId="68A115FC" w:rsidR="001E4600" w:rsidRDefault="00E66EEA" w:rsidP="001E4600">
      <w:pPr>
        <w:pStyle w:val="DHHSbody"/>
        <w:rPr>
          <w:b/>
          <w:lang w:eastAsia="en-AU"/>
        </w:rPr>
      </w:pPr>
      <w:r>
        <w:rPr>
          <w:b/>
          <w:noProof/>
          <w:lang w:eastAsia="en-AU"/>
        </w:rPr>
        <w:drawing>
          <wp:inline distT="0" distB="0" distL="0" distR="0" wp14:anchorId="06D56640" wp14:editId="775612F1">
            <wp:extent cx="3146425" cy="1913290"/>
            <wp:effectExtent l="0" t="0" r="0" b="0"/>
            <wp:docPr id="11" name="Picture 11"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remoteness area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46425" cy="1913290"/>
                    </a:xfrm>
                    <a:prstGeom prst="rect">
                      <a:avLst/>
                    </a:prstGeom>
                    <a:noFill/>
                  </pic:spPr>
                </pic:pic>
              </a:graphicData>
            </a:graphic>
          </wp:inline>
        </w:drawing>
      </w:r>
    </w:p>
    <w:p w14:paraId="05C697B5" w14:textId="13B9F44B" w:rsidR="00487F77" w:rsidRDefault="00487F77" w:rsidP="00160602">
      <w:pPr>
        <w:pStyle w:val="DHHSbody"/>
        <w:numPr>
          <w:ilvl w:val="0"/>
          <w:numId w:val="31"/>
        </w:numPr>
        <w:ind w:left="142" w:hanging="284"/>
        <w:rPr>
          <w:b/>
          <w:lang w:eastAsia="en-AU"/>
        </w:rPr>
      </w:pPr>
      <w:r w:rsidRPr="00487F77">
        <w:rPr>
          <w:b/>
          <w:lang w:eastAsia="en-AU"/>
        </w:rPr>
        <w:t>Socioeconomic status</w:t>
      </w:r>
    </w:p>
    <w:p w14:paraId="2E6916C2" w14:textId="75C430DE" w:rsidR="00487F77" w:rsidRDefault="00E66EEA" w:rsidP="00EF7B90">
      <w:pPr>
        <w:pStyle w:val="DHHSbody"/>
        <w:rPr>
          <w:lang w:eastAsia="en-AU"/>
        </w:rPr>
      </w:pPr>
      <w:r>
        <w:rPr>
          <w:noProof/>
          <w:lang w:eastAsia="en-AU"/>
        </w:rPr>
        <w:drawing>
          <wp:inline distT="0" distB="0" distL="0" distR="0" wp14:anchorId="0293AE43" wp14:editId="6BE977AB">
            <wp:extent cx="3139440" cy="1975485"/>
            <wp:effectExtent l="0" t="0" r="3810" b="5715"/>
            <wp:docPr id="13" name="Picture 13"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socioeconomic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39440" cy="1975485"/>
                    </a:xfrm>
                    <a:prstGeom prst="rect">
                      <a:avLst/>
                    </a:prstGeom>
                    <a:noFill/>
                  </pic:spPr>
                </pic:pic>
              </a:graphicData>
            </a:graphic>
          </wp:inline>
        </w:drawing>
      </w:r>
    </w:p>
    <w:p w14:paraId="6CFDAA32" w14:textId="77777777" w:rsidR="0002609B" w:rsidRDefault="0002609B" w:rsidP="00160602">
      <w:pPr>
        <w:pStyle w:val="DHHSbody"/>
        <w:numPr>
          <w:ilvl w:val="0"/>
          <w:numId w:val="31"/>
        </w:numPr>
        <w:rPr>
          <w:b/>
          <w:lang w:eastAsia="en-AU"/>
        </w:rPr>
        <w:sectPr w:rsidR="0002609B" w:rsidSect="0002609B">
          <w:type w:val="continuous"/>
          <w:pgSz w:w="11906" w:h="16838"/>
          <w:pgMar w:top="1701" w:right="849" w:bottom="1134" w:left="426" w:header="454" w:footer="510" w:gutter="0"/>
          <w:cols w:num="2" w:space="720"/>
          <w:docGrid w:linePitch="360"/>
        </w:sectPr>
      </w:pPr>
    </w:p>
    <w:p w14:paraId="140A6D11" w14:textId="109AEE97" w:rsidR="00CC7F4F" w:rsidRDefault="0061588C" w:rsidP="00FD5A28">
      <w:pPr>
        <w:pStyle w:val="DHHSbody"/>
        <w:numPr>
          <w:ilvl w:val="0"/>
          <w:numId w:val="31"/>
        </w:numPr>
        <w:ind w:left="284" w:hanging="284"/>
        <w:rPr>
          <w:b/>
          <w:lang w:eastAsia="en-AU"/>
        </w:rPr>
      </w:pPr>
      <w:r>
        <w:rPr>
          <w:b/>
          <w:lang w:eastAsia="en-AU"/>
        </w:rPr>
        <w:t>Integrated Cancer Servi</w:t>
      </w:r>
      <w:r w:rsidR="00CC7F4F">
        <w:rPr>
          <w:b/>
          <w:lang w:eastAsia="en-AU"/>
        </w:rPr>
        <w:t>ce</w:t>
      </w:r>
    </w:p>
    <w:p w14:paraId="492261CD" w14:textId="46CF3B96" w:rsidR="008350EA" w:rsidRDefault="00FD5A28" w:rsidP="008350EA">
      <w:pPr>
        <w:pStyle w:val="DHHSbody"/>
        <w:spacing w:after="0" w:line="240" w:lineRule="auto"/>
        <w:ind w:left="426" w:hanging="426"/>
        <w:rPr>
          <w:rFonts w:cs="Arial"/>
          <w:i/>
          <w:sz w:val="18"/>
          <w:szCs w:val="18"/>
        </w:rPr>
      </w:pPr>
      <w:r>
        <w:rPr>
          <w:rFonts w:cs="Arial"/>
          <w:i/>
          <w:noProof/>
          <w:sz w:val="18"/>
          <w:szCs w:val="18"/>
        </w:rPr>
        <w:drawing>
          <wp:inline distT="0" distB="0" distL="0" distR="0" wp14:anchorId="17DF1E8A" wp14:editId="352BB664">
            <wp:extent cx="6748780" cy="2926080"/>
            <wp:effectExtent l="0" t="0" r="0" b="7620"/>
            <wp:docPr id="517" name="Picture 517" descr="This figure shows a data summary of 'Measure 12.5 – Proportion of patients receiving systemic anti-cancer therapy within recommended timelines and where appropriate'. Specially this figure focuses on the proportion of lung cancer patients receiving systemic anti-cancer therapy within recommended timelines, by Integrated Cancer Servic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748780" cy="2926080"/>
                    </a:xfrm>
                    <a:prstGeom prst="rect">
                      <a:avLst/>
                    </a:prstGeom>
                    <a:noFill/>
                  </pic:spPr>
                </pic:pic>
              </a:graphicData>
            </a:graphic>
          </wp:inline>
        </w:drawing>
      </w:r>
    </w:p>
    <w:p w14:paraId="45A18D98" w14:textId="6735E55F" w:rsidR="009E3F52" w:rsidRPr="00387734" w:rsidRDefault="00A60311" w:rsidP="008350EA">
      <w:pPr>
        <w:pStyle w:val="DHHStablefigurenote"/>
      </w:pPr>
      <w:r w:rsidRPr="00387734">
        <w:t xml:space="preserve">Note: </w:t>
      </w:r>
      <w:r w:rsidR="00387734" w:rsidRPr="00387734">
        <w:t>Victorians with cancer who live in HRICS may receive treatment in New South Wales (Albury) hospitals, which is not captured in the VAED. Therefore, variables in this report that are derived using the VAED (i.e. comorbidity count, distant metastases, surgery and chemotherapy) are likely to be underestimated for Victorians living in HRICS.</w:t>
      </w:r>
    </w:p>
    <w:p w14:paraId="01AF7C7B" w14:textId="19F0025B" w:rsidR="008D1D80" w:rsidRPr="001A2A05" w:rsidRDefault="00A60311" w:rsidP="008350EA">
      <w:pPr>
        <w:pStyle w:val="DHHStablefigurenote"/>
        <w:rPr>
          <w:lang w:eastAsia="en-AU"/>
        </w:rPr>
      </w:pPr>
      <w:r>
        <w:t>Appendix 2 provides the dataset.</w:t>
      </w:r>
      <w:r w:rsidR="008D1D80">
        <w:rPr>
          <w:b/>
          <w:lang w:eastAsia="en-AU"/>
        </w:rPr>
        <w:br w:type="page"/>
      </w:r>
    </w:p>
    <w:p w14:paraId="7B231454" w14:textId="2190812D" w:rsidR="00A64EC6" w:rsidRDefault="00A64EC6" w:rsidP="00867A76">
      <w:pPr>
        <w:pStyle w:val="DHHSfigurecaption"/>
      </w:pPr>
      <w:bookmarkStart w:id="717" w:name="_Toc19008135"/>
      <w:bookmarkStart w:id="718" w:name="_Toc19008351"/>
      <w:bookmarkStart w:id="719" w:name="_Toc19008498"/>
      <w:bookmarkStart w:id="720" w:name="_Toc19008645"/>
      <w:bookmarkStart w:id="721" w:name="_Toc27414353"/>
      <w:r w:rsidRPr="00A10E2E">
        <w:lastRenderedPageBreak/>
        <w:t>Figure 12.5</w:t>
      </w:r>
      <w:r>
        <w:t>.2</w:t>
      </w:r>
      <w:r w:rsidR="002677DD">
        <w:t>:</w:t>
      </w:r>
      <w:r w:rsidRPr="00A10E2E">
        <w:t xml:space="preserve"> Proportion of </w:t>
      </w:r>
      <w:r>
        <w:t xml:space="preserve">breast cancer </w:t>
      </w:r>
      <w:r w:rsidRPr="00A10E2E">
        <w:t>patients receiving systemic anti-cancer therapy within recommended timelines</w:t>
      </w:r>
      <w:r w:rsidR="00C974DC">
        <w:t>,</w:t>
      </w:r>
      <w:r w:rsidRPr="00A10E2E">
        <w:t xml:space="preserve"> by age (A), sex (B), Indigenous status (C)</w:t>
      </w:r>
      <w:r>
        <w:t>, l</w:t>
      </w:r>
      <w:r w:rsidRPr="00A10E2E">
        <w:t>anguage spoken at home (D)</w:t>
      </w:r>
      <w:r>
        <w:t>, remote</w:t>
      </w:r>
      <w:r w:rsidR="00CC0123">
        <w:t>ness</w:t>
      </w:r>
      <w:r>
        <w:t xml:space="preserve"> area (E)</w:t>
      </w:r>
      <w:r w:rsidRPr="00A10E2E">
        <w:t xml:space="preserve">, </w:t>
      </w:r>
      <w:r w:rsidR="00DE7FFE">
        <w:t>SES</w:t>
      </w:r>
      <w:r>
        <w:t xml:space="preserve"> (F) and </w:t>
      </w:r>
      <w:r w:rsidR="008439C8">
        <w:t>ICS</w:t>
      </w:r>
      <w:r>
        <w:t xml:space="preserve"> (G), </w:t>
      </w:r>
      <w:r w:rsidRPr="00A10E2E">
        <w:t>Victoria, 2014</w:t>
      </w:r>
      <w:r w:rsidR="002677DD">
        <w:t>–</w:t>
      </w:r>
      <w:r w:rsidRPr="00A10E2E">
        <w:t>2016</w:t>
      </w:r>
      <w:bookmarkEnd w:id="717"/>
      <w:bookmarkEnd w:id="718"/>
      <w:bookmarkEnd w:id="719"/>
      <w:bookmarkEnd w:id="720"/>
      <w:bookmarkEnd w:id="721"/>
    </w:p>
    <w:p w14:paraId="2D43D72E" w14:textId="77777777" w:rsidR="00930712" w:rsidRDefault="00930712" w:rsidP="00160602">
      <w:pPr>
        <w:pStyle w:val="DHHSbody"/>
        <w:numPr>
          <w:ilvl w:val="0"/>
          <w:numId w:val="30"/>
        </w:numPr>
        <w:ind w:left="567" w:hanging="361"/>
        <w:rPr>
          <w:b/>
          <w:lang w:eastAsia="en-AU"/>
        </w:rPr>
        <w:sectPr w:rsidR="00930712" w:rsidSect="006116E6">
          <w:type w:val="continuous"/>
          <w:pgSz w:w="11906" w:h="16838"/>
          <w:pgMar w:top="1701" w:right="849" w:bottom="1134" w:left="426" w:header="454" w:footer="510" w:gutter="0"/>
          <w:cols w:space="720"/>
          <w:docGrid w:linePitch="360"/>
        </w:sectPr>
      </w:pPr>
    </w:p>
    <w:p w14:paraId="7786F0C5" w14:textId="7937ED68" w:rsidR="007F096F" w:rsidRPr="007F096F" w:rsidRDefault="00CB084F" w:rsidP="00160602">
      <w:pPr>
        <w:pStyle w:val="DHHSbody"/>
        <w:numPr>
          <w:ilvl w:val="0"/>
          <w:numId w:val="30"/>
        </w:numPr>
        <w:ind w:left="357" w:hanging="357"/>
        <w:rPr>
          <w:b/>
          <w:lang w:eastAsia="en-AU"/>
        </w:rPr>
      </w:pPr>
      <w:r>
        <w:rPr>
          <w:b/>
          <w:lang w:eastAsia="en-AU"/>
        </w:rPr>
        <w:t>Age</w:t>
      </w:r>
    </w:p>
    <w:p w14:paraId="3FB85AAA" w14:textId="212B85C7" w:rsidR="00CB084F" w:rsidRDefault="00161F25" w:rsidP="00494286">
      <w:pPr>
        <w:pStyle w:val="DHHSbody"/>
        <w:rPr>
          <w:lang w:eastAsia="en-AU"/>
        </w:rPr>
      </w:pPr>
      <w:r>
        <w:rPr>
          <w:noProof/>
          <w:lang w:eastAsia="en-AU"/>
        </w:rPr>
        <w:drawing>
          <wp:inline distT="0" distB="0" distL="0" distR="0" wp14:anchorId="0F4C4B58" wp14:editId="223DA773">
            <wp:extent cx="3133725" cy="2444750"/>
            <wp:effectExtent l="0" t="0" r="9525" b="0"/>
            <wp:docPr id="518" name="Picture 518"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ag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33725" cy="2444750"/>
                    </a:xfrm>
                    <a:prstGeom prst="rect">
                      <a:avLst/>
                    </a:prstGeom>
                    <a:noFill/>
                  </pic:spPr>
                </pic:pic>
              </a:graphicData>
            </a:graphic>
          </wp:inline>
        </w:drawing>
      </w:r>
    </w:p>
    <w:p w14:paraId="610B2075" w14:textId="1353CD9C" w:rsidR="00930712" w:rsidRDefault="006102D6" w:rsidP="00160602">
      <w:pPr>
        <w:pStyle w:val="DHHSbody"/>
        <w:numPr>
          <w:ilvl w:val="0"/>
          <w:numId w:val="46"/>
        </w:numPr>
        <w:ind w:left="357" w:hanging="357"/>
        <w:rPr>
          <w:b/>
          <w:lang w:eastAsia="en-AU"/>
        </w:rPr>
      </w:pPr>
      <w:r>
        <w:rPr>
          <w:b/>
          <w:lang w:eastAsia="en-AU"/>
        </w:rPr>
        <w:br w:type="column"/>
      </w:r>
      <w:r w:rsidR="00930712">
        <w:rPr>
          <w:b/>
          <w:lang w:eastAsia="en-AU"/>
        </w:rPr>
        <w:t>Sex</w:t>
      </w:r>
    </w:p>
    <w:p w14:paraId="66A49FF3" w14:textId="68B5B744" w:rsidR="00930712" w:rsidRDefault="00161F25" w:rsidP="00494286">
      <w:pPr>
        <w:pStyle w:val="DHHSbody"/>
        <w:rPr>
          <w:lang w:eastAsia="en-AU"/>
        </w:rPr>
      </w:pPr>
      <w:r>
        <w:rPr>
          <w:noProof/>
          <w:lang w:eastAsia="en-AU"/>
        </w:rPr>
        <w:drawing>
          <wp:inline distT="0" distB="0" distL="0" distR="0" wp14:anchorId="761B9688" wp14:editId="147C7167">
            <wp:extent cx="3164205" cy="2512060"/>
            <wp:effectExtent l="0" t="0" r="0" b="2540"/>
            <wp:docPr id="519" name="Picture 519"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sex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64205" cy="2512060"/>
                    </a:xfrm>
                    <a:prstGeom prst="rect">
                      <a:avLst/>
                    </a:prstGeom>
                    <a:noFill/>
                  </pic:spPr>
                </pic:pic>
              </a:graphicData>
            </a:graphic>
          </wp:inline>
        </w:drawing>
      </w:r>
    </w:p>
    <w:p w14:paraId="68ABE5F4" w14:textId="77777777" w:rsidR="00930712" w:rsidRDefault="00930712" w:rsidP="00160602">
      <w:pPr>
        <w:pStyle w:val="DHHSbody"/>
        <w:numPr>
          <w:ilvl w:val="0"/>
          <w:numId w:val="46"/>
        </w:numPr>
        <w:ind w:left="567" w:hanging="425"/>
        <w:rPr>
          <w:b/>
          <w:lang w:eastAsia="en-AU"/>
        </w:rPr>
        <w:sectPr w:rsidR="00930712" w:rsidSect="00930712">
          <w:type w:val="continuous"/>
          <w:pgSz w:w="11906" w:h="16838"/>
          <w:pgMar w:top="1701" w:right="849" w:bottom="1134" w:left="426" w:header="454" w:footer="510" w:gutter="0"/>
          <w:cols w:num="2" w:space="720"/>
          <w:docGrid w:linePitch="360"/>
        </w:sectPr>
      </w:pPr>
    </w:p>
    <w:p w14:paraId="009B2299" w14:textId="1C402194" w:rsidR="00CB084F" w:rsidRDefault="00CB084F" w:rsidP="00160602">
      <w:pPr>
        <w:pStyle w:val="DHHSbody"/>
        <w:numPr>
          <w:ilvl w:val="0"/>
          <w:numId w:val="46"/>
        </w:numPr>
        <w:ind w:left="357" w:hanging="357"/>
        <w:rPr>
          <w:b/>
          <w:lang w:eastAsia="en-AU"/>
        </w:rPr>
      </w:pPr>
      <w:r>
        <w:rPr>
          <w:b/>
          <w:lang w:eastAsia="en-AU"/>
        </w:rPr>
        <w:t>Indigenous status</w:t>
      </w:r>
    </w:p>
    <w:p w14:paraId="7A76302B" w14:textId="55A4A3DE" w:rsidR="00CB084F" w:rsidRDefault="00161F25" w:rsidP="00A64EC6">
      <w:pPr>
        <w:pStyle w:val="DHHSbody"/>
        <w:rPr>
          <w:b/>
          <w:lang w:eastAsia="en-AU"/>
        </w:rPr>
      </w:pPr>
      <w:r>
        <w:rPr>
          <w:b/>
          <w:noProof/>
          <w:lang w:eastAsia="en-AU"/>
        </w:rPr>
        <w:drawing>
          <wp:inline distT="0" distB="0" distL="0" distR="0" wp14:anchorId="7F29E180" wp14:editId="611F711E">
            <wp:extent cx="3133725" cy="2042160"/>
            <wp:effectExtent l="0" t="0" r="9525" b="0"/>
            <wp:docPr id="520" name="Picture 520"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Indigenous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33725" cy="2042160"/>
                    </a:xfrm>
                    <a:prstGeom prst="rect">
                      <a:avLst/>
                    </a:prstGeom>
                    <a:noFill/>
                  </pic:spPr>
                </pic:pic>
              </a:graphicData>
            </a:graphic>
          </wp:inline>
        </w:drawing>
      </w:r>
    </w:p>
    <w:p w14:paraId="32D9328A" w14:textId="02BE08D9" w:rsidR="00D40FCA" w:rsidRDefault="00D40FCA" w:rsidP="00160602">
      <w:pPr>
        <w:pStyle w:val="DHHSbody"/>
        <w:numPr>
          <w:ilvl w:val="0"/>
          <w:numId w:val="46"/>
        </w:numPr>
        <w:ind w:left="357" w:hanging="357"/>
        <w:rPr>
          <w:b/>
          <w:lang w:eastAsia="en-AU"/>
        </w:rPr>
      </w:pPr>
      <w:r>
        <w:rPr>
          <w:b/>
          <w:lang w:eastAsia="en-AU"/>
        </w:rPr>
        <w:t>Language spoken at home</w:t>
      </w:r>
    </w:p>
    <w:p w14:paraId="04F36E19" w14:textId="07C0C0C4" w:rsidR="00D40FCA" w:rsidRDefault="00161F25" w:rsidP="00D40FCA">
      <w:pPr>
        <w:pStyle w:val="DHHSbody"/>
        <w:rPr>
          <w:b/>
          <w:lang w:eastAsia="en-AU"/>
        </w:rPr>
      </w:pPr>
      <w:r>
        <w:rPr>
          <w:b/>
          <w:noProof/>
          <w:lang w:eastAsia="en-AU"/>
        </w:rPr>
        <w:drawing>
          <wp:inline distT="0" distB="0" distL="0" distR="0" wp14:anchorId="607870FB" wp14:editId="1F07FC03">
            <wp:extent cx="3133725" cy="2091055"/>
            <wp:effectExtent l="0" t="0" r="9525" b="4445"/>
            <wp:docPr id="521" name="Picture 521"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Language spoken at hom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33725" cy="2091055"/>
                    </a:xfrm>
                    <a:prstGeom prst="rect">
                      <a:avLst/>
                    </a:prstGeom>
                    <a:noFill/>
                  </pic:spPr>
                </pic:pic>
              </a:graphicData>
            </a:graphic>
          </wp:inline>
        </w:drawing>
      </w:r>
    </w:p>
    <w:p w14:paraId="75CCDF15" w14:textId="77777777" w:rsidR="00D40FCA" w:rsidRDefault="00D40FCA" w:rsidP="00160602">
      <w:pPr>
        <w:pStyle w:val="DHHSbody"/>
        <w:numPr>
          <w:ilvl w:val="0"/>
          <w:numId w:val="46"/>
        </w:numPr>
        <w:rPr>
          <w:b/>
          <w:lang w:eastAsia="en-AU"/>
        </w:rPr>
        <w:sectPr w:rsidR="00D40FCA" w:rsidSect="00D40FCA">
          <w:type w:val="continuous"/>
          <w:pgSz w:w="11906" w:h="16838"/>
          <w:pgMar w:top="1701" w:right="849" w:bottom="1134" w:left="426" w:header="454" w:footer="510" w:gutter="0"/>
          <w:cols w:num="2" w:space="720"/>
          <w:docGrid w:linePitch="360"/>
        </w:sectPr>
      </w:pPr>
    </w:p>
    <w:p w14:paraId="0D177DE9" w14:textId="029ADFE3" w:rsidR="008D5695" w:rsidRPr="00D40FCA" w:rsidRDefault="008D5695" w:rsidP="00160602">
      <w:pPr>
        <w:pStyle w:val="DHHSbody"/>
        <w:numPr>
          <w:ilvl w:val="0"/>
          <w:numId w:val="46"/>
        </w:numPr>
        <w:ind w:left="357" w:hanging="357"/>
        <w:rPr>
          <w:b/>
          <w:lang w:eastAsia="en-AU"/>
        </w:rPr>
      </w:pPr>
      <w:r w:rsidRPr="00D40FCA">
        <w:rPr>
          <w:b/>
          <w:lang w:eastAsia="en-AU"/>
        </w:rPr>
        <w:t>Remoteness area</w:t>
      </w:r>
    </w:p>
    <w:p w14:paraId="427D6852" w14:textId="2DC4EC6F" w:rsidR="008D5695" w:rsidRDefault="00161F25" w:rsidP="00A64EC6">
      <w:pPr>
        <w:pStyle w:val="DHHSbody"/>
        <w:rPr>
          <w:b/>
          <w:lang w:eastAsia="en-AU"/>
        </w:rPr>
      </w:pPr>
      <w:r>
        <w:rPr>
          <w:b/>
          <w:noProof/>
          <w:lang w:eastAsia="en-AU"/>
        </w:rPr>
        <w:drawing>
          <wp:inline distT="0" distB="0" distL="0" distR="0" wp14:anchorId="25A7E3C9" wp14:editId="14D8B166">
            <wp:extent cx="3145790" cy="2286000"/>
            <wp:effectExtent l="0" t="0" r="0" b="0"/>
            <wp:docPr id="522" name="Picture 522"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remoteness area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45790" cy="2286000"/>
                    </a:xfrm>
                    <a:prstGeom prst="rect">
                      <a:avLst/>
                    </a:prstGeom>
                    <a:noFill/>
                  </pic:spPr>
                </pic:pic>
              </a:graphicData>
            </a:graphic>
          </wp:inline>
        </w:drawing>
      </w:r>
    </w:p>
    <w:p w14:paraId="2BFD1355" w14:textId="7AFCD14D" w:rsidR="00D40FCA" w:rsidRDefault="00D40FCA" w:rsidP="00160602">
      <w:pPr>
        <w:pStyle w:val="DHHSbody"/>
        <w:numPr>
          <w:ilvl w:val="0"/>
          <w:numId w:val="46"/>
        </w:numPr>
        <w:ind w:left="357" w:hanging="357"/>
        <w:rPr>
          <w:b/>
          <w:lang w:eastAsia="en-AU"/>
        </w:rPr>
      </w:pPr>
      <w:r w:rsidRPr="00D40FCA">
        <w:rPr>
          <w:b/>
          <w:lang w:eastAsia="en-AU"/>
        </w:rPr>
        <w:t>Socioeconomic status</w:t>
      </w:r>
    </w:p>
    <w:p w14:paraId="4FF665A4" w14:textId="3CDF0774" w:rsidR="00161F25" w:rsidRPr="00161F25" w:rsidRDefault="00161F25" w:rsidP="00161F25">
      <w:pPr>
        <w:pStyle w:val="DHHSbody"/>
      </w:pPr>
      <w:r>
        <w:rPr>
          <w:noProof/>
        </w:rPr>
        <w:drawing>
          <wp:inline distT="0" distB="0" distL="0" distR="0" wp14:anchorId="2ACB04EE" wp14:editId="1FAF9E78">
            <wp:extent cx="3139440" cy="2268220"/>
            <wp:effectExtent l="0" t="0" r="3810" b="0"/>
            <wp:docPr id="523" name="Picture 523"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socioeconomic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39440" cy="2268220"/>
                    </a:xfrm>
                    <a:prstGeom prst="rect">
                      <a:avLst/>
                    </a:prstGeom>
                    <a:noFill/>
                  </pic:spPr>
                </pic:pic>
              </a:graphicData>
            </a:graphic>
          </wp:inline>
        </w:drawing>
      </w:r>
    </w:p>
    <w:p w14:paraId="571EA9B5" w14:textId="7AC2C875" w:rsidR="00D40FCA" w:rsidRDefault="00D40FCA" w:rsidP="006102D6">
      <w:pPr>
        <w:pStyle w:val="DHHSbody"/>
        <w:rPr>
          <w:b/>
        </w:rPr>
        <w:sectPr w:rsidR="00D40FCA" w:rsidSect="00D40FCA">
          <w:type w:val="continuous"/>
          <w:pgSz w:w="11906" w:h="16838"/>
          <w:pgMar w:top="1701" w:right="849" w:bottom="1134" w:left="426" w:header="454" w:footer="510" w:gutter="0"/>
          <w:cols w:num="2" w:space="720"/>
          <w:docGrid w:linePitch="360"/>
        </w:sectPr>
      </w:pPr>
    </w:p>
    <w:p w14:paraId="0C194150" w14:textId="58412B15" w:rsidR="00565E05" w:rsidRDefault="00565E05">
      <w:pPr>
        <w:rPr>
          <w:rFonts w:ascii="Arial" w:eastAsia="Times" w:hAnsi="Arial"/>
          <w:b/>
        </w:rPr>
      </w:pPr>
      <w:r>
        <w:rPr>
          <w:b/>
        </w:rPr>
        <w:br w:type="page"/>
      </w:r>
    </w:p>
    <w:p w14:paraId="0E4D5003" w14:textId="71D9DBF0" w:rsidR="008D5695" w:rsidRDefault="008D5695" w:rsidP="00160602">
      <w:pPr>
        <w:pStyle w:val="DHHSbody"/>
        <w:numPr>
          <w:ilvl w:val="0"/>
          <w:numId w:val="32"/>
        </w:numPr>
        <w:ind w:left="357" w:hanging="357"/>
        <w:rPr>
          <w:b/>
          <w:lang w:eastAsia="en-AU"/>
        </w:rPr>
      </w:pPr>
      <w:r>
        <w:rPr>
          <w:b/>
          <w:lang w:eastAsia="en-AU"/>
        </w:rPr>
        <w:lastRenderedPageBreak/>
        <w:t>Integrated Cancer Service</w:t>
      </w:r>
    </w:p>
    <w:p w14:paraId="2EF61DF3" w14:textId="7A072457" w:rsidR="008D5695" w:rsidRDefault="00161F25" w:rsidP="00DD7E62">
      <w:pPr>
        <w:pStyle w:val="DHHSbody"/>
        <w:rPr>
          <w:b/>
          <w:lang w:eastAsia="en-AU"/>
        </w:rPr>
      </w:pPr>
      <w:r>
        <w:rPr>
          <w:b/>
          <w:noProof/>
          <w:lang w:eastAsia="en-AU"/>
        </w:rPr>
        <w:drawing>
          <wp:inline distT="0" distB="0" distL="0" distR="0" wp14:anchorId="0CABE24E" wp14:editId="3955F0C9">
            <wp:extent cx="6736715" cy="3249295"/>
            <wp:effectExtent l="0" t="0" r="6985" b="8255"/>
            <wp:docPr id="524" name="Picture 524" descr="This figure shows a data summary of 'Measure 12.5 – Proportion of patients receiving systemic anti-cancer therapy within recommended timelines and where appropriate'. Specially this figure focuses on the proportion of breast cancer patients receiving systemic anti-cancer therapy within recommended timelines, by Integrated Cancer Servic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736715" cy="3249295"/>
                    </a:xfrm>
                    <a:prstGeom prst="rect">
                      <a:avLst/>
                    </a:prstGeom>
                    <a:noFill/>
                  </pic:spPr>
                </pic:pic>
              </a:graphicData>
            </a:graphic>
          </wp:inline>
        </w:drawing>
      </w:r>
    </w:p>
    <w:p w14:paraId="7B1F77B0" w14:textId="37E3563D" w:rsidR="00CA69B6" w:rsidRPr="00CA69B6" w:rsidRDefault="00A60311" w:rsidP="008350EA">
      <w:pPr>
        <w:pStyle w:val="DHHStablefigurenote"/>
      </w:pPr>
      <w:r w:rsidRPr="00CA69B6">
        <w:t xml:space="preserve">Note: </w:t>
      </w:r>
      <w:r w:rsidR="00CA69B6" w:rsidRPr="00CA69B6">
        <w:t>Victorians with cancer who live in HRICS may receive treatment in New South Wales (Albury) hospitals, which is not captured in the VAED. Therefore, variables in this report that are derived using the VAED (i.e. comorbidity count, distant metastases, surgery and chemotherapy) are likely to be underestimated for Victorians living in HRICS.</w:t>
      </w:r>
    </w:p>
    <w:p w14:paraId="33EDC322" w14:textId="48A19D61" w:rsidR="006F1288" w:rsidRPr="00A60311" w:rsidRDefault="00A60311" w:rsidP="00A60311">
      <w:pPr>
        <w:pStyle w:val="DHHSbody"/>
        <w:tabs>
          <w:tab w:val="left" w:pos="284"/>
        </w:tabs>
        <w:rPr>
          <w:i/>
          <w:sz w:val="18"/>
          <w:szCs w:val="18"/>
          <w:lang w:eastAsia="en-AU"/>
        </w:rPr>
      </w:pPr>
      <w:r>
        <w:rPr>
          <w:i/>
          <w:sz w:val="18"/>
          <w:szCs w:val="18"/>
        </w:rPr>
        <w:t>Appendix 2 provides the dataset.</w:t>
      </w:r>
    </w:p>
    <w:p w14:paraId="0BCFC5AB" w14:textId="1F077EEB" w:rsidR="00A64EC6" w:rsidRDefault="00A64EC6" w:rsidP="00867A76">
      <w:pPr>
        <w:pStyle w:val="DHHSfigurecaption"/>
      </w:pPr>
      <w:bookmarkStart w:id="722" w:name="_Toc19008136"/>
      <w:bookmarkStart w:id="723" w:name="_Toc19008352"/>
      <w:bookmarkStart w:id="724" w:name="_Toc19008499"/>
      <w:bookmarkStart w:id="725" w:name="_Toc19008646"/>
      <w:bookmarkStart w:id="726" w:name="_Toc27414354"/>
      <w:r w:rsidRPr="00A10E2E">
        <w:t>Figure 12.5</w:t>
      </w:r>
      <w:r>
        <w:t>.3</w:t>
      </w:r>
      <w:r w:rsidR="002677DD">
        <w:t>:</w:t>
      </w:r>
      <w:r w:rsidRPr="00A10E2E">
        <w:t xml:space="preserve"> Proportion of </w:t>
      </w:r>
      <w:r>
        <w:t xml:space="preserve">colorectal cancer </w:t>
      </w:r>
      <w:r w:rsidRPr="00A10E2E">
        <w:t>patients receiving systemic anti-cancer therapy within recommended timelines</w:t>
      </w:r>
      <w:r w:rsidR="00C974DC">
        <w:t>,</w:t>
      </w:r>
      <w:r w:rsidRPr="00A10E2E">
        <w:t xml:space="preserve"> by age (A), sex (B), Indigenous status (C)</w:t>
      </w:r>
      <w:r>
        <w:t>, l</w:t>
      </w:r>
      <w:r w:rsidRPr="00A10E2E">
        <w:t>anguage spoken at home (D)</w:t>
      </w:r>
      <w:r>
        <w:t>, remote</w:t>
      </w:r>
      <w:r w:rsidR="00CC0123">
        <w:t>ness</w:t>
      </w:r>
      <w:r>
        <w:t xml:space="preserve"> area (E)</w:t>
      </w:r>
      <w:r w:rsidRPr="00A10E2E">
        <w:t xml:space="preserve">, </w:t>
      </w:r>
      <w:r w:rsidR="00DE7FFE">
        <w:t>SES</w:t>
      </w:r>
      <w:r>
        <w:t xml:space="preserve"> (F) and </w:t>
      </w:r>
      <w:r w:rsidR="008439C8">
        <w:t>ICS</w:t>
      </w:r>
      <w:r>
        <w:t xml:space="preserve"> (G), </w:t>
      </w:r>
      <w:r w:rsidRPr="00A10E2E">
        <w:t>Victoria, 2014</w:t>
      </w:r>
      <w:r w:rsidR="002677DD">
        <w:t>–</w:t>
      </w:r>
      <w:r w:rsidRPr="00A10E2E">
        <w:t>2016</w:t>
      </w:r>
      <w:bookmarkEnd w:id="722"/>
      <w:bookmarkEnd w:id="723"/>
      <w:bookmarkEnd w:id="724"/>
      <w:bookmarkEnd w:id="725"/>
      <w:bookmarkEnd w:id="726"/>
    </w:p>
    <w:p w14:paraId="009341E6" w14:textId="77777777" w:rsidR="004232BD" w:rsidRDefault="004232BD" w:rsidP="00160602">
      <w:pPr>
        <w:pStyle w:val="DHHSbody"/>
        <w:numPr>
          <w:ilvl w:val="0"/>
          <w:numId w:val="28"/>
        </w:numPr>
        <w:ind w:hanging="368"/>
        <w:rPr>
          <w:b/>
          <w:lang w:eastAsia="en-AU"/>
        </w:rPr>
        <w:sectPr w:rsidR="004232BD" w:rsidSect="006116E6">
          <w:type w:val="continuous"/>
          <w:pgSz w:w="11906" w:h="16838"/>
          <w:pgMar w:top="1701" w:right="849" w:bottom="1134" w:left="426" w:header="454" w:footer="510" w:gutter="0"/>
          <w:cols w:space="720"/>
          <w:docGrid w:linePitch="360"/>
        </w:sectPr>
      </w:pPr>
    </w:p>
    <w:p w14:paraId="3A33D6B1" w14:textId="6563BFFA" w:rsidR="0034309F" w:rsidRDefault="0034309F" w:rsidP="00160602">
      <w:pPr>
        <w:pStyle w:val="DHHSbody"/>
        <w:numPr>
          <w:ilvl w:val="0"/>
          <w:numId w:val="28"/>
        </w:numPr>
        <w:tabs>
          <w:tab w:val="left" w:pos="284"/>
        </w:tabs>
        <w:ind w:left="142" w:hanging="142"/>
        <w:rPr>
          <w:b/>
          <w:lang w:eastAsia="en-AU"/>
        </w:rPr>
      </w:pPr>
      <w:r>
        <w:rPr>
          <w:b/>
          <w:lang w:eastAsia="en-AU"/>
        </w:rPr>
        <w:t>Age</w:t>
      </w:r>
    </w:p>
    <w:p w14:paraId="3EC8BFA6" w14:textId="7042DEA7" w:rsidR="00542B83" w:rsidRPr="00F74453" w:rsidRDefault="00E66EEA" w:rsidP="00542B83">
      <w:pPr>
        <w:pStyle w:val="DHHSbody"/>
        <w:tabs>
          <w:tab w:val="left" w:pos="284"/>
        </w:tabs>
        <w:rPr>
          <w:b/>
          <w:lang w:eastAsia="en-AU"/>
        </w:rPr>
      </w:pPr>
      <w:r>
        <w:rPr>
          <w:b/>
          <w:noProof/>
          <w:lang w:eastAsia="en-AU"/>
        </w:rPr>
        <w:drawing>
          <wp:inline distT="0" distB="0" distL="0" distR="0" wp14:anchorId="5064A693" wp14:editId="284BEB14">
            <wp:extent cx="3145790" cy="2212975"/>
            <wp:effectExtent l="0" t="0" r="0" b="0"/>
            <wp:docPr id="14" name="Picture 14"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ag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45790" cy="2212975"/>
                    </a:xfrm>
                    <a:prstGeom prst="rect">
                      <a:avLst/>
                    </a:prstGeom>
                    <a:noFill/>
                  </pic:spPr>
                </pic:pic>
              </a:graphicData>
            </a:graphic>
          </wp:inline>
        </w:drawing>
      </w:r>
    </w:p>
    <w:p w14:paraId="02559FE7" w14:textId="3C39F2DE" w:rsidR="004232BD" w:rsidRDefault="00542B83" w:rsidP="00160602">
      <w:pPr>
        <w:pStyle w:val="DHHSbody"/>
        <w:numPr>
          <w:ilvl w:val="0"/>
          <w:numId w:val="28"/>
        </w:numPr>
        <w:tabs>
          <w:tab w:val="left" w:pos="284"/>
        </w:tabs>
        <w:ind w:left="357" w:hanging="357"/>
        <w:rPr>
          <w:b/>
          <w:lang w:eastAsia="en-AU"/>
        </w:rPr>
      </w:pPr>
      <w:r>
        <w:rPr>
          <w:b/>
          <w:lang w:eastAsia="en-AU"/>
        </w:rPr>
        <w:br w:type="column"/>
      </w:r>
      <w:r w:rsidR="004232BD">
        <w:rPr>
          <w:b/>
          <w:lang w:eastAsia="en-AU"/>
        </w:rPr>
        <w:t>Sex</w:t>
      </w:r>
    </w:p>
    <w:p w14:paraId="3B829114" w14:textId="52ABC3DC" w:rsidR="004232BD" w:rsidRDefault="00E66EEA" w:rsidP="00EA582B">
      <w:pPr>
        <w:pStyle w:val="DHHSbody"/>
        <w:rPr>
          <w:b/>
          <w:lang w:eastAsia="en-AU"/>
        </w:rPr>
      </w:pPr>
      <w:r>
        <w:rPr>
          <w:noProof/>
        </w:rPr>
        <w:drawing>
          <wp:inline distT="0" distB="0" distL="0" distR="0" wp14:anchorId="2285AD69" wp14:editId="656B57A8">
            <wp:extent cx="3117715" cy="2418715"/>
            <wp:effectExtent l="0" t="0" r="6985" b="635"/>
            <wp:docPr id="19" name="Chart 19"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sex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a:extLst xmlns:a="http://schemas.openxmlformats.org/drawingml/2006/main">
                <a:ext uri="{FF2B5EF4-FFF2-40B4-BE49-F238E27FC236}">
                  <a16:creationId xmlns:a16="http://schemas.microsoft.com/office/drawing/2014/main" id="{FBB0956F-6B83-428A-A625-88DA32826A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2541CBAD" w14:textId="77777777" w:rsidR="004232BD" w:rsidRDefault="004232BD" w:rsidP="00160602">
      <w:pPr>
        <w:pStyle w:val="DHHSbody"/>
        <w:numPr>
          <w:ilvl w:val="0"/>
          <w:numId w:val="33"/>
        </w:numPr>
        <w:tabs>
          <w:tab w:val="left" w:pos="426"/>
        </w:tabs>
        <w:ind w:left="-284" w:firstLine="284"/>
        <w:rPr>
          <w:b/>
          <w:lang w:eastAsia="en-AU"/>
        </w:rPr>
        <w:sectPr w:rsidR="004232BD" w:rsidSect="004232BD">
          <w:type w:val="continuous"/>
          <w:pgSz w:w="11906" w:h="16838"/>
          <w:pgMar w:top="1701" w:right="849" w:bottom="1134" w:left="426" w:header="454" w:footer="510" w:gutter="0"/>
          <w:cols w:num="2" w:space="720"/>
          <w:docGrid w:linePitch="360"/>
        </w:sectPr>
      </w:pPr>
    </w:p>
    <w:p w14:paraId="758FBAF4" w14:textId="77777777" w:rsidR="00542B83" w:rsidRDefault="00542B83">
      <w:pPr>
        <w:rPr>
          <w:rFonts w:ascii="Arial" w:eastAsia="Times" w:hAnsi="Arial"/>
          <w:b/>
        </w:rPr>
      </w:pPr>
      <w:r>
        <w:rPr>
          <w:b/>
        </w:rPr>
        <w:br w:type="page"/>
      </w:r>
    </w:p>
    <w:p w14:paraId="7183C6A5" w14:textId="77777777" w:rsidR="00EF5EF1" w:rsidRDefault="00EF5EF1" w:rsidP="00160602">
      <w:pPr>
        <w:pStyle w:val="DHHSbody"/>
        <w:numPr>
          <w:ilvl w:val="0"/>
          <w:numId w:val="33"/>
        </w:numPr>
        <w:tabs>
          <w:tab w:val="left" w:pos="426"/>
        </w:tabs>
        <w:ind w:left="-284" w:firstLine="284"/>
        <w:rPr>
          <w:b/>
          <w:lang w:eastAsia="en-AU"/>
        </w:rPr>
        <w:sectPr w:rsidR="00EF5EF1" w:rsidSect="00542B83">
          <w:type w:val="continuous"/>
          <w:pgSz w:w="11906" w:h="16838"/>
          <w:pgMar w:top="1701" w:right="849" w:bottom="1134" w:left="993" w:header="454" w:footer="510" w:gutter="0"/>
          <w:cols w:space="720"/>
          <w:docGrid w:linePitch="360"/>
        </w:sectPr>
      </w:pPr>
    </w:p>
    <w:p w14:paraId="09BEE843" w14:textId="456291E5" w:rsidR="00542B83" w:rsidRDefault="0034309F" w:rsidP="00160602">
      <w:pPr>
        <w:pStyle w:val="DHHSbody"/>
        <w:numPr>
          <w:ilvl w:val="0"/>
          <w:numId w:val="33"/>
        </w:numPr>
        <w:tabs>
          <w:tab w:val="left" w:pos="426"/>
        </w:tabs>
        <w:ind w:left="0" w:firstLine="0"/>
        <w:rPr>
          <w:b/>
          <w:lang w:eastAsia="en-AU"/>
        </w:rPr>
      </w:pPr>
      <w:r w:rsidRPr="00542B83">
        <w:rPr>
          <w:b/>
          <w:lang w:eastAsia="en-AU"/>
        </w:rPr>
        <w:lastRenderedPageBreak/>
        <w:t>Indigenous status</w:t>
      </w:r>
    </w:p>
    <w:p w14:paraId="6A54D035" w14:textId="76016139" w:rsidR="00542B83" w:rsidRDefault="00161F25" w:rsidP="00542B83">
      <w:pPr>
        <w:pStyle w:val="DHHSbody"/>
        <w:tabs>
          <w:tab w:val="left" w:pos="426"/>
        </w:tabs>
        <w:rPr>
          <w:b/>
          <w:lang w:eastAsia="en-AU"/>
        </w:rPr>
      </w:pPr>
      <w:r>
        <w:rPr>
          <w:b/>
          <w:noProof/>
          <w:lang w:eastAsia="en-AU"/>
        </w:rPr>
        <w:drawing>
          <wp:inline distT="0" distB="0" distL="0" distR="0" wp14:anchorId="47B2D756" wp14:editId="40C907E7">
            <wp:extent cx="2962910" cy="2207260"/>
            <wp:effectExtent l="0" t="0" r="8890" b="2540"/>
            <wp:docPr id="527" name="Picture 527"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Indigenous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62910" cy="2207260"/>
                    </a:xfrm>
                    <a:prstGeom prst="rect">
                      <a:avLst/>
                    </a:prstGeom>
                    <a:noFill/>
                  </pic:spPr>
                </pic:pic>
              </a:graphicData>
            </a:graphic>
          </wp:inline>
        </w:drawing>
      </w:r>
    </w:p>
    <w:p w14:paraId="1675F003" w14:textId="22DA8408" w:rsidR="00542B83" w:rsidRPr="00542B83" w:rsidRDefault="0034309F" w:rsidP="00161F25">
      <w:pPr>
        <w:pStyle w:val="DHHSbody"/>
        <w:keepNext/>
        <w:numPr>
          <w:ilvl w:val="0"/>
          <w:numId w:val="33"/>
        </w:numPr>
        <w:tabs>
          <w:tab w:val="left" w:pos="426"/>
        </w:tabs>
        <w:ind w:left="0" w:firstLine="0"/>
        <w:rPr>
          <w:b/>
          <w:lang w:eastAsia="en-AU"/>
        </w:rPr>
      </w:pPr>
      <w:r w:rsidRPr="00542B83">
        <w:rPr>
          <w:b/>
          <w:lang w:eastAsia="en-AU"/>
        </w:rPr>
        <w:t>Language spoken at home</w:t>
      </w:r>
    </w:p>
    <w:p w14:paraId="534708A8" w14:textId="64FCD128" w:rsidR="0034309F" w:rsidRPr="00F74453" w:rsidRDefault="00161F25" w:rsidP="00EF5EF1">
      <w:pPr>
        <w:pStyle w:val="DHHSbody"/>
        <w:tabs>
          <w:tab w:val="left" w:pos="426"/>
        </w:tabs>
        <w:rPr>
          <w:b/>
          <w:lang w:eastAsia="en-AU"/>
        </w:rPr>
      </w:pPr>
      <w:r>
        <w:rPr>
          <w:b/>
          <w:noProof/>
          <w:lang w:eastAsia="en-AU"/>
        </w:rPr>
        <w:drawing>
          <wp:inline distT="0" distB="0" distL="0" distR="0" wp14:anchorId="44B81CDA" wp14:editId="060BA250">
            <wp:extent cx="2944495" cy="2231390"/>
            <wp:effectExtent l="0" t="0" r="8255" b="0"/>
            <wp:docPr id="528" name="Picture 528"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Language spoken at hom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44495" cy="2231390"/>
                    </a:xfrm>
                    <a:prstGeom prst="rect">
                      <a:avLst/>
                    </a:prstGeom>
                    <a:noFill/>
                  </pic:spPr>
                </pic:pic>
              </a:graphicData>
            </a:graphic>
          </wp:inline>
        </w:drawing>
      </w:r>
    </w:p>
    <w:p w14:paraId="32FF1CAC" w14:textId="77777777" w:rsidR="00EF5EF1" w:rsidRDefault="00EF5EF1" w:rsidP="00160602">
      <w:pPr>
        <w:pStyle w:val="DHHSbody"/>
        <w:numPr>
          <w:ilvl w:val="0"/>
          <w:numId w:val="35"/>
        </w:numPr>
        <w:ind w:left="489" w:hanging="489"/>
        <w:rPr>
          <w:b/>
          <w:lang w:eastAsia="en-AU"/>
        </w:rPr>
        <w:sectPr w:rsidR="00EF5EF1" w:rsidSect="00EF5EF1">
          <w:type w:val="continuous"/>
          <w:pgSz w:w="11906" w:h="16838"/>
          <w:pgMar w:top="1701" w:right="849" w:bottom="1134" w:left="993" w:header="454" w:footer="510" w:gutter="0"/>
          <w:cols w:num="2" w:space="720"/>
          <w:docGrid w:linePitch="360"/>
        </w:sectPr>
      </w:pPr>
    </w:p>
    <w:p w14:paraId="6D2152EE" w14:textId="76A7CC30" w:rsidR="00EF5EF1" w:rsidRDefault="0034309F" w:rsidP="00160602">
      <w:pPr>
        <w:pStyle w:val="DHHSbody"/>
        <w:numPr>
          <w:ilvl w:val="0"/>
          <w:numId w:val="35"/>
        </w:numPr>
        <w:ind w:left="357" w:hanging="357"/>
        <w:rPr>
          <w:b/>
          <w:lang w:eastAsia="en-AU"/>
        </w:rPr>
      </w:pPr>
      <w:r>
        <w:rPr>
          <w:b/>
          <w:lang w:eastAsia="en-AU"/>
        </w:rPr>
        <w:t xml:space="preserve">Remoteness area </w:t>
      </w:r>
    </w:p>
    <w:p w14:paraId="1E514254" w14:textId="6BF25B37" w:rsidR="00EF5EF1" w:rsidRDefault="00E66EEA" w:rsidP="00EF5EF1">
      <w:pPr>
        <w:pStyle w:val="DHHSbody"/>
        <w:rPr>
          <w:b/>
          <w:lang w:eastAsia="en-AU"/>
        </w:rPr>
      </w:pPr>
      <w:r>
        <w:rPr>
          <w:b/>
          <w:noProof/>
          <w:lang w:eastAsia="en-AU"/>
        </w:rPr>
        <w:drawing>
          <wp:inline distT="0" distB="0" distL="0" distR="0" wp14:anchorId="4BA246BD" wp14:editId="01F2F39A">
            <wp:extent cx="2966720" cy="2231531"/>
            <wp:effectExtent l="0" t="0" r="5080" b="0"/>
            <wp:docPr id="20" name="Picture 20"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remoteness area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966720" cy="2231531"/>
                    </a:xfrm>
                    <a:prstGeom prst="rect">
                      <a:avLst/>
                    </a:prstGeom>
                    <a:noFill/>
                  </pic:spPr>
                </pic:pic>
              </a:graphicData>
            </a:graphic>
          </wp:inline>
        </w:drawing>
      </w:r>
    </w:p>
    <w:p w14:paraId="65DAC59D" w14:textId="2EC54F2D" w:rsidR="00EF5EF1" w:rsidRDefault="00EF5EF1" w:rsidP="00160602">
      <w:pPr>
        <w:pStyle w:val="DHHSbody"/>
        <w:numPr>
          <w:ilvl w:val="0"/>
          <w:numId w:val="35"/>
        </w:numPr>
        <w:ind w:left="357" w:hanging="357"/>
        <w:rPr>
          <w:b/>
          <w:lang w:eastAsia="en-AU"/>
        </w:rPr>
      </w:pPr>
      <w:r>
        <w:rPr>
          <w:b/>
          <w:lang w:eastAsia="en-AU"/>
        </w:rPr>
        <w:br w:type="column"/>
      </w:r>
      <w:r>
        <w:rPr>
          <w:b/>
          <w:lang w:eastAsia="en-AU"/>
        </w:rPr>
        <w:t>Socioeconomic status</w:t>
      </w:r>
    </w:p>
    <w:p w14:paraId="123DB9FE" w14:textId="1C0D328D" w:rsidR="00EF5EF1" w:rsidRDefault="00E66EEA" w:rsidP="00161F25">
      <w:pPr>
        <w:pStyle w:val="DHHSbody"/>
        <w:rPr>
          <w:b/>
          <w:lang w:eastAsia="en-AU"/>
        </w:rPr>
      </w:pPr>
      <w:r>
        <w:rPr>
          <w:b/>
          <w:noProof/>
          <w:lang w:eastAsia="en-AU"/>
        </w:rPr>
        <w:drawing>
          <wp:inline distT="0" distB="0" distL="0" distR="0" wp14:anchorId="41591A33" wp14:editId="2104AC3B">
            <wp:extent cx="2962910" cy="2334895"/>
            <wp:effectExtent l="0" t="0" r="8890" b="8255"/>
            <wp:docPr id="33" name="Picture 33"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socioeconomic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62910" cy="2334895"/>
                    </a:xfrm>
                    <a:prstGeom prst="rect">
                      <a:avLst/>
                    </a:prstGeom>
                    <a:noFill/>
                  </pic:spPr>
                </pic:pic>
              </a:graphicData>
            </a:graphic>
          </wp:inline>
        </w:drawing>
      </w:r>
    </w:p>
    <w:p w14:paraId="6FF0F6EC" w14:textId="77777777" w:rsidR="00EF5EF1" w:rsidRDefault="00EF5EF1" w:rsidP="00160602">
      <w:pPr>
        <w:pStyle w:val="DHHSbody"/>
        <w:numPr>
          <w:ilvl w:val="0"/>
          <w:numId w:val="34"/>
        </w:numPr>
        <w:ind w:left="-142" w:firstLine="201"/>
        <w:rPr>
          <w:b/>
          <w:lang w:eastAsia="en-AU"/>
        </w:rPr>
        <w:sectPr w:rsidR="00EF5EF1" w:rsidSect="00EF5EF1">
          <w:type w:val="continuous"/>
          <w:pgSz w:w="11906" w:h="16838"/>
          <w:pgMar w:top="1701" w:right="849" w:bottom="1134" w:left="993" w:header="454" w:footer="510" w:gutter="0"/>
          <w:cols w:num="2" w:space="720"/>
          <w:docGrid w:linePitch="360"/>
        </w:sectPr>
      </w:pPr>
    </w:p>
    <w:p w14:paraId="5A1DCA4C" w14:textId="77777777" w:rsidR="00494286" w:rsidRDefault="0034309F" w:rsidP="00160602">
      <w:pPr>
        <w:pStyle w:val="DHHSbody"/>
        <w:numPr>
          <w:ilvl w:val="0"/>
          <w:numId w:val="34"/>
        </w:numPr>
        <w:ind w:left="357" w:hanging="357"/>
        <w:rPr>
          <w:b/>
          <w:lang w:eastAsia="en-AU"/>
        </w:rPr>
      </w:pPr>
      <w:r>
        <w:rPr>
          <w:b/>
          <w:lang w:eastAsia="en-AU"/>
        </w:rPr>
        <w:t>Integrated Cancer Service</w:t>
      </w:r>
    </w:p>
    <w:p w14:paraId="520499F4" w14:textId="7C10C51A" w:rsidR="0034309F" w:rsidRPr="006E1CE4" w:rsidRDefault="00161F25" w:rsidP="00494286">
      <w:pPr>
        <w:pStyle w:val="DHHSbody"/>
        <w:rPr>
          <w:lang w:eastAsia="en-AU"/>
        </w:rPr>
      </w:pPr>
      <w:r>
        <w:rPr>
          <w:noProof/>
          <w:lang w:eastAsia="en-AU"/>
        </w:rPr>
        <w:drawing>
          <wp:inline distT="0" distB="0" distL="0" distR="0" wp14:anchorId="730924F2" wp14:editId="0F47B2B8">
            <wp:extent cx="6389370" cy="2298700"/>
            <wp:effectExtent l="0" t="0" r="0" b="6350"/>
            <wp:docPr id="535" name="Picture 535" descr="This figure shows a data summary of 'Measure 12.5 – Proportion of patients receiving systemic anti-cancer therapy within recommended timelines and where appropriate'. Specially this figure focuses on the proportion of colorectal cancer patients receiving systemic anti-cancer therapy within recommended timelines, by Integrated Cancer Servic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389370" cy="2298700"/>
                    </a:xfrm>
                    <a:prstGeom prst="rect">
                      <a:avLst/>
                    </a:prstGeom>
                    <a:noFill/>
                  </pic:spPr>
                </pic:pic>
              </a:graphicData>
            </a:graphic>
          </wp:inline>
        </w:drawing>
      </w:r>
    </w:p>
    <w:p w14:paraId="3F119EF8" w14:textId="220C7360" w:rsidR="00CA69B6" w:rsidRDefault="00A60311" w:rsidP="008350EA">
      <w:pPr>
        <w:pStyle w:val="DHHStablefigurenote"/>
      </w:pPr>
      <w:r>
        <w:t xml:space="preserve">Note: </w:t>
      </w:r>
      <w:r w:rsidR="00CA69B6" w:rsidRPr="00CA69B6">
        <w:t>Victorians with cancer who live in HRICS may receive treatment in New South Wales (Albury) hospitals, which is not captured in the VAED. Therefore, variables in this report that are derived using the VAED (i.e. comorbidity count, distant metastases, surgery and chemotherapy) are likely to be underestimated for Victorians living in HRICS.</w:t>
      </w:r>
    </w:p>
    <w:p w14:paraId="13327FA5" w14:textId="533F50F5" w:rsidR="00B05521" w:rsidRPr="00FF5CE6" w:rsidRDefault="00A60311" w:rsidP="008350EA">
      <w:pPr>
        <w:pStyle w:val="DHHStablefigurenote"/>
        <w:rPr>
          <w:lang w:eastAsia="en-AU"/>
        </w:rPr>
      </w:pPr>
      <w:r>
        <w:t>Appendix 2 provides the dataset.</w:t>
      </w:r>
    </w:p>
    <w:p w14:paraId="7F9BFDC9" w14:textId="605ABF45" w:rsidR="00B05521" w:rsidRDefault="00B05521" w:rsidP="00867A76">
      <w:pPr>
        <w:pStyle w:val="DHHSfigurecaption"/>
      </w:pPr>
      <w:r>
        <w:br w:type="page"/>
      </w:r>
      <w:bookmarkStart w:id="727" w:name="_Toc19008137"/>
      <w:bookmarkStart w:id="728" w:name="_Toc19008353"/>
      <w:bookmarkStart w:id="729" w:name="_Toc19008500"/>
      <w:bookmarkStart w:id="730" w:name="_Toc19008647"/>
      <w:bookmarkStart w:id="731" w:name="_Toc27414355"/>
      <w:r w:rsidRPr="00A10E2E">
        <w:lastRenderedPageBreak/>
        <w:t>Figure 12.5</w:t>
      </w:r>
      <w:r w:rsidR="00A25FE6">
        <w:t>.4</w:t>
      </w:r>
      <w:r w:rsidRPr="00A10E2E">
        <w:t xml:space="preserve"> Proportion of </w:t>
      </w:r>
      <w:r>
        <w:t xml:space="preserve">ovarian cancer </w:t>
      </w:r>
      <w:r w:rsidRPr="00A10E2E">
        <w:t>patients receiving systemic anti-cancer therapy within recommended timelines</w:t>
      </w:r>
      <w:r w:rsidR="00C974DC">
        <w:t>,</w:t>
      </w:r>
      <w:r w:rsidRPr="00A10E2E">
        <w:t xml:space="preserve"> by age (A), sex (B), Indigenous status (C)</w:t>
      </w:r>
      <w:r>
        <w:t>, l</w:t>
      </w:r>
      <w:r w:rsidRPr="00A10E2E">
        <w:t>anguage spoken at home (D)</w:t>
      </w:r>
      <w:r>
        <w:t>, remoteness area (E)</w:t>
      </w:r>
      <w:r w:rsidRPr="00A10E2E">
        <w:t xml:space="preserve">, </w:t>
      </w:r>
      <w:r w:rsidR="00DE7FFE">
        <w:t>SES</w:t>
      </w:r>
      <w:r>
        <w:t xml:space="preserve"> (F) and </w:t>
      </w:r>
      <w:r w:rsidR="008439C8">
        <w:t>ICS</w:t>
      </w:r>
      <w:r>
        <w:t xml:space="preserve"> (G), </w:t>
      </w:r>
      <w:r w:rsidRPr="00A10E2E">
        <w:t>Victoria, 2014</w:t>
      </w:r>
      <w:r w:rsidR="002677DD">
        <w:t>–</w:t>
      </w:r>
      <w:r w:rsidRPr="00A10E2E">
        <w:t>201</w:t>
      </w:r>
      <w:r>
        <w:t>6</w:t>
      </w:r>
      <w:bookmarkEnd w:id="727"/>
      <w:bookmarkEnd w:id="728"/>
      <w:bookmarkEnd w:id="729"/>
      <w:bookmarkEnd w:id="730"/>
      <w:bookmarkEnd w:id="731"/>
    </w:p>
    <w:p w14:paraId="068D2093" w14:textId="77777777" w:rsidR="006C6D76" w:rsidRDefault="006C6D76" w:rsidP="00160602">
      <w:pPr>
        <w:pStyle w:val="Heading4"/>
        <w:numPr>
          <w:ilvl w:val="0"/>
          <w:numId w:val="29"/>
        </w:numPr>
        <w:ind w:left="347" w:hanging="283"/>
        <w:rPr>
          <w:lang w:eastAsia="en-AU"/>
        </w:rPr>
        <w:sectPr w:rsidR="006C6D76" w:rsidSect="00542B83">
          <w:type w:val="continuous"/>
          <w:pgSz w:w="11906" w:h="16838"/>
          <w:pgMar w:top="1701" w:right="849" w:bottom="1134" w:left="993" w:header="454" w:footer="510" w:gutter="0"/>
          <w:cols w:space="720"/>
          <w:docGrid w:linePitch="360"/>
        </w:sectPr>
      </w:pPr>
    </w:p>
    <w:p w14:paraId="1468A85D" w14:textId="41236958" w:rsidR="006A5ADF" w:rsidRPr="006A5ADF" w:rsidRDefault="006A5ADF" w:rsidP="00160602">
      <w:pPr>
        <w:pStyle w:val="Heading4"/>
        <w:numPr>
          <w:ilvl w:val="0"/>
          <w:numId w:val="29"/>
        </w:numPr>
        <w:ind w:left="357" w:hanging="357"/>
        <w:rPr>
          <w:lang w:eastAsia="en-AU"/>
        </w:rPr>
      </w:pPr>
      <w:r w:rsidRPr="00B05521">
        <w:rPr>
          <w:lang w:eastAsia="en-AU"/>
        </w:rPr>
        <w:t>Age</w:t>
      </w:r>
    </w:p>
    <w:p w14:paraId="0C51E22F" w14:textId="4E649973" w:rsidR="006A5ADF" w:rsidRDefault="00161F25" w:rsidP="00B05521">
      <w:pPr>
        <w:pStyle w:val="DHHSbody"/>
        <w:rPr>
          <w:b/>
          <w:lang w:eastAsia="en-AU"/>
        </w:rPr>
      </w:pPr>
      <w:r>
        <w:rPr>
          <w:b/>
          <w:noProof/>
          <w:lang w:eastAsia="en-AU"/>
        </w:rPr>
        <w:drawing>
          <wp:inline distT="0" distB="0" distL="0" distR="0" wp14:anchorId="3A943306" wp14:editId="4C2F7366">
            <wp:extent cx="3152140" cy="2127068"/>
            <wp:effectExtent l="0" t="0" r="0" b="6985"/>
            <wp:docPr id="536" name="Picture 536"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ag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52140" cy="2127068"/>
                    </a:xfrm>
                    <a:prstGeom prst="rect">
                      <a:avLst/>
                    </a:prstGeom>
                    <a:noFill/>
                  </pic:spPr>
                </pic:pic>
              </a:graphicData>
            </a:graphic>
          </wp:inline>
        </w:drawing>
      </w:r>
    </w:p>
    <w:p w14:paraId="35BE4334" w14:textId="4FE499C4" w:rsidR="006C6D76" w:rsidRPr="006C6D76" w:rsidRDefault="006C6D76" w:rsidP="00160602">
      <w:pPr>
        <w:pStyle w:val="DHHSbody"/>
        <w:keepNext/>
        <w:keepLines/>
        <w:numPr>
          <w:ilvl w:val="0"/>
          <w:numId w:val="29"/>
        </w:numPr>
        <w:spacing w:before="240" w:line="240" w:lineRule="atLeast"/>
        <w:ind w:left="357" w:hanging="357"/>
        <w:outlineLvl w:val="3"/>
        <w:rPr>
          <w:b/>
          <w:bCs/>
          <w:lang w:eastAsia="en-AU"/>
        </w:rPr>
      </w:pPr>
      <w:r w:rsidRPr="006C6D76">
        <w:rPr>
          <w:b/>
          <w:bCs/>
          <w:lang w:eastAsia="en-AU"/>
        </w:rPr>
        <w:t>Sex</w:t>
      </w:r>
    </w:p>
    <w:p w14:paraId="293BC236" w14:textId="67251AD3" w:rsidR="006C6D76" w:rsidRDefault="00161F25" w:rsidP="00F71CC1">
      <w:pPr>
        <w:pStyle w:val="DHHSbody"/>
        <w:rPr>
          <w:b/>
          <w:lang w:eastAsia="en-AU"/>
        </w:rPr>
      </w:pPr>
      <w:r>
        <w:rPr>
          <w:b/>
          <w:noProof/>
          <w:lang w:eastAsia="en-AU"/>
        </w:rPr>
        <w:drawing>
          <wp:inline distT="0" distB="0" distL="0" distR="0" wp14:anchorId="1096CB43" wp14:editId="262AEEC1">
            <wp:extent cx="3096895" cy="2225040"/>
            <wp:effectExtent l="0" t="0" r="8255" b="3810"/>
            <wp:docPr id="563" name="Picture 563"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sex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96895" cy="2225040"/>
                    </a:xfrm>
                    <a:prstGeom prst="rect">
                      <a:avLst/>
                    </a:prstGeom>
                    <a:noFill/>
                  </pic:spPr>
                </pic:pic>
              </a:graphicData>
            </a:graphic>
          </wp:inline>
        </w:drawing>
      </w:r>
    </w:p>
    <w:p w14:paraId="556B892D" w14:textId="77777777" w:rsidR="006C6D76" w:rsidRDefault="006C6D76" w:rsidP="00160602">
      <w:pPr>
        <w:pStyle w:val="DHHSbody"/>
        <w:numPr>
          <w:ilvl w:val="0"/>
          <w:numId w:val="29"/>
        </w:numPr>
        <w:rPr>
          <w:b/>
          <w:lang w:eastAsia="en-AU"/>
        </w:rPr>
        <w:sectPr w:rsidR="006C6D76" w:rsidSect="006C6D76">
          <w:type w:val="continuous"/>
          <w:pgSz w:w="11906" w:h="16838"/>
          <w:pgMar w:top="1701" w:right="849" w:bottom="1134" w:left="426" w:header="454" w:footer="510" w:gutter="0"/>
          <w:cols w:num="2" w:space="720"/>
          <w:docGrid w:linePitch="360"/>
        </w:sectPr>
      </w:pPr>
    </w:p>
    <w:p w14:paraId="193DC457" w14:textId="359A2D90" w:rsidR="006A5ADF" w:rsidRPr="00B05521" w:rsidRDefault="006A5ADF" w:rsidP="00160602">
      <w:pPr>
        <w:pStyle w:val="DHHSbody"/>
        <w:keepNext/>
        <w:keepLines/>
        <w:numPr>
          <w:ilvl w:val="0"/>
          <w:numId w:val="29"/>
        </w:numPr>
        <w:spacing w:before="240" w:line="240" w:lineRule="atLeast"/>
        <w:ind w:left="357" w:hanging="357"/>
        <w:outlineLvl w:val="3"/>
        <w:rPr>
          <w:b/>
          <w:lang w:eastAsia="en-AU"/>
        </w:rPr>
      </w:pPr>
      <w:r w:rsidRPr="00B05521">
        <w:rPr>
          <w:b/>
          <w:lang w:eastAsia="en-AU"/>
        </w:rPr>
        <w:t>Indigenous status</w:t>
      </w:r>
    </w:p>
    <w:p w14:paraId="1D0E882B" w14:textId="20E862DF" w:rsidR="006A5ADF" w:rsidRDefault="00161F25" w:rsidP="00B05521">
      <w:pPr>
        <w:pStyle w:val="DHHSbody"/>
        <w:rPr>
          <w:b/>
          <w:lang w:eastAsia="en-AU"/>
        </w:rPr>
      </w:pPr>
      <w:r>
        <w:rPr>
          <w:b/>
          <w:noProof/>
          <w:lang w:eastAsia="en-AU"/>
        </w:rPr>
        <w:drawing>
          <wp:inline distT="0" distB="0" distL="0" distR="0" wp14:anchorId="616D8659" wp14:editId="79B6D414">
            <wp:extent cx="3139440" cy="2170430"/>
            <wp:effectExtent l="0" t="0" r="3810" b="1270"/>
            <wp:docPr id="564" name="Picture 564"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Indigenous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39440" cy="2170430"/>
                    </a:xfrm>
                    <a:prstGeom prst="rect">
                      <a:avLst/>
                    </a:prstGeom>
                    <a:noFill/>
                  </pic:spPr>
                </pic:pic>
              </a:graphicData>
            </a:graphic>
          </wp:inline>
        </w:drawing>
      </w:r>
    </w:p>
    <w:p w14:paraId="54616BDB" w14:textId="449B5FAD" w:rsidR="00F93805" w:rsidRDefault="00F93805" w:rsidP="00160602">
      <w:pPr>
        <w:pStyle w:val="DHHSbody"/>
        <w:keepNext/>
        <w:keepLines/>
        <w:numPr>
          <w:ilvl w:val="0"/>
          <w:numId w:val="29"/>
        </w:numPr>
        <w:spacing w:before="240" w:line="240" w:lineRule="atLeast"/>
        <w:ind w:left="357" w:hanging="357"/>
        <w:outlineLvl w:val="3"/>
        <w:rPr>
          <w:b/>
          <w:lang w:eastAsia="en-AU"/>
        </w:rPr>
      </w:pPr>
      <w:r w:rsidRPr="00B05521">
        <w:rPr>
          <w:b/>
          <w:lang w:eastAsia="en-AU"/>
        </w:rPr>
        <w:t>Language spoken at home</w:t>
      </w:r>
    </w:p>
    <w:p w14:paraId="17B24D49" w14:textId="067E1D76" w:rsidR="00161F25" w:rsidRPr="00161F25" w:rsidRDefault="00161F25" w:rsidP="00161F25">
      <w:pPr>
        <w:pStyle w:val="DHHSbody"/>
      </w:pPr>
      <w:r>
        <w:rPr>
          <w:noProof/>
        </w:rPr>
        <w:drawing>
          <wp:inline distT="0" distB="0" distL="0" distR="0" wp14:anchorId="1453F874" wp14:editId="4260946C">
            <wp:extent cx="3145790" cy="2188845"/>
            <wp:effectExtent l="0" t="0" r="0" b="1905"/>
            <wp:docPr id="565" name="Picture 565"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Language spoken at hom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45790" cy="2188845"/>
                    </a:xfrm>
                    <a:prstGeom prst="rect">
                      <a:avLst/>
                    </a:prstGeom>
                    <a:noFill/>
                  </pic:spPr>
                </pic:pic>
              </a:graphicData>
            </a:graphic>
          </wp:inline>
        </w:drawing>
      </w:r>
    </w:p>
    <w:p w14:paraId="653EB837" w14:textId="5199506C" w:rsidR="00F93805" w:rsidRDefault="00F93805" w:rsidP="00283003">
      <w:pPr>
        <w:pStyle w:val="DHHSbody"/>
        <w:rPr>
          <w:b/>
          <w:lang w:eastAsia="en-AU"/>
        </w:rPr>
        <w:sectPr w:rsidR="00F93805" w:rsidSect="00283003">
          <w:type w:val="continuous"/>
          <w:pgSz w:w="11906" w:h="16838"/>
          <w:pgMar w:top="1701" w:right="849" w:bottom="1134" w:left="426" w:header="454" w:footer="510" w:gutter="0"/>
          <w:cols w:num="2" w:space="720"/>
          <w:docGrid w:linePitch="360"/>
        </w:sectPr>
      </w:pPr>
    </w:p>
    <w:p w14:paraId="421C627E" w14:textId="4CFA5B1C" w:rsidR="006A5ADF" w:rsidRPr="00B05521" w:rsidRDefault="006A5ADF" w:rsidP="00160602">
      <w:pPr>
        <w:pStyle w:val="DHHSbody"/>
        <w:keepNext/>
        <w:keepLines/>
        <w:numPr>
          <w:ilvl w:val="0"/>
          <w:numId w:val="29"/>
        </w:numPr>
        <w:spacing w:before="240" w:line="240" w:lineRule="atLeast"/>
        <w:ind w:left="357" w:hanging="357"/>
        <w:outlineLvl w:val="3"/>
        <w:rPr>
          <w:b/>
          <w:lang w:eastAsia="en-AU"/>
        </w:rPr>
      </w:pPr>
      <w:r w:rsidRPr="00B05521">
        <w:rPr>
          <w:b/>
          <w:lang w:eastAsia="en-AU"/>
        </w:rPr>
        <w:t>Remoteness area</w:t>
      </w:r>
      <w:r>
        <w:rPr>
          <w:b/>
          <w:lang w:eastAsia="en-AU"/>
        </w:rPr>
        <w:t xml:space="preserve"> </w:t>
      </w:r>
    </w:p>
    <w:p w14:paraId="3EDA629A" w14:textId="49412220" w:rsidR="006A5ADF" w:rsidRDefault="00161F25" w:rsidP="00B05521">
      <w:pPr>
        <w:pStyle w:val="DHHSbody"/>
        <w:rPr>
          <w:b/>
          <w:lang w:eastAsia="en-AU"/>
        </w:rPr>
      </w:pPr>
      <w:r>
        <w:rPr>
          <w:b/>
          <w:noProof/>
          <w:lang w:eastAsia="en-AU"/>
        </w:rPr>
        <w:drawing>
          <wp:inline distT="0" distB="0" distL="0" distR="0" wp14:anchorId="44CA7D16" wp14:editId="7EE519C5">
            <wp:extent cx="3115310" cy="2341245"/>
            <wp:effectExtent l="0" t="0" r="8890" b="1905"/>
            <wp:docPr id="566" name="Picture 566"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remoteness area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15310" cy="2341245"/>
                    </a:xfrm>
                    <a:prstGeom prst="rect">
                      <a:avLst/>
                    </a:prstGeom>
                    <a:noFill/>
                  </pic:spPr>
                </pic:pic>
              </a:graphicData>
            </a:graphic>
          </wp:inline>
        </w:drawing>
      </w:r>
    </w:p>
    <w:p w14:paraId="5E0D796D" w14:textId="3476493C" w:rsidR="00BC1B27" w:rsidRDefault="00F93805" w:rsidP="00160602">
      <w:pPr>
        <w:pStyle w:val="DHHSbody"/>
        <w:keepNext/>
        <w:keepLines/>
        <w:numPr>
          <w:ilvl w:val="0"/>
          <w:numId w:val="47"/>
        </w:numPr>
        <w:spacing w:before="240" w:line="240" w:lineRule="atLeast"/>
        <w:ind w:left="357" w:hanging="357"/>
        <w:outlineLvl w:val="3"/>
        <w:rPr>
          <w:b/>
          <w:lang w:eastAsia="en-AU"/>
        </w:rPr>
      </w:pPr>
      <w:r w:rsidRPr="00B05521">
        <w:rPr>
          <w:b/>
          <w:lang w:eastAsia="en-AU"/>
        </w:rPr>
        <w:t>Socioeconomic status</w:t>
      </w:r>
    </w:p>
    <w:p w14:paraId="31A539BB" w14:textId="06E8B808" w:rsidR="00283003" w:rsidRDefault="00161F25" w:rsidP="00283003">
      <w:pPr>
        <w:pStyle w:val="DHHSbody"/>
        <w:rPr>
          <w:b/>
          <w:lang w:eastAsia="en-AU"/>
        </w:rPr>
      </w:pPr>
      <w:r>
        <w:rPr>
          <w:b/>
          <w:noProof/>
          <w:lang w:eastAsia="en-AU"/>
        </w:rPr>
        <w:drawing>
          <wp:inline distT="0" distB="0" distL="0" distR="0" wp14:anchorId="2A955EF9" wp14:editId="3D520A75">
            <wp:extent cx="3145790" cy="2390140"/>
            <wp:effectExtent l="0" t="0" r="0" b="0"/>
            <wp:docPr id="567" name="Picture 567"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socioeconomic status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45790" cy="2390140"/>
                    </a:xfrm>
                    <a:prstGeom prst="rect">
                      <a:avLst/>
                    </a:prstGeom>
                    <a:noFill/>
                  </pic:spPr>
                </pic:pic>
              </a:graphicData>
            </a:graphic>
          </wp:inline>
        </w:drawing>
      </w:r>
    </w:p>
    <w:p w14:paraId="639B60B7" w14:textId="77777777" w:rsidR="00283003" w:rsidRDefault="00283003" w:rsidP="00283003">
      <w:pPr>
        <w:pStyle w:val="DHHSbody"/>
        <w:rPr>
          <w:b/>
          <w:lang w:eastAsia="en-AU"/>
        </w:rPr>
        <w:sectPr w:rsidR="00283003" w:rsidSect="00283003">
          <w:type w:val="continuous"/>
          <w:pgSz w:w="11906" w:h="16838"/>
          <w:pgMar w:top="1701" w:right="849" w:bottom="1134" w:left="426" w:header="454" w:footer="510" w:gutter="0"/>
          <w:cols w:num="2" w:space="720"/>
          <w:docGrid w:linePitch="360"/>
        </w:sectPr>
      </w:pPr>
    </w:p>
    <w:p w14:paraId="01472393" w14:textId="77777777" w:rsidR="00283003" w:rsidRDefault="00283003">
      <w:pPr>
        <w:rPr>
          <w:rFonts w:ascii="Arial" w:eastAsia="Times" w:hAnsi="Arial"/>
          <w:b/>
        </w:rPr>
      </w:pPr>
      <w:r>
        <w:rPr>
          <w:b/>
        </w:rPr>
        <w:br w:type="page"/>
      </w:r>
    </w:p>
    <w:p w14:paraId="6C04E81A" w14:textId="69F5769D" w:rsidR="006A5ADF" w:rsidRDefault="006A5ADF" w:rsidP="00160602">
      <w:pPr>
        <w:pStyle w:val="DHHSbody"/>
        <w:keepNext/>
        <w:keepLines/>
        <w:numPr>
          <w:ilvl w:val="0"/>
          <w:numId w:val="47"/>
        </w:numPr>
        <w:tabs>
          <w:tab w:val="left" w:pos="567"/>
        </w:tabs>
        <w:spacing w:before="240" w:line="240" w:lineRule="atLeast"/>
        <w:ind w:left="357" w:hanging="357"/>
        <w:outlineLvl w:val="3"/>
        <w:rPr>
          <w:b/>
          <w:lang w:eastAsia="en-AU"/>
        </w:rPr>
      </w:pPr>
      <w:r w:rsidRPr="00B05521">
        <w:rPr>
          <w:b/>
          <w:lang w:eastAsia="en-AU"/>
        </w:rPr>
        <w:lastRenderedPageBreak/>
        <w:t>Integrated Cancer Service</w:t>
      </w:r>
    </w:p>
    <w:p w14:paraId="28C07DCF" w14:textId="5A10970C" w:rsidR="00482403" w:rsidRPr="00BC1B27" w:rsidRDefault="00161F25" w:rsidP="00261AAD">
      <w:pPr>
        <w:pStyle w:val="DHHSbody"/>
        <w:rPr>
          <w:b/>
          <w:lang w:eastAsia="en-AU"/>
        </w:rPr>
      </w:pPr>
      <w:r>
        <w:rPr>
          <w:b/>
          <w:noProof/>
          <w:lang w:eastAsia="en-AU"/>
        </w:rPr>
        <w:drawing>
          <wp:inline distT="0" distB="0" distL="0" distR="0" wp14:anchorId="1783EF40" wp14:editId="5DBFB799">
            <wp:extent cx="7163435" cy="3279775"/>
            <wp:effectExtent l="0" t="0" r="0" b="0"/>
            <wp:docPr id="568" name="Picture 568" descr="This figure shows a data summary of 'Measure 12.5 – Proportion of patients receiving systemic anti-cancer therapy within recommended timelines and where appropriate'. Specially this figure focuses on the proportion of ovarian cancer patients receiving systemic anti-cancer therapy within recommended timelines, by Integrated Cancer Service for the study period 2014-2016. The data set is available under 'Measure 12.5 – Proportion of patients receiving systemic anti-cancer therapy within recommended timelines and where appropriate'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163435" cy="3279775"/>
                    </a:xfrm>
                    <a:prstGeom prst="rect">
                      <a:avLst/>
                    </a:prstGeom>
                    <a:noFill/>
                  </pic:spPr>
                </pic:pic>
              </a:graphicData>
            </a:graphic>
          </wp:inline>
        </w:drawing>
      </w:r>
    </w:p>
    <w:p w14:paraId="147F12D6" w14:textId="3868A1ED" w:rsidR="00CA0E85" w:rsidRDefault="00A60311" w:rsidP="008350EA">
      <w:pPr>
        <w:pStyle w:val="DHHStablefigurenote"/>
      </w:pPr>
      <w:r>
        <w:t xml:space="preserve">Note: </w:t>
      </w:r>
      <w:r w:rsidR="00CA0E85" w:rsidRPr="00CA69B6">
        <w:t>Victorians with cancer who live in HRICS may receive treatment in New South Wales (Albury) hospitals, which is not captured in the VAED. Therefore, variables in this report that are derived using the VAED (i.e. comorbidity count, distant metastases, surgery and chemotherapy) are likely to be underestimated for Victorians living in HRICS.</w:t>
      </w:r>
    </w:p>
    <w:p w14:paraId="2118C9C8" w14:textId="24B2F226" w:rsidR="00F0563D" w:rsidRDefault="00F0563D" w:rsidP="008350EA">
      <w:pPr>
        <w:pStyle w:val="DHHStablefigurenote"/>
      </w:pPr>
      <w:r>
        <w:t xml:space="preserve">Gaps in the data denote that no one was treated for ovarian cancer at that ICS for a particular year.  For example, </w:t>
      </w:r>
      <w:r w:rsidR="00C54DFC">
        <w:t>in 2018 (surgery first) LMICS and</w:t>
      </w:r>
      <w:r>
        <w:t xml:space="preserve"> in 2014</w:t>
      </w:r>
      <w:r w:rsidR="00C54DFC">
        <w:t xml:space="preserve"> (chemo first) HRICS</w:t>
      </w:r>
    </w:p>
    <w:p w14:paraId="3AD47B16" w14:textId="20662CF5" w:rsidR="00B05521" w:rsidRPr="00A60311" w:rsidRDefault="00A60311" w:rsidP="008350EA">
      <w:pPr>
        <w:pStyle w:val="DHHStablefigurenote"/>
        <w:rPr>
          <w:lang w:eastAsia="en-AU"/>
        </w:rPr>
      </w:pPr>
      <w:r w:rsidRPr="0073300D">
        <w:t>Appendix 2 provides the</w:t>
      </w:r>
      <w:r>
        <w:t xml:space="preserve"> dataset.</w:t>
      </w:r>
    </w:p>
    <w:p w14:paraId="7F4F3298" w14:textId="1674A747" w:rsidR="00D14517" w:rsidRPr="00671C7A" w:rsidRDefault="00D14517" w:rsidP="00940E89">
      <w:pPr>
        <w:pStyle w:val="Heading4"/>
        <w:spacing w:before="0" w:line="270" w:lineRule="atLeast"/>
        <w:rPr>
          <w:lang w:eastAsia="en-AU"/>
        </w:rPr>
      </w:pPr>
      <w:r>
        <w:rPr>
          <w:lang w:eastAsia="en-AU"/>
        </w:rPr>
        <w:t>Measure assessment</w:t>
      </w:r>
    </w:p>
    <w:p w14:paraId="498E75DE" w14:textId="6718ABAF" w:rsidR="00EA3932" w:rsidRPr="00940E89" w:rsidRDefault="00D14517" w:rsidP="00940E89">
      <w:pPr>
        <w:autoSpaceDE w:val="0"/>
        <w:autoSpaceDN w:val="0"/>
        <w:adjustRightInd w:val="0"/>
        <w:spacing w:after="120" w:line="270" w:lineRule="atLeast"/>
        <w:rPr>
          <w:rFonts w:ascii="Arial" w:hAnsi="Arial" w:cs="Arial"/>
          <w:color w:val="C5511A"/>
        </w:rPr>
      </w:pPr>
      <w:r w:rsidRPr="001175A7">
        <w:rPr>
          <w:rFonts w:ascii="Arial" w:hAnsi="Arial" w:cs="Arial"/>
        </w:rPr>
        <w:t>Traffic light rating:</w:t>
      </w:r>
      <w:r w:rsidR="001175A7" w:rsidRPr="001175A7">
        <w:rPr>
          <w:rFonts w:ascii="Arial" w:hAnsi="Arial" w:cs="Arial"/>
        </w:rPr>
        <w:t xml:space="preserve"> </w:t>
      </w:r>
      <w:r w:rsidR="001175A7"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03C9B673" w14:textId="3706DDEB" w:rsidR="00D14517" w:rsidRPr="007F3FF8" w:rsidRDefault="00D14517" w:rsidP="00940E89">
      <w:pPr>
        <w:spacing w:after="120" w:line="270" w:lineRule="atLeast"/>
        <w:rPr>
          <w:rFonts w:ascii="Arial" w:hAnsi="Arial" w:cs="Arial"/>
          <w:b/>
        </w:rPr>
      </w:pPr>
      <w:r w:rsidRPr="007F3FF8">
        <w:rPr>
          <w:rFonts w:ascii="Arial" w:hAnsi="Arial" w:cs="Arial"/>
        </w:rPr>
        <w:t>Overall trend:</w:t>
      </w:r>
      <w:r w:rsidR="007E542E" w:rsidRPr="007F3FF8">
        <w:rPr>
          <w:rFonts w:ascii="Arial" w:hAnsi="Arial" w:cs="Arial"/>
        </w:rPr>
        <w:t xml:space="preserve"> Static or unchanging</w:t>
      </w:r>
      <w:r w:rsidRPr="007F3FF8">
        <w:rPr>
          <w:rFonts w:ascii="Arial" w:hAnsi="Arial" w:cs="Arial"/>
        </w:rPr>
        <w:t xml:space="preserve"> </w:t>
      </w:r>
    </w:p>
    <w:p w14:paraId="2B02954B" w14:textId="0B1BDE2F" w:rsidR="004C587F" w:rsidRPr="007F3FF8" w:rsidRDefault="00D14517" w:rsidP="00940E89">
      <w:pPr>
        <w:pStyle w:val="DHHSbody"/>
        <w:rPr>
          <w:lang w:eastAsia="en-AU"/>
        </w:rPr>
      </w:pPr>
      <w:r w:rsidRPr="007F3FF8">
        <w:rPr>
          <w:rFonts w:cs="Arial"/>
          <w:lang w:eastAsia="en-AU"/>
        </w:rPr>
        <w:t>Commentary:</w:t>
      </w:r>
      <w:r w:rsidR="006D3E6D" w:rsidRPr="007F3FF8">
        <w:rPr>
          <w:rFonts w:cs="Arial"/>
          <w:lang w:eastAsia="en-AU"/>
        </w:rPr>
        <w:t xml:space="preserve"> </w:t>
      </w:r>
      <w:r w:rsidRPr="007F3FF8">
        <w:rPr>
          <w:rFonts w:cs="Arial"/>
          <w:lang w:eastAsia="en-AU"/>
        </w:rPr>
        <w:t>For the purpose of this measure</w:t>
      </w:r>
      <w:r w:rsidR="00EC5EBB">
        <w:rPr>
          <w:rFonts w:cs="Arial"/>
          <w:lang w:eastAsia="en-AU"/>
        </w:rPr>
        <w:t>,</w:t>
      </w:r>
      <w:r w:rsidRPr="007F3FF8">
        <w:rPr>
          <w:rFonts w:cs="Arial"/>
          <w:lang w:eastAsia="en-AU"/>
        </w:rPr>
        <w:t xml:space="preserve"> </w:t>
      </w:r>
      <w:r w:rsidR="00BC7731">
        <w:rPr>
          <w:rFonts w:cs="Arial"/>
          <w:lang w:eastAsia="en-AU"/>
        </w:rPr>
        <w:t>SACTs</w:t>
      </w:r>
      <w:r w:rsidRPr="007F3FF8">
        <w:rPr>
          <w:rFonts w:cs="Arial"/>
          <w:lang w:eastAsia="en-AU"/>
        </w:rPr>
        <w:t xml:space="preserve"> include chemotherapy, targeted drugs and immunotherapy.</w:t>
      </w:r>
      <w:r w:rsidR="00952FC7">
        <w:rPr>
          <w:rFonts w:cs="Arial"/>
          <w:lang w:eastAsia="en-AU"/>
        </w:rPr>
        <w:t xml:space="preserve"> </w:t>
      </w:r>
      <w:r w:rsidR="00CB0631" w:rsidRPr="007F3FF8">
        <w:rPr>
          <w:rFonts w:cs="Arial"/>
          <w:lang w:eastAsia="en-AU"/>
        </w:rPr>
        <w:t>The data presented here provides an overview of key systemic therap</w:t>
      </w:r>
      <w:r w:rsidR="00767D1F">
        <w:rPr>
          <w:rFonts w:cs="Arial"/>
          <w:lang w:eastAsia="en-AU"/>
        </w:rPr>
        <w:t>ies</w:t>
      </w:r>
      <w:r w:rsidR="0070194C">
        <w:rPr>
          <w:rFonts w:cs="Arial"/>
          <w:lang w:eastAsia="en-AU"/>
        </w:rPr>
        <w:t xml:space="preserve"> (excluding oral therapies)</w:t>
      </w:r>
      <w:r w:rsidR="00CB0631" w:rsidRPr="007F3FF8">
        <w:rPr>
          <w:rFonts w:cs="Arial"/>
          <w:lang w:eastAsia="en-AU"/>
        </w:rPr>
        <w:t xml:space="preserve"> for </w:t>
      </w:r>
      <w:r w:rsidR="00CB0631" w:rsidRPr="007F3FF8">
        <w:rPr>
          <w:lang w:eastAsia="en-AU"/>
        </w:rPr>
        <w:t xml:space="preserve">colorectal, lung, breast and ovarian cancers only </w:t>
      </w:r>
      <w:r w:rsidR="00EC5EBB">
        <w:rPr>
          <w:lang w:eastAsia="en-AU"/>
        </w:rPr>
        <w:t>because</w:t>
      </w:r>
      <w:r w:rsidR="00EC5EBB" w:rsidRPr="007F3FF8">
        <w:rPr>
          <w:lang w:eastAsia="en-AU"/>
        </w:rPr>
        <w:t xml:space="preserve"> </w:t>
      </w:r>
      <w:r w:rsidR="00CB0631" w:rsidRPr="007F3FF8">
        <w:rPr>
          <w:lang w:eastAsia="en-AU"/>
        </w:rPr>
        <w:t>the evidence for timelines for delivering chemotherapy is stronger for these cancers.</w:t>
      </w:r>
    </w:p>
    <w:p w14:paraId="325B6F96" w14:textId="64154156" w:rsidR="00977BE5" w:rsidRPr="00FC2A81" w:rsidRDefault="00BC7731" w:rsidP="00E45EA1">
      <w:pPr>
        <w:pStyle w:val="DHHSbody"/>
        <w:rPr>
          <w:rFonts w:cs="Arial"/>
          <w:lang w:val="en"/>
        </w:rPr>
      </w:pPr>
      <w:r>
        <w:rPr>
          <w:rFonts w:cs="Arial"/>
          <w:lang w:val="en"/>
        </w:rPr>
        <w:t>In Victoria d</w:t>
      </w:r>
      <w:r w:rsidR="00977BE5" w:rsidRPr="007F3FF8">
        <w:rPr>
          <w:rFonts w:cs="Arial"/>
          <w:lang w:val="en"/>
        </w:rPr>
        <w:t>uring the period 2014</w:t>
      </w:r>
      <w:r w:rsidR="00EC5EBB">
        <w:rPr>
          <w:rFonts w:cs="Arial"/>
          <w:lang w:val="en"/>
        </w:rPr>
        <w:t>–</w:t>
      </w:r>
      <w:r w:rsidR="00977BE5" w:rsidRPr="007F3FF8">
        <w:rPr>
          <w:rFonts w:cs="Arial"/>
          <w:lang w:val="en"/>
        </w:rPr>
        <w:t xml:space="preserve">2016, the proportion of people </w:t>
      </w:r>
      <w:r w:rsidR="000A23B9">
        <w:rPr>
          <w:rFonts w:cs="Arial"/>
          <w:lang w:val="en"/>
        </w:rPr>
        <w:t>receiving</w:t>
      </w:r>
      <w:r w:rsidR="00977BE5" w:rsidRPr="007F3FF8">
        <w:rPr>
          <w:rFonts w:cs="Arial"/>
          <w:lang w:val="en"/>
        </w:rPr>
        <w:t xml:space="preserve"> </w:t>
      </w:r>
      <w:r>
        <w:rPr>
          <w:rFonts w:cs="Arial"/>
          <w:lang w:val="en"/>
        </w:rPr>
        <w:t>SACTs</w:t>
      </w:r>
      <w:r w:rsidR="00977BE5" w:rsidRPr="007F3FF8">
        <w:rPr>
          <w:rFonts w:cs="Arial"/>
          <w:lang w:val="en"/>
        </w:rPr>
        <w:t xml:space="preserve"> </w:t>
      </w:r>
      <w:r w:rsidR="000A23B9">
        <w:rPr>
          <w:rFonts w:cs="Arial"/>
          <w:lang w:val="en"/>
        </w:rPr>
        <w:t xml:space="preserve">within the recommended timeline </w:t>
      </w:r>
      <w:r w:rsidR="0081150C">
        <w:rPr>
          <w:rFonts w:cs="Arial"/>
          <w:lang w:val="en"/>
        </w:rPr>
        <w:t xml:space="preserve">overall </w:t>
      </w:r>
      <w:r w:rsidR="00BE0E3B">
        <w:rPr>
          <w:rFonts w:cs="Arial"/>
          <w:lang w:val="en"/>
        </w:rPr>
        <w:t>remained largely unchanged (41.9 per cent in 2014; 42.2 per cent in 2016</w:t>
      </w:r>
      <w:r>
        <w:rPr>
          <w:rFonts w:cs="Arial"/>
          <w:lang w:val="en"/>
        </w:rPr>
        <w:t xml:space="preserve"> – Table 12.5</w:t>
      </w:r>
      <w:r w:rsidR="00F12AD7">
        <w:rPr>
          <w:rFonts w:cs="Arial"/>
          <w:lang w:val="en"/>
        </w:rPr>
        <w:t>, Appendix 2</w:t>
      </w:r>
      <w:r w:rsidR="00BE0E3B">
        <w:rPr>
          <w:rFonts w:cs="Arial"/>
          <w:lang w:val="en"/>
        </w:rPr>
        <w:t xml:space="preserve">) but </w:t>
      </w:r>
      <w:r w:rsidR="0081150C">
        <w:rPr>
          <w:rFonts w:cs="Arial"/>
          <w:lang w:val="en"/>
        </w:rPr>
        <w:t>was higher for those under the age of 69 years and for males (Figures 12.5 (A) and (B))</w:t>
      </w:r>
      <w:r w:rsidR="00D673A5">
        <w:rPr>
          <w:rFonts w:cs="Arial"/>
          <w:lang w:val="en"/>
        </w:rPr>
        <w:t>. This trend was reversed for those patients receiving surgery first</w:t>
      </w:r>
      <w:r w:rsidR="00EC5EBB">
        <w:rPr>
          <w:rFonts w:cs="Arial"/>
          <w:lang w:val="en"/>
        </w:rPr>
        <w:t>,</w:t>
      </w:r>
      <w:r w:rsidR="00D673A5">
        <w:rPr>
          <w:rFonts w:cs="Arial"/>
          <w:lang w:val="en"/>
        </w:rPr>
        <w:t xml:space="preserve"> who were more likely to be 60 years </w:t>
      </w:r>
      <w:r w:rsidR="001B50BF">
        <w:rPr>
          <w:rFonts w:cs="Arial"/>
          <w:lang w:val="en"/>
        </w:rPr>
        <w:t>or older</w:t>
      </w:r>
      <w:r w:rsidR="00D673A5">
        <w:rPr>
          <w:rFonts w:cs="Arial"/>
          <w:lang w:val="en"/>
        </w:rPr>
        <w:t>.</w:t>
      </w:r>
      <w:r w:rsidR="00952FC7">
        <w:rPr>
          <w:rFonts w:cs="Arial"/>
          <w:lang w:val="en"/>
        </w:rPr>
        <w:t xml:space="preserve"> </w:t>
      </w:r>
      <w:r w:rsidR="00D673A5">
        <w:rPr>
          <w:rFonts w:cs="Arial"/>
          <w:lang w:val="en"/>
        </w:rPr>
        <w:t xml:space="preserve">However, there was a greater proportion of males compared </w:t>
      </w:r>
      <w:r w:rsidR="001B50BF">
        <w:rPr>
          <w:rFonts w:cs="Arial"/>
          <w:lang w:val="en"/>
        </w:rPr>
        <w:t xml:space="preserve">with </w:t>
      </w:r>
      <w:r w:rsidR="00D673A5">
        <w:rPr>
          <w:rFonts w:cs="Arial"/>
          <w:lang w:val="en"/>
        </w:rPr>
        <w:t>females who received surgery first</w:t>
      </w:r>
      <w:r w:rsidR="0067378D">
        <w:rPr>
          <w:rFonts w:cs="Arial"/>
          <w:lang w:val="en"/>
        </w:rPr>
        <w:t>,</w:t>
      </w:r>
      <w:r w:rsidR="00D673A5">
        <w:rPr>
          <w:rFonts w:cs="Arial"/>
          <w:lang w:val="en"/>
        </w:rPr>
        <w:t xml:space="preserve"> but this pattern changed for female patients </w:t>
      </w:r>
      <w:r w:rsidR="00EC5EBB">
        <w:rPr>
          <w:rFonts w:cs="Arial"/>
          <w:lang w:val="en"/>
        </w:rPr>
        <w:t xml:space="preserve">for </w:t>
      </w:r>
      <w:r w:rsidR="00D673A5">
        <w:rPr>
          <w:rFonts w:cs="Arial"/>
          <w:lang w:val="en"/>
        </w:rPr>
        <w:t>who</w:t>
      </w:r>
      <w:r w:rsidR="00EC5EBB">
        <w:rPr>
          <w:rFonts w:cs="Arial"/>
          <w:lang w:val="en"/>
        </w:rPr>
        <w:t>m</w:t>
      </w:r>
      <w:r w:rsidR="00D673A5">
        <w:rPr>
          <w:rFonts w:cs="Arial"/>
          <w:lang w:val="en"/>
        </w:rPr>
        <w:t xml:space="preserve"> the proportion was higher than males for </w:t>
      </w:r>
      <w:r w:rsidR="00964F36">
        <w:rPr>
          <w:rFonts w:cs="Arial"/>
          <w:lang w:val="en"/>
        </w:rPr>
        <w:t>receiving chemotherapy</w:t>
      </w:r>
      <w:r w:rsidR="00D673A5">
        <w:rPr>
          <w:rFonts w:cs="Arial"/>
          <w:lang w:val="en"/>
        </w:rPr>
        <w:t xml:space="preserve"> </w:t>
      </w:r>
      <w:r w:rsidR="00964F36">
        <w:rPr>
          <w:rFonts w:cs="Arial"/>
          <w:lang w:val="en"/>
        </w:rPr>
        <w:t>first. Figure 12.5 (C) shows a disparity</w:t>
      </w:r>
      <w:r w:rsidR="00732597">
        <w:rPr>
          <w:rFonts w:cs="Arial"/>
          <w:lang w:val="en"/>
        </w:rPr>
        <w:t xml:space="preserve"> in timeliness </w:t>
      </w:r>
      <w:r w:rsidR="00964F36">
        <w:rPr>
          <w:rFonts w:cs="Arial"/>
          <w:lang w:val="en"/>
        </w:rPr>
        <w:t>across all three categories</w:t>
      </w:r>
      <w:r w:rsidR="00402CA2">
        <w:rPr>
          <w:rFonts w:cs="Arial"/>
          <w:lang w:val="en"/>
        </w:rPr>
        <w:t xml:space="preserve"> between those Aboriginal Victorian</w:t>
      </w:r>
      <w:r w:rsidR="00335739">
        <w:rPr>
          <w:rFonts w:cs="Arial"/>
          <w:lang w:val="en"/>
        </w:rPr>
        <w:t>s</w:t>
      </w:r>
      <w:r w:rsidR="00402CA2">
        <w:rPr>
          <w:rFonts w:cs="Arial"/>
          <w:lang w:val="en"/>
        </w:rPr>
        <w:t xml:space="preserve"> and non-Aboriginal Victorians</w:t>
      </w:r>
      <w:r w:rsidR="00335739">
        <w:rPr>
          <w:rFonts w:cs="Arial"/>
          <w:lang w:val="en"/>
        </w:rPr>
        <w:t>,</w:t>
      </w:r>
      <w:r w:rsidR="00402CA2">
        <w:rPr>
          <w:rFonts w:cs="Arial"/>
          <w:lang w:val="en"/>
        </w:rPr>
        <w:t xml:space="preserve"> with the proportion decreasing significantly in 2015 and 2016 for Aboriginal Victorians.</w:t>
      </w:r>
      <w:r w:rsidR="00952FC7">
        <w:rPr>
          <w:rFonts w:cs="Arial"/>
          <w:lang w:val="en"/>
        </w:rPr>
        <w:t xml:space="preserve"> </w:t>
      </w:r>
      <w:r w:rsidR="00402CA2">
        <w:rPr>
          <w:rFonts w:cs="Arial"/>
          <w:lang w:val="en"/>
        </w:rPr>
        <w:t xml:space="preserve">On the other </w:t>
      </w:r>
      <w:r w:rsidR="00E91AB8">
        <w:rPr>
          <w:rFonts w:cs="Arial"/>
          <w:lang w:val="en"/>
        </w:rPr>
        <w:t>hand,</w:t>
      </w:r>
      <w:r w:rsidR="00402CA2">
        <w:rPr>
          <w:rFonts w:cs="Arial"/>
          <w:lang w:val="en"/>
        </w:rPr>
        <w:t xml:space="preserve"> language spoken at home showed little variation between the three </w:t>
      </w:r>
      <w:r w:rsidR="00402CA2" w:rsidRPr="00FC2A81">
        <w:rPr>
          <w:rFonts w:cs="Arial"/>
          <w:lang w:val="en"/>
        </w:rPr>
        <w:t>categories over the three reporting years</w:t>
      </w:r>
      <w:r w:rsidR="00287C65" w:rsidRPr="00FC2A81">
        <w:rPr>
          <w:rFonts w:cs="Arial"/>
          <w:lang w:val="en"/>
        </w:rPr>
        <w:t xml:space="preserve"> (Figure 12.5 (D))</w:t>
      </w:r>
      <w:r w:rsidR="00402CA2" w:rsidRPr="00FC2A81">
        <w:rPr>
          <w:rFonts w:cs="Arial"/>
          <w:lang w:val="en"/>
        </w:rPr>
        <w:t>.</w:t>
      </w:r>
    </w:p>
    <w:p w14:paraId="10C83DB1" w14:textId="64926B9C" w:rsidR="00977BE5" w:rsidRDefault="00977BE5" w:rsidP="00ED0959">
      <w:pPr>
        <w:spacing w:after="120" w:line="270" w:lineRule="atLeast"/>
        <w:rPr>
          <w:rFonts w:ascii="Arial" w:hAnsi="Arial" w:cs="Arial"/>
          <w:lang w:val="en"/>
        </w:rPr>
      </w:pPr>
      <w:r w:rsidRPr="00ED0959">
        <w:rPr>
          <w:rFonts w:ascii="Arial" w:hAnsi="Arial" w:cs="Arial"/>
          <w:lang w:val="en"/>
        </w:rPr>
        <w:t xml:space="preserve">Comparison of patterns of </w:t>
      </w:r>
      <w:r w:rsidR="00BC7731" w:rsidRPr="00ED0959">
        <w:rPr>
          <w:rFonts w:ascii="Arial" w:hAnsi="Arial" w:cs="Arial"/>
          <w:lang w:val="en"/>
        </w:rPr>
        <w:t>SACT</w:t>
      </w:r>
      <w:r w:rsidRPr="00ED0959">
        <w:rPr>
          <w:rFonts w:ascii="Arial" w:hAnsi="Arial" w:cs="Arial"/>
          <w:lang w:val="en"/>
        </w:rPr>
        <w:t xml:space="preserve"> use </w:t>
      </w:r>
      <w:r w:rsidR="00287C65" w:rsidRPr="00ED0959">
        <w:rPr>
          <w:rFonts w:ascii="Arial" w:hAnsi="Arial" w:cs="Arial"/>
          <w:lang w:val="en"/>
        </w:rPr>
        <w:t xml:space="preserve">for all three categories </w:t>
      </w:r>
      <w:r w:rsidR="00287C65" w:rsidRPr="00E83F50">
        <w:rPr>
          <w:rStyle w:val="DHHSbodyChar"/>
        </w:rPr>
        <w:t xml:space="preserve">across </w:t>
      </w:r>
      <w:r w:rsidR="00DE7FFE" w:rsidRPr="00E83F50">
        <w:rPr>
          <w:rStyle w:val="DHHSbodyChar"/>
        </w:rPr>
        <w:t xml:space="preserve">SES </w:t>
      </w:r>
      <w:r w:rsidR="00231BB9" w:rsidRPr="00E83F50">
        <w:rPr>
          <w:rStyle w:val="DHHSbodyChar"/>
        </w:rPr>
        <w:t>showed</w:t>
      </w:r>
      <w:r w:rsidR="00231BB9" w:rsidRPr="00ED0959">
        <w:rPr>
          <w:rFonts w:ascii="Arial" w:hAnsi="Arial" w:cs="Arial"/>
          <w:lang w:val="en"/>
        </w:rPr>
        <w:t xml:space="preserve"> that </w:t>
      </w:r>
      <w:r w:rsidR="001A48DB" w:rsidRPr="00ED0959">
        <w:rPr>
          <w:rFonts w:ascii="Arial" w:hAnsi="Arial" w:cs="Arial"/>
          <w:lang w:val="en"/>
        </w:rPr>
        <w:t xml:space="preserve">patients living in the lowest SES areas (SES 1) were less likely to receive </w:t>
      </w:r>
      <w:r w:rsidR="00BC7731" w:rsidRPr="00ED0959">
        <w:rPr>
          <w:rFonts w:ascii="Arial" w:hAnsi="Arial" w:cs="Arial"/>
          <w:lang w:val="en"/>
        </w:rPr>
        <w:t>SACT</w:t>
      </w:r>
      <w:r w:rsidR="001A48DB" w:rsidRPr="00ED0959">
        <w:rPr>
          <w:rFonts w:ascii="Arial" w:hAnsi="Arial" w:cs="Arial"/>
          <w:lang w:val="en"/>
        </w:rPr>
        <w:t xml:space="preserve"> within the recommended timelines during the period 2014</w:t>
      </w:r>
      <w:r w:rsidR="00BB150E">
        <w:rPr>
          <w:rFonts w:ascii="Arial" w:hAnsi="Arial" w:cs="Arial"/>
          <w:lang w:val="en"/>
        </w:rPr>
        <w:t>–</w:t>
      </w:r>
      <w:r w:rsidR="001A48DB" w:rsidRPr="00ED0959">
        <w:rPr>
          <w:rFonts w:ascii="Arial" w:hAnsi="Arial" w:cs="Arial"/>
          <w:lang w:val="en"/>
        </w:rPr>
        <w:t>2016 (Figure 12.5 (F)).</w:t>
      </w:r>
      <w:r w:rsidR="00952FC7">
        <w:rPr>
          <w:rFonts w:ascii="Arial" w:hAnsi="Arial" w:cs="Arial"/>
          <w:lang w:val="en"/>
        </w:rPr>
        <w:t xml:space="preserve"> </w:t>
      </w:r>
      <w:r w:rsidR="001A48DB" w:rsidRPr="00ED0959">
        <w:rPr>
          <w:rFonts w:ascii="Arial" w:hAnsi="Arial" w:cs="Arial"/>
          <w:lang w:val="en"/>
        </w:rPr>
        <w:t xml:space="preserve">A comparison by remoteness </w:t>
      </w:r>
      <w:r w:rsidR="00FC2A81" w:rsidRPr="00ED0959">
        <w:rPr>
          <w:rFonts w:ascii="Arial" w:hAnsi="Arial" w:cs="Arial"/>
          <w:lang w:val="en"/>
        </w:rPr>
        <w:t xml:space="preserve">showed that </w:t>
      </w:r>
      <w:r w:rsidR="00D94557" w:rsidRPr="00ED0959">
        <w:rPr>
          <w:rFonts w:ascii="Arial" w:hAnsi="Arial" w:cs="Arial"/>
          <w:lang w:val="en"/>
        </w:rPr>
        <w:t>most</w:t>
      </w:r>
      <w:r w:rsidR="00FC2A81" w:rsidRPr="00ED0959">
        <w:rPr>
          <w:rFonts w:ascii="Arial" w:hAnsi="Arial" w:cs="Arial"/>
          <w:lang w:val="en"/>
        </w:rPr>
        <w:t xml:space="preserve"> patients who </w:t>
      </w:r>
      <w:r w:rsidR="005857DA">
        <w:rPr>
          <w:rFonts w:ascii="Arial" w:hAnsi="Arial" w:cs="Arial"/>
          <w:lang w:val="en"/>
        </w:rPr>
        <w:t>received</w:t>
      </w:r>
      <w:r w:rsidR="00FC2A81" w:rsidRPr="00ED0959">
        <w:rPr>
          <w:rFonts w:ascii="Arial" w:hAnsi="Arial" w:cs="Arial"/>
          <w:lang w:val="en"/>
        </w:rPr>
        <w:t xml:space="preserve"> these therapies </w:t>
      </w:r>
      <w:r w:rsidR="005857DA">
        <w:rPr>
          <w:rFonts w:ascii="Arial" w:hAnsi="Arial" w:cs="Arial"/>
          <w:lang w:val="en"/>
        </w:rPr>
        <w:t xml:space="preserve">within the recommended timelines </w:t>
      </w:r>
      <w:r w:rsidR="002B2797">
        <w:rPr>
          <w:rFonts w:ascii="Arial" w:hAnsi="Arial" w:cs="Arial"/>
          <w:lang w:val="en"/>
        </w:rPr>
        <w:t xml:space="preserve">overall </w:t>
      </w:r>
      <w:r w:rsidR="00FC2A81" w:rsidRPr="00ED0959">
        <w:rPr>
          <w:rFonts w:ascii="Arial" w:hAnsi="Arial" w:cs="Arial"/>
          <w:lang w:val="en"/>
        </w:rPr>
        <w:t>were living in major cities</w:t>
      </w:r>
      <w:r w:rsidR="007D4EAE" w:rsidRPr="00ED0959">
        <w:rPr>
          <w:rFonts w:ascii="Arial" w:hAnsi="Arial" w:cs="Arial"/>
          <w:lang w:val="en"/>
        </w:rPr>
        <w:t xml:space="preserve"> (Figure 12.5 (E))</w:t>
      </w:r>
      <w:r w:rsidR="00D94557" w:rsidRPr="00ED0959">
        <w:rPr>
          <w:rFonts w:ascii="Arial" w:hAnsi="Arial" w:cs="Arial"/>
          <w:lang w:val="en"/>
        </w:rPr>
        <w:t xml:space="preserve">. </w:t>
      </w:r>
      <w:r w:rsidRPr="00ED0959">
        <w:rPr>
          <w:rFonts w:ascii="Arial" w:hAnsi="Arial" w:cs="Arial"/>
          <w:lang w:val="en"/>
        </w:rPr>
        <w:t xml:space="preserve">The </w:t>
      </w:r>
      <w:r w:rsidR="002B2797">
        <w:rPr>
          <w:rFonts w:ascii="Arial" w:hAnsi="Arial" w:cs="Arial"/>
          <w:lang w:val="en"/>
        </w:rPr>
        <w:t>proportion</w:t>
      </w:r>
      <w:r w:rsidRPr="00ED0959">
        <w:rPr>
          <w:rFonts w:ascii="Arial" w:hAnsi="Arial" w:cs="Arial"/>
          <w:lang w:val="en"/>
        </w:rPr>
        <w:t xml:space="preserve"> of people living in these areas </w:t>
      </w:r>
      <w:r w:rsidR="00335739">
        <w:rPr>
          <w:rFonts w:ascii="Arial" w:hAnsi="Arial" w:cs="Arial"/>
          <w:lang w:val="en"/>
        </w:rPr>
        <w:t>who</w:t>
      </w:r>
      <w:r w:rsidR="00335739" w:rsidRPr="00ED0959">
        <w:rPr>
          <w:rFonts w:ascii="Arial" w:hAnsi="Arial" w:cs="Arial"/>
          <w:lang w:val="en"/>
        </w:rPr>
        <w:t xml:space="preserve"> </w:t>
      </w:r>
      <w:r w:rsidRPr="00ED0959">
        <w:rPr>
          <w:rFonts w:ascii="Arial" w:hAnsi="Arial" w:cs="Arial"/>
          <w:lang w:val="en"/>
        </w:rPr>
        <w:t xml:space="preserve">used </w:t>
      </w:r>
      <w:r w:rsidR="00231BB9" w:rsidRPr="00ED0959">
        <w:rPr>
          <w:rFonts w:ascii="Arial" w:hAnsi="Arial" w:cs="Arial"/>
          <w:lang w:val="en"/>
        </w:rPr>
        <w:t xml:space="preserve">all </w:t>
      </w:r>
      <w:r w:rsidRPr="00ED0959">
        <w:rPr>
          <w:rFonts w:ascii="Arial" w:hAnsi="Arial" w:cs="Arial"/>
          <w:lang w:val="en"/>
        </w:rPr>
        <w:t>these therapies each year increased</w:t>
      </w:r>
      <w:r w:rsidR="002B2797">
        <w:rPr>
          <w:rFonts w:ascii="Arial" w:hAnsi="Arial" w:cs="Arial"/>
          <w:lang w:val="en"/>
        </w:rPr>
        <w:t xml:space="preserve"> slightly</w:t>
      </w:r>
      <w:r w:rsidRPr="00ED0959">
        <w:rPr>
          <w:rFonts w:ascii="Arial" w:hAnsi="Arial" w:cs="Arial"/>
          <w:lang w:val="en"/>
        </w:rPr>
        <w:t xml:space="preserve"> from </w:t>
      </w:r>
      <w:r w:rsidR="002B2797">
        <w:rPr>
          <w:rFonts w:ascii="Arial" w:hAnsi="Arial" w:cs="Arial"/>
          <w:lang w:val="en"/>
        </w:rPr>
        <w:t>44.4 per cent</w:t>
      </w:r>
      <w:r w:rsidRPr="00ED0959">
        <w:rPr>
          <w:rFonts w:ascii="Arial" w:hAnsi="Arial" w:cs="Arial"/>
          <w:lang w:val="en"/>
        </w:rPr>
        <w:t xml:space="preserve"> in 201</w:t>
      </w:r>
      <w:r w:rsidR="00231BB9" w:rsidRPr="00ED0959">
        <w:rPr>
          <w:rFonts w:ascii="Arial" w:hAnsi="Arial" w:cs="Arial"/>
          <w:lang w:val="en"/>
        </w:rPr>
        <w:t>4</w:t>
      </w:r>
      <w:r w:rsidRPr="00ED0959">
        <w:rPr>
          <w:rFonts w:ascii="Arial" w:hAnsi="Arial" w:cs="Arial"/>
          <w:lang w:val="en"/>
        </w:rPr>
        <w:t xml:space="preserve"> to </w:t>
      </w:r>
      <w:r w:rsidR="00A61F98">
        <w:rPr>
          <w:rFonts w:ascii="Arial" w:hAnsi="Arial" w:cs="Arial"/>
          <w:lang w:val="en"/>
        </w:rPr>
        <w:t>45.7 per cent</w:t>
      </w:r>
      <w:r w:rsidRPr="00ED0959">
        <w:rPr>
          <w:rFonts w:ascii="Arial" w:hAnsi="Arial" w:cs="Arial"/>
          <w:lang w:val="en"/>
        </w:rPr>
        <w:t xml:space="preserve"> in 2016. </w:t>
      </w:r>
      <w:r w:rsidR="00D94557" w:rsidRPr="00ED0959">
        <w:rPr>
          <w:rFonts w:ascii="Arial" w:hAnsi="Arial" w:cs="Arial"/>
          <w:lang w:val="en"/>
        </w:rPr>
        <w:t xml:space="preserve">This trend </w:t>
      </w:r>
      <w:r w:rsidR="00D42661" w:rsidRPr="00ED0959">
        <w:rPr>
          <w:rFonts w:ascii="Arial" w:hAnsi="Arial" w:cs="Arial"/>
          <w:lang w:val="en"/>
        </w:rPr>
        <w:t>wa</w:t>
      </w:r>
      <w:r w:rsidR="00D94557" w:rsidRPr="00ED0959">
        <w:rPr>
          <w:rFonts w:ascii="Arial" w:hAnsi="Arial" w:cs="Arial"/>
          <w:lang w:val="en"/>
        </w:rPr>
        <w:t>s also reflect</w:t>
      </w:r>
      <w:r w:rsidR="00C0384B" w:rsidRPr="00ED0959">
        <w:rPr>
          <w:rFonts w:ascii="Arial" w:hAnsi="Arial" w:cs="Arial"/>
          <w:lang w:val="en"/>
        </w:rPr>
        <w:t>ed</w:t>
      </w:r>
      <w:r w:rsidR="00D94557" w:rsidRPr="00ED0959">
        <w:rPr>
          <w:rFonts w:ascii="Arial" w:hAnsi="Arial" w:cs="Arial"/>
          <w:lang w:val="en"/>
        </w:rPr>
        <w:t xml:space="preserve"> in regions of Victoria when compared </w:t>
      </w:r>
      <w:r w:rsidR="007D4EAE" w:rsidRPr="00ED0959">
        <w:rPr>
          <w:rFonts w:ascii="Arial" w:hAnsi="Arial" w:cs="Arial"/>
          <w:lang w:val="en"/>
        </w:rPr>
        <w:t>between ICS</w:t>
      </w:r>
      <w:r w:rsidR="00091548">
        <w:rPr>
          <w:rFonts w:ascii="Arial" w:hAnsi="Arial" w:cs="Arial"/>
          <w:lang w:val="en"/>
        </w:rPr>
        <w:t xml:space="preserve"> – </w:t>
      </w:r>
      <w:r w:rsidR="007D4EAE" w:rsidRPr="00ED0959">
        <w:rPr>
          <w:rFonts w:ascii="Arial" w:hAnsi="Arial" w:cs="Arial"/>
          <w:lang w:val="en"/>
        </w:rPr>
        <w:t>metropolitan ICSs</w:t>
      </w:r>
      <w:r w:rsidR="00335739">
        <w:rPr>
          <w:rFonts w:ascii="Arial" w:hAnsi="Arial" w:cs="Arial"/>
          <w:lang w:val="en"/>
        </w:rPr>
        <w:t>,</w:t>
      </w:r>
      <w:r w:rsidR="001A3EE9" w:rsidRPr="00ED0959">
        <w:rPr>
          <w:rFonts w:ascii="Arial" w:hAnsi="Arial" w:cs="Arial"/>
          <w:lang w:val="en"/>
        </w:rPr>
        <w:t xml:space="preserve"> </w:t>
      </w:r>
      <w:r w:rsidR="00790E1C">
        <w:rPr>
          <w:rFonts w:ascii="Arial" w:hAnsi="Arial" w:cs="Arial"/>
          <w:lang w:val="en"/>
        </w:rPr>
        <w:t xml:space="preserve">namely </w:t>
      </w:r>
      <w:r w:rsidR="001A3EE9" w:rsidRPr="00ED0959">
        <w:rPr>
          <w:rFonts w:ascii="Arial" w:hAnsi="Arial" w:cs="Arial"/>
          <w:lang w:val="en"/>
        </w:rPr>
        <w:t xml:space="preserve">NEMICS, </w:t>
      </w:r>
      <w:r w:rsidR="001A3EE9" w:rsidRPr="00ED0959">
        <w:rPr>
          <w:rFonts w:ascii="Arial" w:hAnsi="Arial" w:cs="Arial"/>
          <w:lang w:val="en"/>
        </w:rPr>
        <w:lastRenderedPageBreak/>
        <w:t>SMICS</w:t>
      </w:r>
      <w:r w:rsidR="00790E1C">
        <w:rPr>
          <w:rFonts w:ascii="Arial" w:hAnsi="Arial" w:cs="Arial"/>
          <w:lang w:val="en"/>
        </w:rPr>
        <w:t xml:space="preserve"> and </w:t>
      </w:r>
      <w:r w:rsidR="001A3EE9" w:rsidRPr="00ED0959">
        <w:rPr>
          <w:rFonts w:ascii="Arial" w:hAnsi="Arial" w:cs="Arial"/>
          <w:lang w:val="en"/>
        </w:rPr>
        <w:t>WCMIC</w:t>
      </w:r>
      <w:r w:rsidR="00790E1C">
        <w:rPr>
          <w:rFonts w:ascii="Arial" w:hAnsi="Arial" w:cs="Arial"/>
          <w:lang w:val="en"/>
        </w:rPr>
        <w:t>S</w:t>
      </w:r>
      <w:r w:rsidR="00335739">
        <w:rPr>
          <w:rFonts w:ascii="Arial" w:hAnsi="Arial" w:cs="Arial"/>
          <w:lang w:val="en"/>
        </w:rPr>
        <w:t>,</w:t>
      </w:r>
      <w:r w:rsidR="00D42661" w:rsidRPr="00ED0959">
        <w:rPr>
          <w:rFonts w:ascii="Arial" w:hAnsi="Arial" w:cs="Arial"/>
          <w:lang w:val="en"/>
        </w:rPr>
        <w:t xml:space="preserve"> had a </w:t>
      </w:r>
      <w:r w:rsidR="00A60841" w:rsidRPr="00ED0959">
        <w:rPr>
          <w:rFonts w:ascii="Arial" w:hAnsi="Arial" w:cs="Arial"/>
          <w:lang w:val="en"/>
        </w:rPr>
        <w:t xml:space="preserve">higher </w:t>
      </w:r>
      <w:r w:rsidR="00D42661" w:rsidRPr="00ED0959">
        <w:rPr>
          <w:rFonts w:ascii="Arial" w:hAnsi="Arial" w:cs="Arial"/>
          <w:lang w:val="en"/>
        </w:rPr>
        <w:t xml:space="preserve">proportion of patients receiving </w:t>
      </w:r>
      <w:r w:rsidR="00BC7731" w:rsidRPr="00ED0959">
        <w:rPr>
          <w:rFonts w:ascii="Arial" w:hAnsi="Arial" w:cs="Arial"/>
          <w:lang w:val="en"/>
        </w:rPr>
        <w:t xml:space="preserve">SACTs across the three categories </w:t>
      </w:r>
      <w:r w:rsidR="00D42661" w:rsidRPr="00ED0959">
        <w:rPr>
          <w:rFonts w:ascii="Arial" w:hAnsi="Arial" w:cs="Arial"/>
          <w:lang w:val="en"/>
        </w:rPr>
        <w:t xml:space="preserve">compared </w:t>
      </w:r>
      <w:r w:rsidR="001B50BF">
        <w:rPr>
          <w:rFonts w:ascii="Arial" w:hAnsi="Arial" w:cs="Arial"/>
          <w:lang w:val="en"/>
        </w:rPr>
        <w:t>with</w:t>
      </w:r>
      <w:r w:rsidR="001B50BF" w:rsidRPr="00ED0959">
        <w:rPr>
          <w:rFonts w:ascii="Arial" w:hAnsi="Arial" w:cs="Arial"/>
          <w:lang w:val="en"/>
        </w:rPr>
        <w:t xml:space="preserve"> </w:t>
      </w:r>
      <w:r w:rsidR="00D42661" w:rsidRPr="00ED0959">
        <w:rPr>
          <w:rFonts w:ascii="Arial" w:hAnsi="Arial" w:cs="Arial"/>
          <w:lang w:val="en"/>
        </w:rPr>
        <w:t>regional/rural counterparts</w:t>
      </w:r>
      <w:r w:rsidR="00A60841" w:rsidRPr="00ED0959">
        <w:rPr>
          <w:rFonts w:ascii="Arial" w:hAnsi="Arial" w:cs="Arial"/>
          <w:lang w:val="en"/>
        </w:rPr>
        <w:t>.</w:t>
      </w:r>
      <w:r w:rsidR="00952FC7">
        <w:rPr>
          <w:rFonts w:ascii="Arial" w:hAnsi="Arial" w:cs="Arial"/>
          <w:lang w:val="en"/>
        </w:rPr>
        <w:t xml:space="preserve"> </w:t>
      </w:r>
      <w:r w:rsidR="00BC7731" w:rsidRPr="00ED0959">
        <w:rPr>
          <w:rFonts w:ascii="Arial" w:hAnsi="Arial" w:cs="Arial"/>
          <w:lang w:val="en"/>
        </w:rPr>
        <w:t>This may reflect the spatial distribution of SACT</w:t>
      </w:r>
      <w:r w:rsidR="005F6828" w:rsidRPr="00ED0959">
        <w:rPr>
          <w:rFonts w:ascii="Arial" w:hAnsi="Arial" w:cs="Arial"/>
          <w:lang w:val="en"/>
        </w:rPr>
        <w:t>s</w:t>
      </w:r>
      <w:r w:rsidR="00335739">
        <w:rPr>
          <w:rFonts w:ascii="Arial" w:hAnsi="Arial" w:cs="Arial"/>
          <w:lang w:val="en"/>
        </w:rPr>
        <w:t>,</w:t>
      </w:r>
      <w:r w:rsidR="00BC7731" w:rsidRPr="00ED0959">
        <w:rPr>
          <w:rFonts w:ascii="Arial" w:hAnsi="Arial" w:cs="Arial"/>
          <w:lang w:val="en"/>
        </w:rPr>
        <w:t xml:space="preserve"> which are likely to be concentrated in urban areas</w:t>
      </w:r>
      <w:r w:rsidR="00091548">
        <w:rPr>
          <w:rFonts w:ascii="Arial" w:hAnsi="Arial" w:cs="Arial"/>
          <w:lang w:val="en"/>
        </w:rPr>
        <w:t>,</w:t>
      </w:r>
      <w:r w:rsidR="00BC7731" w:rsidRPr="00ED0959">
        <w:rPr>
          <w:rFonts w:ascii="Arial" w:hAnsi="Arial" w:cs="Arial"/>
          <w:lang w:val="en"/>
        </w:rPr>
        <w:t xml:space="preserve"> </w:t>
      </w:r>
      <w:r w:rsidR="001A3EE9" w:rsidRPr="00ED0959">
        <w:rPr>
          <w:rFonts w:ascii="Arial" w:hAnsi="Arial" w:cs="Arial"/>
          <w:lang w:val="en"/>
        </w:rPr>
        <w:t xml:space="preserve">particularly </w:t>
      </w:r>
      <w:r w:rsidR="00BC7731" w:rsidRPr="00ED0959">
        <w:rPr>
          <w:rFonts w:ascii="Arial" w:hAnsi="Arial" w:cs="Arial"/>
          <w:lang w:val="en"/>
        </w:rPr>
        <w:t>where there are tertiary centre</w:t>
      </w:r>
      <w:r w:rsidR="001A3EE9" w:rsidRPr="00ED0959">
        <w:rPr>
          <w:rFonts w:ascii="Arial" w:hAnsi="Arial" w:cs="Arial"/>
          <w:lang w:val="en"/>
        </w:rPr>
        <w:t>s</w:t>
      </w:r>
      <w:r w:rsidR="00BC7731" w:rsidRPr="00ED0959">
        <w:rPr>
          <w:rFonts w:ascii="Arial" w:hAnsi="Arial" w:cs="Arial"/>
          <w:lang w:val="en"/>
        </w:rPr>
        <w:t xml:space="preserve"> that specialise in all types of cancer treatments including</w:t>
      </w:r>
      <w:r w:rsidR="001A3EE9" w:rsidRPr="00ED0959">
        <w:rPr>
          <w:rFonts w:ascii="Arial" w:hAnsi="Arial" w:cs="Arial"/>
          <w:lang w:val="en"/>
        </w:rPr>
        <w:t xml:space="preserve"> SACTs</w:t>
      </w:r>
      <w:r w:rsidR="00B8007E" w:rsidRPr="00ED0959">
        <w:rPr>
          <w:rFonts w:ascii="Arial" w:hAnsi="Arial" w:cs="Arial"/>
          <w:lang w:val="en"/>
        </w:rPr>
        <w:t xml:space="preserve"> compared </w:t>
      </w:r>
      <w:r w:rsidR="001B50BF">
        <w:rPr>
          <w:rFonts w:ascii="Arial" w:hAnsi="Arial" w:cs="Arial"/>
          <w:lang w:val="en"/>
        </w:rPr>
        <w:t>with</w:t>
      </w:r>
      <w:r w:rsidR="001B50BF" w:rsidRPr="00ED0959">
        <w:rPr>
          <w:rFonts w:ascii="Arial" w:hAnsi="Arial" w:cs="Arial"/>
          <w:lang w:val="en"/>
        </w:rPr>
        <w:t xml:space="preserve"> </w:t>
      </w:r>
      <w:r w:rsidR="00B8007E" w:rsidRPr="00ED0959">
        <w:rPr>
          <w:rFonts w:ascii="Arial" w:hAnsi="Arial" w:cs="Arial"/>
          <w:lang w:val="en"/>
        </w:rPr>
        <w:t xml:space="preserve">smaller centres that provide </w:t>
      </w:r>
      <w:r w:rsidR="0005127F">
        <w:rPr>
          <w:rFonts w:ascii="Arial" w:hAnsi="Arial" w:cs="Arial"/>
          <w:lang w:val="en"/>
        </w:rPr>
        <w:t xml:space="preserve">a narrower range of </w:t>
      </w:r>
      <w:r w:rsidR="00B8007E" w:rsidRPr="00ED0959">
        <w:rPr>
          <w:rFonts w:ascii="Arial" w:hAnsi="Arial" w:cs="Arial"/>
          <w:lang w:val="en"/>
        </w:rPr>
        <w:t>services to rural and remote communities.</w:t>
      </w:r>
    </w:p>
    <w:p w14:paraId="3DE97340" w14:textId="36A25779" w:rsidR="009316B9" w:rsidRPr="00ED0959" w:rsidRDefault="009316B9" w:rsidP="00ED0959">
      <w:pPr>
        <w:spacing w:after="120" w:line="270" w:lineRule="atLeast"/>
        <w:rPr>
          <w:rFonts w:ascii="Arial" w:hAnsi="Arial" w:cs="Arial"/>
          <w:lang w:val="en"/>
        </w:rPr>
      </w:pPr>
      <w:r>
        <w:rPr>
          <w:rFonts w:ascii="Arial" w:hAnsi="Arial" w:cs="Arial"/>
          <w:lang w:val="en"/>
        </w:rPr>
        <w:t>Figure</w:t>
      </w:r>
      <w:r w:rsidR="00F9665F">
        <w:rPr>
          <w:rFonts w:ascii="Arial" w:hAnsi="Arial" w:cs="Arial"/>
          <w:lang w:val="en"/>
        </w:rPr>
        <w:t>s</w:t>
      </w:r>
      <w:r>
        <w:rPr>
          <w:rFonts w:ascii="Arial" w:hAnsi="Arial" w:cs="Arial"/>
          <w:lang w:val="en"/>
        </w:rPr>
        <w:t xml:space="preserve"> </w:t>
      </w:r>
      <w:r w:rsidR="00F9665F">
        <w:rPr>
          <w:rFonts w:ascii="Arial" w:hAnsi="Arial" w:cs="Arial"/>
          <w:lang w:val="en"/>
        </w:rPr>
        <w:t>12.5.1, 12.5.2, 12.5.3 and 12.5.4 show similarities with Figure 12.5 as they relate to the different variables.</w:t>
      </w:r>
    </w:p>
    <w:p w14:paraId="57A33315" w14:textId="08D2C50E" w:rsidR="006D128C" w:rsidRPr="001A2A05" w:rsidRDefault="008B63B3" w:rsidP="001A2A05">
      <w:pPr>
        <w:pStyle w:val="DHHSbody"/>
        <w:rPr>
          <w:rFonts w:cs="Arial"/>
          <w:lang w:eastAsia="en-AU"/>
        </w:rPr>
      </w:pPr>
      <w:r w:rsidRPr="00ED0959">
        <w:rPr>
          <w:rFonts w:cs="Arial"/>
          <w:lang w:eastAsia="en-AU"/>
        </w:rPr>
        <w:t>No target has been set for this measure</w:t>
      </w:r>
      <w:r w:rsidR="00B40166">
        <w:rPr>
          <w:rFonts w:cs="Arial"/>
          <w:lang w:eastAsia="en-AU"/>
        </w:rPr>
        <w:t>;</w:t>
      </w:r>
      <w:r w:rsidR="00745C33" w:rsidRPr="00ED0959">
        <w:rPr>
          <w:rFonts w:cs="Arial"/>
          <w:lang w:eastAsia="en-AU"/>
        </w:rPr>
        <w:t xml:space="preserve"> however</w:t>
      </w:r>
      <w:r w:rsidR="00B40166">
        <w:rPr>
          <w:rFonts w:cs="Arial"/>
          <w:lang w:eastAsia="en-AU"/>
        </w:rPr>
        <w:t>,</w:t>
      </w:r>
      <w:r w:rsidR="00745C33" w:rsidRPr="00ED0959">
        <w:rPr>
          <w:rFonts w:cs="Arial"/>
          <w:lang w:eastAsia="en-AU"/>
        </w:rPr>
        <w:t xml:space="preserve"> it does highlight </w:t>
      </w:r>
      <w:r w:rsidR="009B58A3">
        <w:rPr>
          <w:rFonts w:cs="Arial"/>
          <w:lang w:eastAsia="en-AU"/>
        </w:rPr>
        <w:t xml:space="preserve">the importance of cancer patients receiving </w:t>
      </w:r>
      <w:r w:rsidR="00745C33" w:rsidRPr="00ED0959">
        <w:rPr>
          <w:rFonts w:cs="Arial"/>
          <w:lang w:eastAsia="en-AU"/>
        </w:rPr>
        <w:t>SACT</w:t>
      </w:r>
      <w:r w:rsidR="009B58A3">
        <w:rPr>
          <w:rFonts w:cs="Arial"/>
          <w:lang w:eastAsia="en-AU"/>
        </w:rPr>
        <w:t xml:space="preserve"> within recommended timelines</w:t>
      </w:r>
      <w:r w:rsidR="00506243">
        <w:rPr>
          <w:rFonts w:cs="Arial"/>
          <w:lang w:eastAsia="en-AU"/>
        </w:rPr>
        <w:t xml:space="preserve"> to ensure improved overall survival </w:t>
      </w:r>
      <w:r w:rsidR="00506243">
        <w:rPr>
          <w:lang w:val="en"/>
        </w:rPr>
        <w:t>in the metastatic setting</w:t>
      </w:r>
      <w:r w:rsidR="00506243">
        <w:rPr>
          <w:lang w:eastAsia="en-AU"/>
        </w:rPr>
        <w:t>.</w:t>
      </w:r>
      <w:r w:rsidR="006D128C">
        <w:rPr>
          <w:lang w:eastAsia="en-AU"/>
        </w:rPr>
        <w:br w:type="page"/>
      </w:r>
    </w:p>
    <w:p w14:paraId="72472C1E" w14:textId="566FBE22" w:rsidR="004802D4" w:rsidRPr="004802D4" w:rsidRDefault="00DF376C" w:rsidP="00836AAF">
      <w:pPr>
        <w:pStyle w:val="Heading3"/>
        <w:rPr>
          <w:lang w:eastAsia="en-AU"/>
        </w:rPr>
      </w:pPr>
      <w:bookmarkStart w:id="732" w:name="_Measure_12.6_–"/>
      <w:bookmarkStart w:id="733" w:name="_Toc19008138"/>
      <w:bookmarkEnd w:id="732"/>
      <w:r w:rsidRPr="00C04996">
        <w:rPr>
          <w:lang w:eastAsia="en-AU"/>
        </w:rPr>
        <w:lastRenderedPageBreak/>
        <w:t>Measure 12.6 –</w:t>
      </w:r>
      <w:r w:rsidR="00FD52A4" w:rsidRPr="00C04996">
        <w:rPr>
          <w:lang w:eastAsia="en-AU"/>
        </w:rPr>
        <w:t xml:space="preserve"> Proportion of</w:t>
      </w:r>
      <w:r w:rsidR="00082EB2">
        <w:rPr>
          <w:lang w:eastAsia="en-AU"/>
        </w:rPr>
        <w:t xml:space="preserve"> cancer</w:t>
      </w:r>
      <w:r w:rsidR="00091548">
        <w:rPr>
          <w:lang w:eastAsia="en-AU"/>
        </w:rPr>
        <w:t>-</w:t>
      </w:r>
      <w:r w:rsidR="00082EB2">
        <w:rPr>
          <w:lang w:eastAsia="en-AU"/>
        </w:rPr>
        <w:t>related pan</w:t>
      </w:r>
      <w:r w:rsidR="00A015E8">
        <w:rPr>
          <w:lang w:eastAsia="en-AU"/>
        </w:rPr>
        <w:t>c</w:t>
      </w:r>
      <w:r w:rsidR="00082EB2">
        <w:rPr>
          <w:lang w:eastAsia="en-AU"/>
        </w:rPr>
        <w:t xml:space="preserve">reatectomies and oesophagectomies </w:t>
      </w:r>
      <w:r w:rsidR="00B52802" w:rsidRPr="00C04996">
        <w:rPr>
          <w:lang w:eastAsia="en-AU"/>
        </w:rPr>
        <w:t>taking place at appropriate volume facilities</w:t>
      </w:r>
      <w:bookmarkEnd w:id="733"/>
    </w:p>
    <w:p w14:paraId="700DCA07" w14:textId="5C242E43" w:rsidR="009870A5" w:rsidRPr="00867A76" w:rsidRDefault="00836AAF" w:rsidP="00867A76">
      <w:pPr>
        <w:pStyle w:val="DHHSfigurecaption"/>
      </w:pPr>
      <w:bookmarkStart w:id="734" w:name="_Toc19008139"/>
      <w:bookmarkStart w:id="735" w:name="_Toc19008354"/>
      <w:bookmarkStart w:id="736" w:name="_Toc19008501"/>
      <w:bookmarkStart w:id="737" w:name="_Toc19008648"/>
      <w:bookmarkStart w:id="738" w:name="_Toc27414356"/>
      <w:r w:rsidRPr="00867A76">
        <w:t>Figure</w:t>
      </w:r>
      <w:r w:rsidR="006D128C" w:rsidRPr="00867A76">
        <w:t xml:space="preserve"> 12.6</w:t>
      </w:r>
      <w:r w:rsidR="002677DD" w:rsidRPr="00867A76">
        <w:t>:</w:t>
      </w:r>
      <w:r w:rsidR="006D128C" w:rsidRPr="00867A76">
        <w:t xml:space="preserve"> </w:t>
      </w:r>
      <w:r w:rsidR="006252CF" w:rsidRPr="00867A76">
        <w:t xml:space="preserve">Proportion </w:t>
      </w:r>
      <w:r w:rsidR="004802D4" w:rsidRPr="00867A76">
        <w:t xml:space="preserve">and number </w:t>
      </w:r>
      <w:r w:rsidR="006252CF" w:rsidRPr="00867A76">
        <w:t xml:space="preserve">of </w:t>
      </w:r>
      <w:r w:rsidR="00A015E8" w:rsidRPr="00867A76">
        <w:t>cancer</w:t>
      </w:r>
      <w:r w:rsidR="00091548" w:rsidRPr="00867A76">
        <w:t>-</w:t>
      </w:r>
      <w:r w:rsidR="00A015E8" w:rsidRPr="00867A76">
        <w:t xml:space="preserve">related oesophagectomies and </w:t>
      </w:r>
      <w:r w:rsidR="00F6152F" w:rsidRPr="00867A76">
        <w:t xml:space="preserve">pancreatectomies </w:t>
      </w:r>
      <w:r w:rsidR="005B7BBA" w:rsidRPr="00867A76">
        <w:t>taking place at appropriate volume</w:t>
      </w:r>
      <w:r w:rsidR="00330FBF" w:rsidRPr="00867A76">
        <w:t xml:space="preserve"> (facilities)</w:t>
      </w:r>
      <w:r w:rsidR="00917023" w:rsidRPr="00867A76">
        <w:t>,</w:t>
      </w:r>
      <w:r w:rsidR="005B7BBA" w:rsidRPr="00867A76">
        <w:t xml:space="preserve"> by </w:t>
      </w:r>
      <w:r w:rsidRPr="00867A76">
        <w:t>year</w:t>
      </w:r>
      <w:r w:rsidR="005B7BBA" w:rsidRPr="00867A76">
        <w:t>, 2014</w:t>
      </w:r>
      <w:r w:rsidR="002677DD" w:rsidRPr="00867A76">
        <w:t>–</w:t>
      </w:r>
      <w:r w:rsidR="005B7BBA" w:rsidRPr="00867A76">
        <w:t>2016</w:t>
      </w:r>
      <w:bookmarkEnd w:id="734"/>
      <w:bookmarkEnd w:id="735"/>
      <w:bookmarkEnd w:id="736"/>
      <w:bookmarkEnd w:id="737"/>
      <w:bookmarkEnd w:id="738"/>
    </w:p>
    <w:p w14:paraId="4FD480B7" w14:textId="024300A2" w:rsidR="00E31A01" w:rsidRDefault="00161F25" w:rsidP="00B64899">
      <w:pPr>
        <w:pStyle w:val="DHHSbody"/>
        <w:rPr>
          <w:b/>
          <w:lang w:eastAsia="en-AU"/>
        </w:rPr>
      </w:pPr>
      <w:r>
        <w:rPr>
          <w:b/>
          <w:noProof/>
          <w:lang w:eastAsia="en-AU"/>
        </w:rPr>
        <w:drawing>
          <wp:inline distT="0" distB="0" distL="0" distR="0" wp14:anchorId="3AAFBF5C" wp14:editId="03B09726">
            <wp:extent cx="6724650" cy="2481580"/>
            <wp:effectExtent l="0" t="0" r="0" b="0"/>
            <wp:docPr id="569" name="Picture 569" descr="This figure presents data under the 'Measure 12.6 – Proportion of cancer-related pancreatectomies and oesophagectomies taking place at appropriate volume facilities'.  &#10;The data for this figure for the study period 2014 to 2016  is available in this section - refer to Table 12.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724650" cy="2481580"/>
                    </a:xfrm>
                    <a:prstGeom prst="rect">
                      <a:avLst/>
                    </a:prstGeom>
                    <a:noFill/>
                  </pic:spPr>
                </pic:pic>
              </a:graphicData>
            </a:graphic>
          </wp:inline>
        </w:drawing>
      </w:r>
    </w:p>
    <w:p w14:paraId="681D278E" w14:textId="1FE5BAE1" w:rsidR="00E928F9" w:rsidRPr="00D70E90" w:rsidRDefault="00E928F9" w:rsidP="00E928F9">
      <w:pPr>
        <w:pStyle w:val="DHHStablecaption"/>
      </w:pPr>
      <w:bookmarkStart w:id="739" w:name="_Toc18908741"/>
      <w:bookmarkStart w:id="740" w:name="_Toc27414421"/>
      <w:r>
        <w:t>Table</w:t>
      </w:r>
      <w:r w:rsidRPr="00E928F9">
        <w:t xml:space="preserve"> 12.6: Proportion and number of cancer-related oesophagectomies and pancreatectomies taking place at appropriate volume (facilities), by year, 2014–2016</w:t>
      </w:r>
      <w:bookmarkEnd w:id="739"/>
      <w:bookmarkEnd w:id="740"/>
    </w:p>
    <w:tbl>
      <w:tblPr>
        <w:tblStyle w:val="TableGrid"/>
        <w:tblW w:w="0" w:type="auto"/>
        <w:tblInd w:w="-9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shd w:val="clear" w:color="auto" w:fill="EDCDCF"/>
        <w:tblLook w:val="04A0" w:firstRow="1" w:lastRow="0" w:firstColumn="1" w:lastColumn="0" w:noHBand="0" w:noVBand="1"/>
      </w:tblPr>
      <w:tblGrid>
        <w:gridCol w:w="2618"/>
        <w:gridCol w:w="2620"/>
        <w:gridCol w:w="2620"/>
        <w:gridCol w:w="2620"/>
      </w:tblGrid>
      <w:tr w:rsidR="007752CB" w14:paraId="19BC2A27" w14:textId="77777777" w:rsidTr="00214CAA">
        <w:trPr>
          <w:trHeight w:val="251"/>
        </w:trPr>
        <w:tc>
          <w:tcPr>
            <w:tcW w:w="2618" w:type="dxa"/>
            <w:shd w:val="clear" w:color="auto" w:fill="EDCDCF"/>
          </w:tcPr>
          <w:p w14:paraId="3D5AD626" w14:textId="59D45684" w:rsidR="007752CB" w:rsidRPr="004E4D2B" w:rsidRDefault="007752CB" w:rsidP="00214CAA">
            <w:pPr>
              <w:pStyle w:val="DHHStablecolhead"/>
            </w:pPr>
            <w:r w:rsidRPr="004E4D2B">
              <w:t xml:space="preserve">Number of </w:t>
            </w:r>
            <w:r w:rsidR="002647B7" w:rsidRPr="004E4D2B">
              <w:t>s</w:t>
            </w:r>
            <w:r w:rsidRPr="004E4D2B">
              <w:t>urgeries (</w:t>
            </w:r>
            <w:r w:rsidR="00D70E90" w:rsidRPr="004E4D2B">
              <w:t>n</w:t>
            </w:r>
            <w:r w:rsidRPr="004E4D2B">
              <w:t>)</w:t>
            </w:r>
          </w:p>
        </w:tc>
        <w:tc>
          <w:tcPr>
            <w:tcW w:w="2620" w:type="dxa"/>
            <w:shd w:val="clear" w:color="auto" w:fill="EDCDCF"/>
          </w:tcPr>
          <w:p w14:paraId="60D63D34" w14:textId="6B85A72E" w:rsidR="007752CB" w:rsidRPr="004E4D2B" w:rsidRDefault="007752CB" w:rsidP="00214CAA">
            <w:pPr>
              <w:pStyle w:val="DHHStablecolhead"/>
            </w:pPr>
            <w:r w:rsidRPr="004E4D2B">
              <w:t>2013</w:t>
            </w:r>
            <w:r w:rsidR="002677DD" w:rsidRPr="004E4D2B">
              <w:t>–</w:t>
            </w:r>
            <w:r w:rsidR="00917023" w:rsidRPr="004E4D2B">
              <w:t>20</w:t>
            </w:r>
            <w:r w:rsidRPr="004E4D2B">
              <w:t>14</w:t>
            </w:r>
          </w:p>
        </w:tc>
        <w:tc>
          <w:tcPr>
            <w:tcW w:w="2620" w:type="dxa"/>
            <w:shd w:val="clear" w:color="auto" w:fill="EDCDCF"/>
          </w:tcPr>
          <w:p w14:paraId="15F6E616" w14:textId="727AC933" w:rsidR="007752CB" w:rsidRPr="004E4D2B" w:rsidRDefault="007752CB" w:rsidP="00214CAA">
            <w:pPr>
              <w:pStyle w:val="DHHStablecolhead"/>
            </w:pPr>
            <w:r w:rsidRPr="004E4D2B">
              <w:t>2014</w:t>
            </w:r>
            <w:r w:rsidR="002677DD" w:rsidRPr="004E4D2B">
              <w:t>–</w:t>
            </w:r>
            <w:r w:rsidR="00917023" w:rsidRPr="004E4D2B">
              <w:t>20</w:t>
            </w:r>
            <w:r w:rsidRPr="004E4D2B">
              <w:t>15</w:t>
            </w:r>
          </w:p>
        </w:tc>
        <w:tc>
          <w:tcPr>
            <w:tcW w:w="2620" w:type="dxa"/>
            <w:shd w:val="clear" w:color="auto" w:fill="EDCDCF"/>
          </w:tcPr>
          <w:p w14:paraId="3BE58693" w14:textId="68DFF304" w:rsidR="007752CB" w:rsidRPr="004E4D2B" w:rsidRDefault="007752CB" w:rsidP="00214CAA">
            <w:pPr>
              <w:pStyle w:val="DHHStablecolhead"/>
            </w:pPr>
            <w:r w:rsidRPr="004E4D2B">
              <w:t>2015</w:t>
            </w:r>
            <w:r w:rsidR="002677DD" w:rsidRPr="004E4D2B">
              <w:t>–</w:t>
            </w:r>
            <w:r w:rsidR="00917023" w:rsidRPr="004E4D2B">
              <w:t>20</w:t>
            </w:r>
            <w:r w:rsidRPr="004E4D2B">
              <w:t>16</w:t>
            </w:r>
          </w:p>
        </w:tc>
      </w:tr>
      <w:tr w:rsidR="007752CB" w14:paraId="06876A38" w14:textId="77777777" w:rsidTr="00214CAA">
        <w:trPr>
          <w:trHeight w:val="207"/>
        </w:trPr>
        <w:tc>
          <w:tcPr>
            <w:tcW w:w="2618" w:type="dxa"/>
            <w:shd w:val="clear" w:color="auto" w:fill="auto"/>
          </w:tcPr>
          <w:p w14:paraId="62A9EC5D" w14:textId="7AF06117" w:rsidR="007752CB" w:rsidRPr="007752CB" w:rsidRDefault="007752CB" w:rsidP="00214CAA">
            <w:pPr>
              <w:pStyle w:val="DHHStabletext"/>
            </w:pPr>
            <w:r>
              <w:t>Pancreatic</w:t>
            </w:r>
          </w:p>
        </w:tc>
        <w:tc>
          <w:tcPr>
            <w:tcW w:w="2620" w:type="dxa"/>
            <w:shd w:val="clear" w:color="auto" w:fill="auto"/>
          </w:tcPr>
          <w:p w14:paraId="2BDD8F97" w14:textId="047300DD" w:rsidR="007752CB" w:rsidRPr="007752CB" w:rsidRDefault="007752CB" w:rsidP="00214CAA">
            <w:pPr>
              <w:pStyle w:val="DHHStabletext"/>
            </w:pPr>
            <w:r w:rsidRPr="007752CB">
              <w:rPr>
                <w:bCs/>
              </w:rPr>
              <w:t>253/276</w:t>
            </w:r>
          </w:p>
        </w:tc>
        <w:tc>
          <w:tcPr>
            <w:tcW w:w="2620" w:type="dxa"/>
            <w:shd w:val="clear" w:color="auto" w:fill="auto"/>
          </w:tcPr>
          <w:p w14:paraId="6DDA6B98" w14:textId="7603CBCD" w:rsidR="007752CB" w:rsidRPr="007752CB" w:rsidRDefault="007752CB" w:rsidP="00214CAA">
            <w:pPr>
              <w:pStyle w:val="DHHStabletext"/>
            </w:pPr>
            <w:r w:rsidRPr="007752CB">
              <w:rPr>
                <w:bCs/>
              </w:rPr>
              <w:t>273/304</w:t>
            </w:r>
          </w:p>
        </w:tc>
        <w:tc>
          <w:tcPr>
            <w:tcW w:w="2620" w:type="dxa"/>
            <w:shd w:val="clear" w:color="auto" w:fill="auto"/>
          </w:tcPr>
          <w:p w14:paraId="6F5E9AF4" w14:textId="2B06AB97" w:rsidR="007752CB" w:rsidRPr="007752CB" w:rsidRDefault="007752CB" w:rsidP="00214CAA">
            <w:pPr>
              <w:pStyle w:val="DHHStabletext"/>
            </w:pPr>
            <w:r>
              <w:rPr>
                <w:bCs/>
              </w:rPr>
              <w:t>2</w:t>
            </w:r>
            <w:r w:rsidRPr="007752CB">
              <w:rPr>
                <w:bCs/>
              </w:rPr>
              <w:t>81/313</w:t>
            </w:r>
          </w:p>
        </w:tc>
      </w:tr>
      <w:tr w:rsidR="007752CB" w14:paraId="46375148" w14:textId="77777777" w:rsidTr="00622F8A">
        <w:trPr>
          <w:trHeight w:val="227"/>
        </w:trPr>
        <w:tc>
          <w:tcPr>
            <w:tcW w:w="2618" w:type="dxa"/>
            <w:tcBorders>
              <w:bottom w:val="nil"/>
            </w:tcBorders>
            <w:shd w:val="clear" w:color="auto" w:fill="auto"/>
          </w:tcPr>
          <w:p w14:paraId="1402A057" w14:textId="57381C94" w:rsidR="007752CB" w:rsidRPr="007752CB" w:rsidRDefault="007752CB" w:rsidP="00214CAA">
            <w:pPr>
              <w:pStyle w:val="DHHStabletext"/>
            </w:pPr>
            <w:r>
              <w:t>Oesophageal</w:t>
            </w:r>
          </w:p>
        </w:tc>
        <w:tc>
          <w:tcPr>
            <w:tcW w:w="2620" w:type="dxa"/>
            <w:tcBorders>
              <w:bottom w:val="nil"/>
            </w:tcBorders>
            <w:shd w:val="clear" w:color="auto" w:fill="auto"/>
          </w:tcPr>
          <w:p w14:paraId="43CDF3B6" w14:textId="2F677D43" w:rsidR="007752CB" w:rsidRPr="007752CB" w:rsidRDefault="007752CB" w:rsidP="00214CAA">
            <w:pPr>
              <w:pStyle w:val="DHHStabletext"/>
            </w:pPr>
            <w:r w:rsidRPr="007752CB">
              <w:rPr>
                <w:bCs/>
              </w:rPr>
              <w:t>180/240</w:t>
            </w:r>
          </w:p>
        </w:tc>
        <w:tc>
          <w:tcPr>
            <w:tcW w:w="2620" w:type="dxa"/>
            <w:tcBorders>
              <w:bottom w:val="nil"/>
            </w:tcBorders>
            <w:shd w:val="clear" w:color="auto" w:fill="auto"/>
          </w:tcPr>
          <w:p w14:paraId="4F0B593E" w14:textId="0AAE688B" w:rsidR="007752CB" w:rsidRPr="007752CB" w:rsidRDefault="007752CB" w:rsidP="00214CAA">
            <w:pPr>
              <w:pStyle w:val="DHHStabletext"/>
            </w:pPr>
            <w:r w:rsidRPr="007752CB">
              <w:rPr>
                <w:bCs/>
              </w:rPr>
              <w:t>188/265</w:t>
            </w:r>
          </w:p>
        </w:tc>
        <w:tc>
          <w:tcPr>
            <w:tcW w:w="2620" w:type="dxa"/>
            <w:tcBorders>
              <w:bottom w:val="nil"/>
            </w:tcBorders>
            <w:shd w:val="clear" w:color="auto" w:fill="auto"/>
          </w:tcPr>
          <w:p w14:paraId="016B8E59" w14:textId="6CBADAE9" w:rsidR="007752CB" w:rsidRPr="007752CB" w:rsidRDefault="007752CB" w:rsidP="00214CAA">
            <w:pPr>
              <w:pStyle w:val="DHHStabletext"/>
            </w:pPr>
            <w:r w:rsidRPr="007752CB">
              <w:rPr>
                <w:bCs/>
              </w:rPr>
              <w:t>211/275</w:t>
            </w:r>
          </w:p>
        </w:tc>
      </w:tr>
      <w:tr w:rsidR="007752CB" w14:paraId="00F999D6" w14:textId="77777777" w:rsidTr="00622F8A">
        <w:trPr>
          <w:trHeight w:val="207"/>
        </w:trPr>
        <w:tc>
          <w:tcPr>
            <w:tcW w:w="2618" w:type="dxa"/>
            <w:tcBorders>
              <w:top w:val="nil"/>
            </w:tcBorders>
            <w:shd w:val="clear" w:color="auto" w:fill="EDCDCF"/>
          </w:tcPr>
          <w:p w14:paraId="533606B1" w14:textId="382C49F4" w:rsidR="007752CB" w:rsidRPr="004E4D2B" w:rsidRDefault="007752CB" w:rsidP="00214CAA">
            <w:pPr>
              <w:pStyle w:val="DHHStablecolhead"/>
            </w:pPr>
            <w:r w:rsidRPr="004E4D2B">
              <w:t>Number of hospitals</w:t>
            </w:r>
            <w:r w:rsidR="00D70E90" w:rsidRPr="004E4D2B">
              <w:t xml:space="preserve"> (n)</w:t>
            </w:r>
          </w:p>
        </w:tc>
        <w:tc>
          <w:tcPr>
            <w:tcW w:w="2620" w:type="dxa"/>
            <w:tcBorders>
              <w:top w:val="nil"/>
            </w:tcBorders>
            <w:shd w:val="clear" w:color="auto" w:fill="EDCDCF"/>
          </w:tcPr>
          <w:p w14:paraId="5AAB9A0D" w14:textId="6CEE8142" w:rsidR="007752CB" w:rsidRPr="007752CB" w:rsidRDefault="007752CB" w:rsidP="00214CAA">
            <w:pPr>
              <w:pStyle w:val="DHHStablecolhead"/>
            </w:pPr>
          </w:p>
        </w:tc>
        <w:tc>
          <w:tcPr>
            <w:tcW w:w="2620" w:type="dxa"/>
            <w:tcBorders>
              <w:top w:val="nil"/>
            </w:tcBorders>
            <w:shd w:val="clear" w:color="auto" w:fill="EDCDCF"/>
          </w:tcPr>
          <w:p w14:paraId="0441D831" w14:textId="1255496C" w:rsidR="007752CB" w:rsidRPr="007752CB" w:rsidRDefault="007752CB" w:rsidP="00214CAA">
            <w:pPr>
              <w:pStyle w:val="DHHStablecolhead"/>
            </w:pPr>
          </w:p>
        </w:tc>
        <w:tc>
          <w:tcPr>
            <w:tcW w:w="2620" w:type="dxa"/>
            <w:tcBorders>
              <w:top w:val="nil"/>
            </w:tcBorders>
            <w:shd w:val="clear" w:color="auto" w:fill="EDCDCF"/>
          </w:tcPr>
          <w:p w14:paraId="6D0F7FC1" w14:textId="0D7310B9" w:rsidR="007752CB" w:rsidRPr="007752CB" w:rsidRDefault="007752CB" w:rsidP="00214CAA">
            <w:pPr>
              <w:pStyle w:val="DHHStablecolhead"/>
            </w:pPr>
          </w:p>
        </w:tc>
      </w:tr>
      <w:tr w:rsidR="007752CB" w14:paraId="0D3A1B5F" w14:textId="77777777" w:rsidTr="00214CAA">
        <w:trPr>
          <w:trHeight w:val="207"/>
        </w:trPr>
        <w:tc>
          <w:tcPr>
            <w:tcW w:w="2618" w:type="dxa"/>
            <w:shd w:val="clear" w:color="auto" w:fill="auto"/>
          </w:tcPr>
          <w:p w14:paraId="028F6A55" w14:textId="1BCE6862" w:rsidR="007752CB" w:rsidRPr="007752CB" w:rsidRDefault="007752CB" w:rsidP="00214CAA">
            <w:pPr>
              <w:pStyle w:val="DHHStabletext"/>
            </w:pPr>
            <w:r>
              <w:t>Pancreatic</w:t>
            </w:r>
          </w:p>
        </w:tc>
        <w:tc>
          <w:tcPr>
            <w:tcW w:w="2620" w:type="dxa"/>
            <w:shd w:val="clear" w:color="auto" w:fill="auto"/>
          </w:tcPr>
          <w:p w14:paraId="52EEEC36" w14:textId="1EF67F01" w:rsidR="007752CB" w:rsidRPr="00D70E90" w:rsidRDefault="00D70E90" w:rsidP="00214CAA">
            <w:pPr>
              <w:pStyle w:val="DHHStabletext"/>
            </w:pPr>
            <w:r w:rsidRPr="00D70E90">
              <w:rPr>
                <w:bCs/>
              </w:rPr>
              <w:t>16/33</w:t>
            </w:r>
          </w:p>
        </w:tc>
        <w:tc>
          <w:tcPr>
            <w:tcW w:w="2620" w:type="dxa"/>
            <w:shd w:val="clear" w:color="auto" w:fill="auto"/>
          </w:tcPr>
          <w:p w14:paraId="32E8B4D6" w14:textId="20C77319" w:rsidR="007752CB" w:rsidRPr="00D70E90" w:rsidRDefault="00D70E90" w:rsidP="00214CAA">
            <w:pPr>
              <w:pStyle w:val="DHHStabletext"/>
            </w:pPr>
            <w:r w:rsidRPr="00D70E90">
              <w:rPr>
                <w:bCs/>
              </w:rPr>
              <w:t>16/37</w:t>
            </w:r>
          </w:p>
        </w:tc>
        <w:tc>
          <w:tcPr>
            <w:tcW w:w="2620" w:type="dxa"/>
            <w:shd w:val="clear" w:color="auto" w:fill="auto"/>
          </w:tcPr>
          <w:p w14:paraId="246E3F79" w14:textId="6631D50E" w:rsidR="007752CB" w:rsidRPr="00D70E90" w:rsidRDefault="00D70E90" w:rsidP="00214CAA">
            <w:pPr>
              <w:pStyle w:val="DHHStabletext"/>
            </w:pPr>
            <w:r w:rsidRPr="00D70E90">
              <w:rPr>
                <w:bCs/>
              </w:rPr>
              <w:t>17/36</w:t>
            </w:r>
          </w:p>
        </w:tc>
      </w:tr>
      <w:tr w:rsidR="007752CB" w14:paraId="08BF11C3" w14:textId="77777777" w:rsidTr="00214CAA">
        <w:trPr>
          <w:trHeight w:val="207"/>
        </w:trPr>
        <w:tc>
          <w:tcPr>
            <w:tcW w:w="2618" w:type="dxa"/>
            <w:shd w:val="clear" w:color="auto" w:fill="auto"/>
          </w:tcPr>
          <w:p w14:paraId="2CE5F28B" w14:textId="58872EF9" w:rsidR="007752CB" w:rsidRPr="007752CB" w:rsidRDefault="007752CB" w:rsidP="00214CAA">
            <w:pPr>
              <w:pStyle w:val="DHHStabletext"/>
            </w:pPr>
            <w:r>
              <w:t>Oesophageal</w:t>
            </w:r>
          </w:p>
        </w:tc>
        <w:tc>
          <w:tcPr>
            <w:tcW w:w="2620" w:type="dxa"/>
            <w:shd w:val="clear" w:color="auto" w:fill="auto"/>
          </w:tcPr>
          <w:p w14:paraId="0C967F63" w14:textId="1C3D9B8B" w:rsidR="007752CB" w:rsidRPr="007752CB" w:rsidRDefault="00D70E90" w:rsidP="00214CAA">
            <w:pPr>
              <w:pStyle w:val="DHHStabletext"/>
            </w:pPr>
            <w:r>
              <w:t>10/23</w:t>
            </w:r>
          </w:p>
        </w:tc>
        <w:tc>
          <w:tcPr>
            <w:tcW w:w="2620" w:type="dxa"/>
            <w:shd w:val="clear" w:color="auto" w:fill="auto"/>
          </w:tcPr>
          <w:p w14:paraId="04A1B7FC" w14:textId="317501DF" w:rsidR="007752CB" w:rsidRPr="007752CB" w:rsidRDefault="00D70E90" w:rsidP="00214CAA">
            <w:pPr>
              <w:pStyle w:val="DHHStabletext"/>
            </w:pPr>
            <w:r>
              <w:t>10/23</w:t>
            </w:r>
          </w:p>
        </w:tc>
        <w:tc>
          <w:tcPr>
            <w:tcW w:w="2620" w:type="dxa"/>
            <w:shd w:val="clear" w:color="auto" w:fill="auto"/>
          </w:tcPr>
          <w:p w14:paraId="4B1BE8CE" w14:textId="0FF343C2" w:rsidR="007752CB" w:rsidRPr="007752CB" w:rsidRDefault="00D70E90" w:rsidP="00214CAA">
            <w:pPr>
              <w:pStyle w:val="DHHStabletext"/>
            </w:pPr>
            <w:r>
              <w:t>12/24</w:t>
            </w:r>
          </w:p>
        </w:tc>
      </w:tr>
    </w:tbl>
    <w:p w14:paraId="10FCA5E5" w14:textId="77777777" w:rsidR="007752CB" w:rsidRDefault="007752CB" w:rsidP="006C24CC">
      <w:pPr>
        <w:ind w:left="-90"/>
        <w:rPr>
          <w:rFonts w:ascii="Arial" w:hAnsi="Arial" w:cs="Arial"/>
          <w:i/>
          <w:sz w:val="18"/>
          <w:szCs w:val="18"/>
        </w:rPr>
      </w:pPr>
    </w:p>
    <w:p w14:paraId="5F6E1981" w14:textId="5521E936" w:rsidR="00F969FE" w:rsidRDefault="00381B1F" w:rsidP="00795504">
      <w:pPr>
        <w:pStyle w:val="DHHStablefigurenote"/>
      </w:pPr>
      <w:r w:rsidRPr="00381B1F">
        <w:t xml:space="preserve">Source: </w:t>
      </w:r>
      <w:r w:rsidR="00F969FE" w:rsidRPr="00381B1F">
        <w:t xml:space="preserve">Surgical data sourced from </w:t>
      </w:r>
      <w:r w:rsidR="00BE4982" w:rsidRPr="00381B1F">
        <w:t>the Victorian</w:t>
      </w:r>
      <w:r w:rsidRPr="00381B1F">
        <w:t xml:space="preserve"> Admitted Episodes Dataset (VAED) </w:t>
      </w:r>
    </w:p>
    <w:p w14:paraId="74CF2B4C" w14:textId="08912E96" w:rsidR="006C24CC" w:rsidRPr="006C24CC" w:rsidRDefault="006C24CC" w:rsidP="00795504">
      <w:pPr>
        <w:pStyle w:val="DHHStablefigurenote"/>
      </w:pPr>
      <w:r>
        <w:t>Note</w:t>
      </w:r>
      <w:r w:rsidR="00917023">
        <w:t>s</w:t>
      </w:r>
      <w:r>
        <w:t>:</w:t>
      </w:r>
    </w:p>
    <w:p w14:paraId="138ED584" w14:textId="40830E98" w:rsidR="00923D85" w:rsidRPr="00780EA8" w:rsidRDefault="006C24CC" w:rsidP="00795504">
      <w:pPr>
        <w:pStyle w:val="DHHStablefigurenote"/>
      </w:pPr>
      <w:r w:rsidRPr="006C24CC">
        <w:t xml:space="preserve">Hospital </w:t>
      </w:r>
      <w:r w:rsidR="005857DA">
        <w:t xml:space="preserve">surgical </w:t>
      </w:r>
      <w:r w:rsidRPr="006C24CC">
        <w:t>volumes were calculated using admissions from the</w:t>
      </w:r>
      <w:r w:rsidR="00CA4486">
        <w:t xml:space="preserve"> </w:t>
      </w:r>
      <w:r w:rsidRPr="006C24CC">
        <w:t xml:space="preserve">VAED; all </w:t>
      </w:r>
      <w:r w:rsidR="00342BB2" w:rsidRPr="006C24CC">
        <w:t>oesophagostomies</w:t>
      </w:r>
      <w:r w:rsidRPr="006C24CC">
        <w:t xml:space="preserve">/pancreatectomies </w:t>
      </w:r>
      <w:r w:rsidR="002C0F8D">
        <w:t xml:space="preserve">for cancer and non-cancer patients </w:t>
      </w:r>
      <w:r w:rsidRPr="006C24CC">
        <w:t>were</w:t>
      </w:r>
      <w:r w:rsidR="002C0F8D">
        <w:t xml:space="preserve"> included</w:t>
      </w:r>
      <w:r w:rsidRPr="006C24CC">
        <w:t xml:space="preserve">. </w:t>
      </w:r>
    </w:p>
    <w:p w14:paraId="00D7620B" w14:textId="5CD4486A" w:rsidR="00923D85" w:rsidRPr="00780EA8" w:rsidRDefault="006C24CC" w:rsidP="00795504">
      <w:pPr>
        <w:pStyle w:val="DHHStablefigurenote"/>
      </w:pPr>
      <w:r w:rsidRPr="006C24CC">
        <w:t xml:space="preserve">Admissions spanned a </w:t>
      </w:r>
      <w:r w:rsidR="002677DD">
        <w:t>two</w:t>
      </w:r>
      <w:r>
        <w:t>-</w:t>
      </w:r>
      <w:r w:rsidRPr="006C24CC">
        <w:t>year interval (</w:t>
      </w:r>
      <w:r w:rsidR="00FE5521">
        <w:t>for example,</w:t>
      </w:r>
      <w:r w:rsidRPr="006C24CC">
        <w:t> if the year of interest is 2016, surgeries from across 2015</w:t>
      </w:r>
      <w:r w:rsidR="002677DD">
        <w:t>–</w:t>
      </w:r>
      <w:r w:rsidRPr="006C24CC">
        <w:t>2016 will be included).</w:t>
      </w:r>
    </w:p>
    <w:p w14:paraId="4EE58589" w14:textId="4A235B28" w:rsidR="006C24CC" w:rsidRPr="006C24CC" w:rsidRDefault="006C24CC" w:rsidP="00795504">
      <w:pPr>
        <w:pStyle w:val="DHHStablefigurenote"/>
      </w:pPr>
      <w:r w:rsidRPr="006C24CC">
        <w:t xml:space="preserve">The proportion for oesophagectomies was calculated by restricting the dataset to those admissions where both an oesophagectomy surgery code was present </w:t>
      </w:r>
      <w:r w:rsidR="00917023" w:rsidRPr="00476D42">
        <w:rPr>
          <w:b/>
          <w:bCs/>
        </w:rPr>
        <w:t>and</w:t>
      </w:r>
      <w:r w:rsidR="00917023" w:rsidRPr="006C24CC">
        <w:t xml:space="preserve"> </w:t>
      </w:r>
      <w:r w:rsidRPr="006C24CC">
        <w:t>a</w:t>
      </w:r>
      <w:r w:rsidR="00D43881">
        <w:t>n</w:t>
      </w:r>
      <w:r w:rsidRPr="006C24CC">
        <w:t xml:space="preserve"> oesophagus/stomach cancer diagnosis code was present.</w:t>
      </w:r>
      <w:r w:rsidR="00F908C6">
        <w:t xml:space="preserve"> </w:t>
      </w:r>
      <w:r w:rsidRPr="006C24CC">
        <w:t>Similarly, the proportion for pancreatectomies was calculated by restricting the dataset to those admissions where both a pancreatectomy surgery code was present</w:t>
      </w:r>
      <w:r w:rsidR="00CF636B">
        <w:t>,</w:t>
      </w:r>
      <w:r w:rsidRPr="006C24CC">
        <w:t xml:space="preserve"> </w:t>
      </w:r>
      <w:r w:rsidR="00917023" w:rsidRPr="00476D42">
        <w:rPr>
          <w:b/>
          <w:bCs/>
        </w:rPr>
        <w:t>and</w:t>
      </w:r>
      <w:r w:rsidR="00917023" w:rsidRPr="006C24CC">
        <w:t xml:space="preserve"> </w:t>
      </w:r>
      <w:r w:rsidRPr="006C24CC">
        <w:t>a pancreatic cancer diagnosis code was present in one of the 40 VAED diagnosis codes (C25).</w:t>
      </w:r>
    </w:p>
    <w:p w14:paraId="7CD3CC98" w14:textId="77777777" w:rsidR="00EA3932" w:rsidRDefault="00EA3932">
      <w:pPr>
        <w:rPr>
          <w:rFonts w:ascii="Arial" w:eastAsia="MS Mincho" w:hAnsi="Arial"/>
          <w:b/>
          <w:bCs/>
        </w:rPr>
      </w:pPr>
      <w:r>
        <w:br w:type="page"/>
      </w:r>
    </w:p>
    <w:p w14:paraId="11F16353" w14:textId="08E964FC" w:rsidR="006D128C" w:rsidRPr="006D128C" w:rsidRDefault="006D128C" w:rsidP="00940E89">
      <w:pPr>
        <w:pStyle w:val="Heading4"/>
        <w:spacing w:before="0" w:line="270" w:lineRule="atLeast"/>
        <w:rPr>
          <w:lang w:eastAsia="en-AU"/>
        </w:rPr>
      </w:pPr>
      <w:r>
        <w:rPr>
          <w:lang w:eastAsia="en-AU"/>
        </w:rPr>
        <w:lastRenderedPageBreak/>
        <w:t>Measure assessment</w:t>
      </w:r>
    </w:p>
    <w:p w14:paraId="5A1F96CF" w14:textId="2EF25F49" w:rsidR="00EA3932" w:rsidRPr="00940E89" w:rsidRDefault="006D128C" w:rsidP="00940E89">
      <w:pPr>
        <w:autoSpaceDE w:val="0"/>
        <w:autoSpaceDN w:val="0"/>
        <w:adjustRightInd w:val="0"/>
        <w:spacing w:after="120" w:line="270" w:lineRule="atLeast"/>
        <w:rPr>
          <w:rFonts w:ascii="Arial" w:hAnsi="Arial" w:cs="Arial"/>
          <w:color w:val="C5511A"/>
        </w:rPr>
      </w:pPr>
      <w:r w:rsidRPr="0046018A">
        <w:rPr>
          <w:rFonts w:ascii="Arial" w:hAnsi="Arial" w:cs="Arial"/>
        </w:rPr>
        <w:t xml:space="preserve">Traffic light rating: </w:t>
      </w:r>
      <w:r w:rsidR="0046018A" w:rsidRPr="00EA3932">
        <w:rPr>
          <w:rFonts w:ascii="Arial" w:hAnsi="Arial" w:cs="Arial"/>
          <w:b/>
          <w:color w:val="C5511A"/>
        </w:rPr>
        <w:t>Amber</w:t>
      </w:r>
      <w:r w:rsidR="00EA3932">
        <w:rPr>
          <w:rFonts w:ascii="Arial" w:hAnsi="Arial" w:cs="Arial"/>
          <w:b/>
          <w:color w:val="C5511A"/>
        </w:rPr>
        <w:t xml:space="preserve"> </w:t>
      </w:r>
      <w:r w:rsidR="00EA3932" w:rsidRPr="00EA3932">
        <w:rPr>
          <w:rFonts w:ascii="Arial" w:hAnsi="Arial" w:cs="Arial"/>
          <w:color w:val="C5511A"/>
        </w:rPr>
        <w:t>(desired result not yet evident)</w:t>
      </w:r>
    </w:p>
    <w:p w14:paraId="01981857" w14:textId="3F8C9E42" w:rsidR="006D128C" w:rsidRPr="0097280A" w:rsidRDefault="006D128C" w:rsidP="00940E89">
      <w:pPr>
        <w:spacing w:after="120" w:line="270" w:lineRule="atLeast"/>
        <w:rPr>
          <w:rFonts w:ascii="Arial" w:hAnsi="Arial" w:cs="Arial"/>
        </w:rPr>
      </w:pPr>
      <w:r w:rsidRPr="00724030">
        <w:rPr>
          <w:rFonts w:ascii="Arial" w:hAnsi="Arial" w:cs="Arial"/>
        </w:rPr>
        <w:t xml:space="preserve">Overall trend: </w:t>
      </w:r>
      <w:r w:rsidR="0046018A" w:rsidRPr="00724030">
        <w:rPr>
          <w:rFonts w:ascii="Arial" w:hAnsi="Arial" w:cs="Arial"/>
        </w:rPr>
        <w:t>Static or unchanging</w:t>
      </w:r>
    </w:p>
    <w:p w14:paraId="4D9F70E5" w14:textId="1CE22B3D" w:rsidR="00A81854" w:rsidRPr="00A81854" w:rsidRDefault="00663A60" w:rsidP="00940E89">
      <w:pPr>
        <w:spacing w:after="120" w:line="270" w:lineRule="atLeast"/>
        <w:rPr>
          <w:rFonts w:ascii="Arial" w:hAnsi="Arial" w:cs="Arial"/>
        </w:rPr>
      </w:pPr>
      <w:r w:rsidRPr="00A81854">
        <w:rPr>
          <w:rFonts w:ascii="Arial" w:hAnsi="Arial" w:cs="Arial"/>
        </w:rPr>
        <w:t xml:space="preserve">Commentary: </w:t>
      </w:r>
      <w:r w:rsidR="008240E7" w:rsidRPr="00A81854">
        <w:rPr>
          <w:rFonts w:ascii="Arial" w:hAnsi="Arial" w:cs="Arial"/>
        </w:rPr>
        <w:t>Surgical procedures performed for pancreatic</w:t>
      </w:r>
      <w:r w:rsidR="00D7675A" w:rsidRPr="00A81854">
        <w:rPr>
          <w:rFonts w:ascii="Arial" w:hAnsi="Arial" w:cs="Arial"/>
        </w:rPr>
        <w:t xml:space="preserve"> and oesophageal cancers are examples of complex surgery. </w:t>
      </w:r>
      <w:r w:rsidR="00CB7EFA" w:rsidRPr="00A81854">
        <w:rPr>
          <w:rFonts w:ascii="Arial" w:hAnsi="Arial" w:cs="Arial"/>
        </w:rPr>
        <w:t>Evidence shows that people who require complex su</w:t>
      </w:r>
      <w:r w:rsidR="00184C7F" w:rsidRPr="00A81854">
        <w:rPr>
          <w:rFonts w:ascii="Arial" w:hAnsi="Arial" w:cs="Arial"/>
        </w:rPr>
        <w:t xml:space="preserve">rgery for </w:t>
      </w:r>
      <w:r w:rsidR="00D7675A" w:rsidRPr="00A81854">
        <w:rPr>
          <w:rFonts w:ascii="Arial" w:hAnsi="Arial" w:cs="Arial"/>
        </w:rPr>
        <w:t xml:space="preserve">these types of </w:t>
      </w:r>
      <w:r w:rsidR="00184C7F" w:rsidRPr="00A81854">
        <w:rPr>
          <w:rFonts w:ascii="Arial" w:hAnsi="Arial" w:cs="Arial"/>
        </w:rPr>
        <w:t xml:space="preserve">cancers </w:t>
      </w:r>
      <w:r w:rsidR="00E41B36" w:rsidRPr="00A81854">
        <w:rPr>
          <w:rFonts w:ascii="Arial" w:hAnsi="Arial" w:cs="Arial"/>
        </w:rPr>
        <w:t xml:space="preserve">are better to have this done at a hospital that </w:t>
      </w:r>
      <w:r w:rsidR="000B70A5" w:rsidRPr="00A81854">
        <w:rPr>
          <w:rFonts w:ascii="Arial" w:hAnsi="Arial" w:cs="Arial"/>
        </w:rPr>
        <w:t>performs</w:t>
      </w:r>
      <w:r w:rsidR="00E41B36" w:rsidRPr="00A81854">
        <w:rPr>
          <w:rFonts w:ascii="Arial" w:hAnsi="Arial" w:cs="Arial"/>
        </w:rPr>
        <w:t xml:space="preserve"> these procedures ofte</w:t>
      </w:r>
      <w:r w:rsidR="00815572" w:rsidRPr="00A81854">
        <w:rPr>
          <w:rFonts w:ascii="Arial" w:hAnsi="Arial" w:cs="Arial"/>
        </w:rPr>
        <w:t>n.</w:t>
      </w:r>
      <w:r w:rsidR="00815572" w:rsidRPr="00A81854">
        <w:rPr>
          <w:rStyle w:val="FootnoteReference"/>
          <w:rFonts w:cs="Arial"/>
        </w:rPr>
        <w:footnoteReference w:id="129"/>
      </w:r>
      <w:r w:rsidR="002677DD" w:rsidRPr="00342BB2">
        <w:rPr>
          <w:rFonts w:ascii="Arial" w:hAnsi="Arial" w:cs="Arial"/>
          <w:vertAlign w:val="superscript"/>
        </w:rPr>
        <w:t>,</w:t>
      </w:r>
      <w:r w:rsidR="00E802E3" w:rsidRPr="00A81854">
        <w:rPr>
          <w:rStyle w:val="FootnoteReference"/>
          <w:rFonts w:cs="Arial"/>
        </w:rPr>
        <w:footnoteReference w:id="130"/>
      </w:r>
      <w:r w:rsidR="00952FC7">
        <w:rPr>
          <w:rFonts w:ascii="Arial" w:hAnsi="Arial" w:cs="Arial"/>
        </w:rPr>
        <w:t xml:space="preserve"> </w:t>
      </w:r>
    </w:p>
    <w:p w14:paraId="32659A91" w14:textId="5D8B48BC" w:rsidR="00955D80" w:rsidRPr="00A81854" w:rsidRDefault="00253965" w:rsidP="00405635">
      <w:pPr>
        <w:spacing w:after="120" w:line="270" w:lineRule="atLeast"/>
        <w:rPr>
          <w:rFonts w:ascii="Arial" w:hAnsi="Arial" w:cs="Arial"/>
        </w:rPr>
      </w:pPr>
      <w:r w:rsidRPr="00A81854">
        <w:rPr>
          <w:rFonts w:ascii="Arial" w:hAnsi="Arial" w:cs="Arial"/>
        </w:rPr>
        <w:t xml:space="preserve">It is recommended that </w:t>
      </w:r>
      <w:r w:rsidR="008240E7" w:rsidRPr="00A81854">
        <w:rPr>
          <w:rFonts w:ascii="Arial" w:hAnsi="Arial" w:cs="Arial"/>
        </w:rPr>
        <w:t>hospitals treating people with these cancer types should perform a certain number of surgical resections each year.</w:t>
      </w:r>
      <w:r w:rsidR="00952FC7">
        <w:rPr>
          <w:rFonts w:ascii="Arial" w:hAnsi="Arial" w:cs="Arial"/>
        </w:rPr>
        <w:t xml:space="preserve"> </w:t>
      </w:r>
      <w:r w:rsidR="0086311C" w:rsidRPr="00A81854">
        <w:rPr>
          <w:rFonts w:ascii="Arial" w:hAnsi="Arial" w:cs="Arial"/>
        </w:rPr>
        <w:t xml:space="preserve">This is known as a ‘minimum suggested annual caseload’. </w:t>
      </w:r>
      <w:r w:rsidR="008240E7" w:rsidRPr="00A81854">
        <w:rPr>
          <w:rFonts w:ascii="Arial" w:hAnsi="Arial" w:cs="Arial"/>
        </w:rPr>
        <w:t xml:space="preserve">For </w:t>
      </w:r>
      <w:r w:rsidR="00F969FE" w:rsidRPr="00A81854">
        <w:rPr>
          <w:rFonts w:ascii="Arial" w:hAnsi="Arial" w:cs="Arial"/>
        </w:rPr>
        <w:t xml:space="preserve">volume, this measure is based on the New South </w:t>
      </w:r>
      <w:r w:rsidR="0086311C" w:rsidRPr="00A81854">
        <w:rPr>
          <w:rFonts w:ascii="Arial" w:hAnsi="Arial" w:cs="Arial"/>
        </w:rPr>
        <w:t>W</w:t>
      </w:r>
      <w:r w:rsidR="00F969FE" w:rsidRPr="00A81854">
        <w:rPr>
          <w:rFonts w:ascii="Arial" w:hAnsi="Arial" w:cs="Arial"/>
        </w:rPr>
        <w:t xml:space="preserve">ales </w:t>
      </w:r>
      <w:r w:rsidR="0086311C" w:rsidRPr="00A81854">
        <w:rPr>
          <w:rFonts w:ascii="Arial" w:hAnsi="Arial" w:cs="Arial"/>
        </w:rPr>
        <w:t>performance indicator for cancer surgeries</w:t>
      </w:r>
      <w:r w:rsidR="000B6357">
        <w:rPr>
          <w:rFonts w:ascii="Arial" w:hAnsi="Arial" w:cs="Arial"/>
        </w:rPr>
        <w:t>,</w:t>
      </w:r>
      <w:r w:rsidR="0086311C" w:rsidRPr="00A81854">
        <w:rPr>
          <w:rFonts w:ascii="Arial" w:hAnsi="Arial" w:cs="Arial"/>
        </w:rPr>
        <w:t xml:space="preserve"> which recommends the minimum suggested annual surgical caseload for a specialist centre is six procedures per year.</w:t>
      </w:r>
      <w:r w:rsidR="00726696">
        <w:rPr>
          <w:rStyle w:val="FootnoteReference"/>
          <w:rFonts w:cs="Arial"/>
        </w:rPr>
        <w:footnoteReference w:id="131"/>
      </w:r>
      <w:r w:rsidR="0086311C" w:rsidRPr="00A81854">
        <w:rPr>
          <w:rFonts w:ascii="Arial" w:hAnsi="Arial" w:cs="Arial"/>
        </w:rPr>
        <w:t xml:space="preserve"> </w:t>
      </w:r>
    </w:p>
    <w:p w14:paraId="4EDE3F5F" w14:textId="77777777" w:rsidR="00650387" w:rsidRDefault="003A39E5" w:rsidP="00405635">
      <w:pPr>
        <w:spacing w:after="120" w:line="270" w:lineRule="atLeast"/>
        <w:rPr>
          <w:rFonts w:ascii="Arial" w:hAnsi="Arial" w:cs="Arial"/>
        </w:rPr>
      </w:pPr>
      <w:r w:rsidRPr="00724030">
        <w:rPr>
          <w:rFonts w:ascii="Arial" w:hAnsi="Arial" w:cs="Arial"/>
        </w:rPr>
        <w:t xml:space="preserve">Figure </w:t>
      </w:r>
      <w:r w:rsidR="008B0EEC" w:rsidRPr="00724030">
        <w:rPr>
          <w:rFonts w:ascii="Arial" w:hAnsi="Arial" w:cs="Arial"/>
        </w:rPr>
        <w:t>12.6</w:t>
      </w:r>
      <w:r w:rsidRPr="00724030">
        <w:rPr>
          <w:rFonts w:ascii="Arial" w:hAnsi="Arial" w:cs="Arial"/>
        </w:rPr>
        <w:t xml:space="preserve"> show</w:t>
      </w:r>
      <w:r w:rsidR="008B0EEC" w:rsidRPr="00724030">
        <w:rPr>
          <w:rFonts w:ascii="Arial" w:hAnsi="Arial" w:cs="Arial"/>
        </w:rPr>
        <w:t>s</w:t>
      </w:r>
      <w:r w:rsidRPr="00724030">
        <w:rPr>
          <w:rFonts w:ascii="Arial" w:hAnsi="Arial" w:cs="Arial"/>
        </w:rPr>
        <w:t xml:space="preserve"> the proportion of resections for </w:t>
      </w:r>
      <w:r w:rsidR="008B0EEC" w:rsidRPr="00724030">
        <w:rPr>
          <w:rFonts w:ascii="Arial" w:hAnsi="Arial" w:cs="Arial"/>
        </w:rPr>
        <w:t>oesophageal and pancreatic cancers in Victorian</w:t>
      </w:r>
      <w:r w:rsidR="00C56B07" w:rsidRPr="00724030">
        <w:rPr>
          <w:rFonts w:ascii="Arial" w:hAnsi="Arial" w:cs="Arial"/>
        </w:rPr>
        <w:t xml:space="preserve"> </w:t>
      </w:r>
      <w:r w:rsidR="008B0EEC" w:rsidRPr="00724030">
        <w:rPr>
          <w:rFonts w:ascii="Arial" w:hAnsi="Arial" w:cs="Arial"/>
        </w:rPr>
        <w:t>hospitals (public and private) that performed these surgeries</w:t>
      </w:r>
      <w:r w:rsidR="0046018A" w:rsidRPr="00724030">
        <w:rPr>
          <w:rFonts w:ascii="Arial" w:hAnsi="Arial" w:cs="Arial"/>
        </w:rPr>
        <w:t xml:space="preserve"> across the state</w:t>
      </w:r>
      <w:r w:rsidR="00FA3F41" w:rsidRPr="00724030">
        <w:rPr>
          <w:rFonts w:ascii="Arial" w:hAnsi="Arial" w:cs="Arial"/>
        </w:rPr>
        <w:t xml:space="preserve"> above the minimum suggested annual caseloads.</w:t>
      </w:r>
      <w:r w:rsidR="00952FC7">
        <w:rPr>
          <w:rFonts w:ascii="Arial" w:hAnsi="Arial" w:cs="Arial"/>
        </w:rPr>
        <w:t xml:space="preserve"> </w:t>
      </w:r>
      <w:r w:rsidR="00FA3F41" w:rsidRPr="00724030">
        <w:rPr>
          <w:rFonts w:ascii="Arial" w:hAnsi="Arial" w:cs="Arial"/>
        </w:rPr>
        <w:t xml:space="preserve">It also shows the number of hospitals that performed these surgeries </w:t>
      </w:r>
      <w:r w:rsidR="004B52F9" w:rsidRPr="00724030">
        <w:rPr>
          <w:rFonts w:ascii="Arial" w:hAnsi="Arial" w:cs="Arial"/>
        </w:rPr>
        <w:t>between 2014 and 2016</w:t>
      </w:r>
      <w:r w:rsidR="000B6357">
        <w:rPr>
          <w:rFonts w:ascii="Arial" w:hAnsi="Arial" w:cs="Arial"/>
        </w:rPr>
        <w:t>,</w:t>
      </w:r>
      <w:r w:rsidR="00724030">
        <w:rPr>
          <w:rFonts w:ascii="Arial" w:hAnsi="Arial" w:cs="Arial"/>
        </w:rPr>
        <w:t xml:space="preserve"> with more pancreatic than oesophagectomy procedures reported</w:t>
      </w:r>
      <w:r w:rsidR="00FA3F41" w:rsidRPr="00724030">
        <w:rPr>
          <w:rFonts w:ascii="Arial" w:hAnsi="Arial" w:cs="Arial"/>
        </w:rPr>
        <w:t>.</w:t>
      </w:r>
      <w:r w:rsidR="00724030" w:rsidRPr="00724030">
        <w:rPr>
          <w:rFonts w:ascii="Arial" w:hAnsi="Arial" w:cs="Arial"/>
        </w:rPr>
        <w:t xml:space="preserve"> </w:t>
      </w:r>
      <w:r w:rsidR="00584F62">
        <w:rPr>
          <w:rFonts w:ascii="Arial" w:hAnsi="Arial" w:cs="Arial"/>
        </w:rPr>
        <w:t>No target has been set for this measure</w:t>
      </w:r>
      <w:r w:rsidR="00A5376B">
        <w:rPr>
          <w:rFonts w:ascii="Arial" w:hAnsi="Arial" w:cs="Arial"/>
        </w:rPr>
        <w:t>;</w:t>
      </w:r>
      <w:r w:rsidR="00584F62">
        <w:rPr>
          <w:rFonts w:ascii="Arial" w:hAnsi="Arial" w:cs="Arial"/>
        </w:rPr>
        <w:t xml:space="preserve"> however, </w:t>
      </w:r>
      <w:r w:rsidR="00486169">
        <w:rPr>
          <w:rFonts w:ascii="Arial" w:hAnsi="Arial" w:cs="Arial"/>
        </w:rPr>
        <w:t>there is emerging evidence for a need to consolidate services.</w:t>
      </w:r>
      <w:r w:rsidR="00486169">
        <w:rPr>
          <w:rStyle w:val="FootnoteReference"/>
          <w:rFonts w:cs="Arial"/>
        </w:rPr>
        <w:footnoteReference w:id="132"/>
      </w:r>
    </w:p>
    <w:p w14:paraId="2C35D15E" w14:textId="669B771B" w:rsidR="006D128C" w:rsidRPr="00650387" w:rsidRDefault="006D128C" w:rsidP="00650387">
      <w:pPr>
        <w:autoSpaceDE w:val="0"/>
        <w:autoSpaceDN w:val="0"/>
        <w:adjustRightInd w:val="0"/>
        <w:rPr>
          <w:rFonts w:ascii="Arial" w:hAnsi="Arial" w:cs="Arial"/>
          <w:sz w:val="16"/>
          <w:szCs w:val="16"/>
        </w:rPr>
      </w:pPr>
      <w:r>
        <w:br w:type="page"/>
      </w:r>
    </w:p>
    <w:p w14:paraId="7C0A0E33" w14:textId="2AEB9EBF" w:rsidR="00DF376C" w:rsidRDefault="00DF376C" w:rsidP="00DF376C">
      <w:pPr>
        <w:pStyle w:val="Heading3"/>
        <w:rPr>
          <w:lang w:eastAsia="en-AU"/>
        </w:rPr>
      </w:pPr>
      <w:bookmarkStart w:id="741" w:name="_Measure_12.7_–"/>
      <w:bookmarkStart w:id="742" w:name="_Toc19008140"/>
      <w:bookmarkEnd w:id="741"/>
      <w:r>
        <w:rPr>
          <w:lang w:eastAsia="en-AU"/>
        </w:rPr>
        <w:lastRenderedPageBreak/>
        <w:t>Measure 12.7 –</w:t>
      </w:r>
      <w:r w:rsidR="00FD52A4">
        <w:rPr>
          <w:lang w:eastAsia="en-AU"/>
        </w:rPr>
        <w:t xml:space="preserve"> Proportion of patients</w:t>
      </w:r>
      <w:r w:rsidR="00B52802">
        <w:rPr>
          <w:lang w:eastAsia="en-AU"/>
        </w:rPr>
        <w:t xml:space="preserve"> aged less than 40 years referred to fertility preservation treatment as part of their primary treatment</w:t>
      </w:r>
      <w:bookmarkEnd w:id="742"/>
    </w:p>
    <w:p w14:paraId="6FC2E842" w14:textId="3B7E7A0E" w:rsidR="00845304" w:rsidRPr="001A2A05" w:rsidRDefault="001162EB" w:rsidP="001A2A05">
      <w:pPr>
        <w:pStyle w:val="DHHSbody"/>
        <w:rPr>
          <w:lang w:eastAsia="en-AU"/>
        </w:rPr>
      </w:pPr>
      <w:r>
        <w:rPr>
          <w:lang w:eastAsia="en-AU"/>
        </w:rPr>
        <w:t>This measure will be reported in a future report. Refer to Appendix 1.</w:t>
      </w:r>
      <w:bookmarkStart w:id="743" w:name="_Hlk536692103"/>
      <w:r w:rsidR="00845304">
        <w:rPr>
          <w:lang w:eastAsia="en-AU"/>
        </w:rPr>
        <w:br w:type="page"/>
      </w:r>
    </w:p>
    <w:p w14:paraId="40EE4FB4" w14:textId="16E94EA1" w:rsidR="00DF376C" w:rsidRDefault="00DF376C" w:rsidP="00DF376C">
      <w:pPr>
        <w:pStyle w:val="Heading3"/>
        <w:rPr>
          <w:lang w:eastAsia="en-AU"/>
        </w:rPr>
      </w:pPr>
      <w:bookmarkStart w:id="744" w:name="_Measure_12.8_–"/>
      <w:bookmarkStart w:id="745" w:name="_Toc19008141"/>
      <w:bookmarkEnd w:id="744"/>
      <w:r>
        <w:rPr>
          <w:lang w:eastAsia="en-AU"/>
        </w:rPr>
        <w:lastRenderedPageBreak/>
        <w:t>Measure 12.8 –</w:t>
      </w:r>
      <w:r w:rsidR="00FD52A4">
        <w:rPr>
          <w:lang w:eastAsia="en-AU"/>
        </w:rPr>
        <w:t xml:space="preserve"> Proportion of admitted</w:t>
      </w:r>
      <w:r w:rsidR="004F5795">
        <w:rPr>
          <w:lang w:eastAsia="en-AU"/>
        </w:rPr>
        <w:t xml:space="preserve"> cancer </w:t>
      </w:r>
      <w:r w:rsidR="0016552D">
        <w:rPr>
          <w:lang w:eastAsia="en-AU"/>
        </w:rPr>
        <w:t xml:space="preserve">separations </w:t>
      </w:r>
      <w:r w:rsidR="0093018F">
        <w:rPr>
          <w:lang w:eastAsia="en-AU"/>
        </w:rPr>
        <w:t xml:space="preserve">with a </w:t>
      </w:r>
      <w:r w:rsidR="002677DD">
        <w:rPr>
          <w:lang w:eastAsia="en-AU"/>
        </w:rPr>
        <w:t>l</w:t>
      </w:r>
      <w:r w:rsidR="00330FBF">
        <w:rPr>
          <w:lang w:eastAsia="en-AU"/>
        </w:rPr>
        <w:t>ength of stay (</w:t>
      </w:r>
      <w:r w:rsidR="0093018F">
        <w:rPr>
          <w:lang w:eastAsia="en-AU"/>
        </w:rPr>
        <w:t>LOS</w:t>
      </w:r>
      <w:r w:rsidR="00330FBF">
        <w:rPr>
          <w:lang w:eastAsia="en-AU"/>
        </w:rPr>
        <w:t>)</w:t>
      </w:r>
      <w:r w:rsidR="0093018F">
        <w:rPr>
          <w:lang w:eastAsia="en-AU"/>
        </w:rPr>
        <w:t xml:space="preserve"> &gt; 1 who have been coded as having malnutrition</w:t>
      </w:r>
      <w:bookmarkEnd w:id="745"/>
    </w:p>
    <w:p w14:paraId="1E6BE9F5" w14:textId="33F346A1" w:rsidR="006D7D0C" w:rsidRPr="006D7D0C" w:rsidRDefault="006D7D0C" w:rsidP="00867A76">
      <w:pPr>
        <w:pStyle w:val="DHHSfigurecaption"/>
      </w:pPr>
      <w:bookmarkStart w:id="746" w:name="_Toc19008142"/>
      <w:bookmarkStart w:id="747" w:name="_Toc19008355"/>
      <w:bookmarkStart w:id="748" w:name="_Toc19008502"/>
      <w:bookmarkStart w:id="749" w:name="_Toc19008649"/>
      <w:bookmarkStart w:id="750" w:name="_Toc27414357"/>
      <w:r w:rsidRPr="006D7D0C">
        <w:t>Figure 12.8</w:t>
      </w:r>
      <w:r w:rsidR="002677DD">
        <w:t>:</w:t>
      </w:r>
      <w:r w:rsidRPr="006D7D0C">
        <w:t xml:space="preserve"> Proportion of admitted cancer separations with a LOS &gt; 1 who have been coded as having malnutrition</w:t>
      </w:r>
      <w:r w:rsidR="000B6357">
        <w:t>,</w:t>
      </w:r>
      <w:r w:rsidRPr="006D7D0C">
        <w:t xml:space="preserve"> by year, 2012</w:t>
      </w:r>
      <w:r w:rsidR="002677DD">
        <w:t>–</w:t>
      </w:r>
      <w:r w:rsidRPr="006D7D0C">
        <w:t>2017</w:t>
      </w:r>
      <w:bookmarkEnd w:id="746"/>
      <w:bookmarkEnd w:id="747"/>
      <w:bookmarkEnd w:id="748"/>
      <w:bookmarkEnd w:id="749"/>
      <w:bookmarkEnd w:id="750"/>
    </w:p>
    <w:p w14:paraId="6DD5A2C6" w14:textId="2A228565" w:rsidR="002914E3" w:rsidRDefault="00161F25" w:rsidP="002914E3">
      <w:pPr>
        <w:pStyle w:val="DHHSbody"/>
        <w:rPr>
          <w:lang w:eastAsia="en-AU"/>
        </w:rPr>
      </w:pPr>
      <w:r>
        <w:rPr>
          <w:noProof/>
          <w:lang w:eastAsia="en-AU"/>
        </w:rPr>
        <w:drawing>
          <wp:inline distT="0" distB="0" distL="0" distR="0" wp14:anchorId="2D10E29F" wp14:editId="02367753">
            <wp:extent cx="6743065" cy="3237230"/>
            <wp:effectExtent l="0" t="0" r="635" b="1270"/>
            <wp:docPr id="570" name="Picture 570" descr="This figure presents data under the 'Measure 12.8 – Proportion of admitted cancer separations with a length of stay (LOS) &gt; 1 who have been coded as having malnutrition' for the study period 2012 to 2017. Data labels are shown on this figure (bar grap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743065" cy="3237230"/>
                    </a:xfrm>
                    <a:prstGeom prst="rect">
                      <a:avLst/>
                    </a:prstGeom>
                    <a:noFill/>
                  </pic:spPr>
                </pic:pic>
              </a:graphicData>
            </a:graphic>
          </wp:inline>
        </w:drawing>
      </w:r>
    </w:p>
    <w:p w14:paraId="146CA7F4" w14:textId="77777777" w:rsidR="00172E68" w:rsidRPr="00035A52" w:rsidRDefault="00C43386" w:rsidP="004A5899">
      <w:pPr>
        <w:pStyle w:val="DHHStablefigurenote"/>
      </w:pPr>
      <w:r w:rsidRPr="00035A52">
        <w:t xml:space="preserve">Notes: </w:t>
      </w:r>
    </w:p>
    <w:p w14:paraId="6D2A7E9A" w14:textId="0F7A3C8D" w:rsidR="00C43386" w:rsidRPr="00035A52" w:rsidRDefault="00C43386" w:rsidP="004A5899">
      <w:pPr>
        <w:pStyle w:val="DHHStablefigurenote"/>
      </w:pPr>
      <w:r w:rsidRPr="00035A52">
        <w:t>The following ICD10 codes were used for flagging malnutrition:</w:t>
      </w:r>
      <w:r w:rsidR="00172E68" w:rsidRPr="00035A52">
        <w:t xml:space="preserve"> E43, E440, E441 and E46</w:t>
      </w:r>
      <w:r w:rsidR="00A5376B" w:rsidRPr="00035A52">
        <w:t>.</w:t>
      </w:r>
    </w:p>
    <w:p w14:paraId="690F11F4" w14:textId="77777777" w:rsidR="00C43386" w:rsidRPr="00172E68" w:rsidRDefault="00C43386" w:rsidP="004A5899">
      <w:pPr>
        <w:pStyle w:val="DHHStablefigurenote"/>
      </w:pPr>
      <w:r w:rsidRPr="00035A52">
        <w:t>Separations were assigned to years based on VAED separation date and not admission date</w:t>
      </w:r>
      <w:r w:rsidRPr="00172E68">
        <w:t>.</w:t>
      </w:r>
    </w:p>
    <w:p w14:paraId="11747CB8" w14:textId="77777777" w:rsidR="00B66B47" w:rsidRPr="00671C7A" w:rsidRDefault="00B66B47" w:rsidP="00B66B47">
      <w:pPr>
        <w:pStyle w:val="Heading4"/>
        <w:rPr>
          <w:lang w:eastAsia="en-AU"/>
        </w:rPr>
      </w:pPr>
      <w:r>
        <w:rPr>
          <w:lang w:eastAsia="en-AU"/>
        </w:rPr>
        <w:t>Measure assessment</w:t>
      </w:r>
    </w:p>
    <w:p w14:paraId="3CE14788" w14:textId="159937E5" w:rsidR="00B66B47" w:rsidRPr="00B03BE7" w:rsidRDefault="00B66B47" w:rsidP="00405635">
      <w:pPr>
        <w:spacing w:after="120" w:line="270" w:lineRule="atLeast"/>
        <w:rPr>
          <w:rFonts w:ascii="Arial" w:hAnsi="Arial" w:cs="Arial"/>
          <w:color w:val="C00000"/>
        </w:rPr>
      </w:pPr>
      <w:r w:rsidRPr="002914E3">
        <w:rPr>
          <w:rFonts w:ascii="Arial" w:hAnsi="Arial" w:cs="Arial"/>
        </w:rPr>
        <w:t xml:space="preserve">Traffic light rating: </w:t>
      </w:r>
      <w:r w:rsidR="0085456A" w:rsidRPr="00B03BE7">
        <w:rPr>
          <w:rFonts w:ascii="Arial" w:hAnsi="Arial" w:cs="Arial"/>
          <w:b/>
          <w:color w:val="C00000"/>
        </w:rPr>
        <w:t>Red</w:t>
      </w:r>
      <w:r w:rsidR="00B03BE7" w:rsidRPr="00B03BE7">
        <w:rPr>
          <w:rFonts w:ascii="Arial" w:hAnsi="Arial" w:cs="Arial"/>
          <w:color w:val="C00000"/>
        </w:rPr>
        <w:t xml:space="preserve"> (result is of concern)</w:t>
      </w:r>
    </w:p>
    <w:p w14:paraId="2981F816" w14:textId="5F719A54" w:rsidR="00B66B47" w:rsidRPr="00E827C0" w:rsidRDefault="00B66B47" w:rsidP="00405635">
      <w:pPr>
        <w:spacing w:after="120" w:line="270" w:lineRule="atLeast"/>
        <w:rPr>
          <w:rFonts w:ascii="Arial" w:hAnsi="Arial" w:cs="Arial"/>
          <w:b/>
        </w:rPr>
      </w:pPr>
      <w:r w:rsidRPr="00AF3DE1">
        <w:rPr>
          <w:rFonts w:ascii="Arial" w:hAnsi="Arial" w:cs="Arial"/>
        </w:rPr>
        <w:t>Overall trend:</w:t>
      </w:r>
      <w:r>
        <w:rPr>
          <w:rFonts w:ascii="Arial" w:hAnsi="Arial" w:cs="Arial"/>
        </w:rPr>
        <w:t xml:space="preserve"> </w:t>
      </w:r>
      <w:r w:rsidR="00AF3DE1">
        <w:rPr>
          <w:rFonts w:ascii="Arial" w:hAnsi="Arial" w:cs="Arial"/>
        </w:rPr>
        <w:t xml:space="preserve">Difficult to assess </w:t>
      </w:r>
      <w:r w:rsidR="00E54DC7">
        <w:rPr>
          <w:rFonts w:ascii="Arial" w:hAnsi="Arial" w:cs="Arial"/>
        </w:rPr>
        <w:t xml:space="preserve">because </w:t>
      </w:r>
      <w:r w:rsidR="00AF3DE1">
        <w:rPr>
          <w:rFonts w:ascii="Arial" w:hAnsi="Arial" w:cs="Arial"/>
        </w:rPr>
        <w:t>the coding may have changed over the years, which may account for some of the increase in malnutrition separations</w:t>
      </w:r>
      <w:r w:rsidR="005857DA">
        <w:rPr>
          <w:rFonts w:ascii="Arial" w:hAnsi="Arial" w:cs="Arial"/>
        </w:rPr>
        <w:t xml:space="preserve"> and less underreporting in recent years</w:t>
      </w:r>
    </w:p>
    <w:p w14:paraId="132BBB5C" w14:textId="540F8375" w:rsidR="00176EDB" w:rsidRDefault="00B66B47" w:rsidP="00405635">
      <w:pPr>
        <w:pStyle w:val="DHHSbody"/>
        <w:rPr>
          <w:rFonts w:cs="Arial"/>
          <w:lang w:val="en"/>
        </w:rPr>
      </w:pPr>
      <w:r w:rsidRPr="00E802E3">
        <w:rPr>
          <w:rFonts w:cs="Arial"/>
          <w:lang w:val="en"/>
        </w:rPr>
        <w:t xml:space="preserve">Commentary: </w:t>
      </w:r>
      <w:r w:rsidR="00D35448" w:rsidRPr="00E802E3">
        <w:rPr>
          <w:rFonts w:cs="Arial"/>
          <w:lang w:eastAsia="en-AU"/>
        </w:rPr>
        <w:t xml:space="preserve">Malnutrition </w:t>
      </w:r>
      <w:r w:rsidR="00E802E3" w:rsidRPr="00E802E3">
        <w:rPr>
          <w:rFonts w:cs="Arial"/>
          <w:lang w:eastAsia="en-AU"/>
        </w:rPr>
        <w:t xml:space="preserve">in cancer patients </w:t>
      </w:r>
      <w:r w:rsidR="00D35448" w:rsidRPr="00E802E3">
        <w:rPr>
          <w:rFonts w:cs="Arial"/>
          <w:lang w:eastAsia="en-AU"/>
        </w:rPr>
        <w:t xml:space="preserve">is associated with poorer outcomes </w:t>
      </w:r>
      <w:r w:rsidR="00E802E3" w:rsidRPr="00E802E3">
        <w:rPr>
          <w:rFonts w:cs="Arial"/>
          <w:lang w:eastAsia="en-AU"/>
        </w:rPr>
        <w:t xml:space="preserve">such as reduced response to treatments </w:t>
      </w:r>
      <w:r w:rsidR="00D35448" w:rsidRPr="00E802E3">
        <w:rPr>
          <w:rFonts w:cs="Arial"/>
          <w:lang w:eastAsia="en-AU"/>
        </w:rPr>
        <w:t>and increased healthcare costs as a result of increased complications, longer</w:t>
      </w:r>
      <w:r w:rsidR="006D7D0C">
        <w:rPr>
          <w:rFonts w:cs="Arial"/>
          <w:lang w:eastAsia="en-AU"/>
        </w:rPr>
        <w:t xml:space="preserve"> </w:t>
      </w:r>
      <w:r w:rsidR="00D35448" w:rsidRPr="00E802E3">
        <w:rPr>
          <w:rFonts w:cs="Arial"/>
          <w:lang w:eastAsia="en-AU"/>
        </w:rPr>
        <w:t>LOS and hospital admissions.</w:t>
      </w:r>
      <w:r w:rsidR="00D35448" w:rsidRPr="00E802E3">
        <w:rPr>
          <w:rStyle w:val="FootnoteReference"/>
          <w:rFonts w:cs="Arial"/>
          <w:lang w:eastAsia="en-AU"/>
        </w:rPr>
        <w:footnoteReference w:id="133"/>
      </w:r>
      <w:r w:rsidR="00D35448" w:rsidRPr="00E802E3">
        <w:rPr>
          <w:rFonts w:cs="Arial"/>
          <w:lang w:eastAsia="en-AU"/>
        </w:rPr>
        <w:t xml:space="preserve"> </w:t>
      </w:r>
      <w:r w:rsidR="00A4534D">
        <w:rPr>
          <w:rFonts w:cs="Arial"/>
          <w:lang w:val="en"/>
        </w:rPr>
        <w:t>P</w:t>
      </w:r>
      <w:r w:rsidRPr="00E802E3">
        <w:rPr>
          <w:rFonts w:cs="Arial"/>
          <w:lang w:val="en"/>
        </w:rPr>
        <w:t>reventi</w:t>
      </w:r>
      <w:r w:rsidR="00A4534D">
        <w:rPr>
          <w:rFonts w:cs="Arial"/>
          <w:lang w:val="en"/>
        </w:rPr>
        <w:t>ng</w:t>
      </w:r>
      <w:r w:rsidRPr="00E802E3">
        <w:rPr>
          <w:rFonts w:cs="Arial"/>
          <w:lang w:val="en"/>
        </w:rPr>
        <w:t xml:space="preserve"> and manag</w:t>
      </w:r>
      <w:r w:rsidR="00A4534D">
        <w:rPr>
          <w:rFonts w:cs="Arial"/>
          <w:lang w:val="en"/>
        </w:rPr>
        <w:t>ing</w:t>
      </w:r>
      <w:r w:rsidRPr="00E802E3">
        <w:rPr>
          <w:rFonts w:cs="Arial"/>
          <w:lang w:val="en"/>
        </w:rPr>
        <w:t xml:space="preserve"> malnutrition is increasingly being recognised as a significant element of cancer care</w:t>
      </w:r>
      <w:r w:rsidR="00A4534D">
        <w:rPr>
          <w:rFonts w:cs="Arial"/>
          <w:lang w:val="en"/>
        </w:rPr>
        <w:t>,</w:t>
      </w:r>
      <w:r w:rsidR="00935417" w:rsidRPr="00E802E3">
        <w:rPr>
          <w:rFonts w:cs="Arial"/>
          <w:lang w:val="en"/>
        </w:rPr>
        <w:t xml:space="preserve"> particularly </w:t>
      </w:r>
      <w:r w:rsidR="00A4534D">
        <w:rPr>
          <w:rFonts w:cs="Arial"/>
          <w:lang w:val="en"/>
        </w:rPr>
        <w:t xml:space="preserve">because </w:t>
      </w:r>
      <w:r w:rsidR="00221080" w:rsidRPr="00E802E3">
        <w:rPr>
          <w:rFonts w:cs="Arial"/>
          <w:lang w:val="en"/>
        </w:rPr>
        <w:t>malnutrition can occur in all tumour types and in all settings.</w:t>
      </w:r>
      <w:r w:rsidR="004403D8" w:rsidRPr="00E802E3">
        <w:rPr>
          <w:rStyle w:val="FootnoteReference"/>
          <w:rFonts w:cs="Arial"/>
          <w:lang w:val="en"/>
        </w:rPr>
        <w:footnoteReference w:id="134"/>
      </w:r>
      <w:r w:rsidR="00176EDB">
        <w:rPr>
          <w:rFonts w:cs="Arial"/>
          <w:lang w:val="en"/>
        </w:rPr>
        <w:t xml:space="preserve"> </w:t>
      </w:r>
      <w:r w:rsidR="0046411B">
        <w:rPr>
          <w:rFonts w:cs="Arial"/>
          <w:lang w:val="en"/>
        </w:rPr>
        <w:t>A</w:t>
      </w:r>
      <w:r w:rsidR="00176EDB">
        <w:rPr>
          <w:rFonts w:cs="Arial"/>
          <w:lang w:val="en"/>
        </w:rPr>
        <w:t xml:space="preserve"> </w:t>
      </w:r>
      <w:r w:rsidR="0046411B">
        <w:rPr>
          <w:rFonts w:cs="Arial"/>
          <w:lang w:val="en"/>
        </w:rPr>
        <w:t xml:space="preserve">multi-centre point prevalence </w:t>
      </w:r>
      <w:r w:rsidR="00176EDB">
        <w:rPr>
          <w:rFonts w:cs="Arial"/>
          <w:lang w:val="en"/>
        </w:rPr>
        <w:t>study</w:t>
      </w:r>
      <w:r w:rsidR="00E04AFC">
        <w:rPr>
          <w:rFonts w:cs="Arial"/>
          <w:lang w:val="en"/>
        </w:rPr>
        <w:t xml:space="preserve"> undertaken in 2012 and 2014</w:t>
      </w:r>
      <w:r w:rsidR="00176EDB">
        <w:rPr>
          <w:rFonts w:cs="Arial"/>
          <w:lang w:val="en"/>
        </w:rPr>
        <w:t xml:space="preserve"> </w:t>
      </w:r>
      <w:r w:rsidR="00E54DC7">
        <w:rPr>
          <w:rFonts w:cs="Arial"/>
          <w:lang w:val="en"/>
        </w:rPr>
        <w:t xml:space="preserve">that </w:t>
      </w:r>
      <w:r w:rsidR="00176EDB">
        <w:rPr>
          <w:rFonts w:cs="Arial"/>
          <w:lang w:val="en"/>
        </w:rPr>
        <w:t>investigated practices relat</w:t>
      </w:r>
      <w:r w:rsidR="0065615F">
        <w:rPr>
          <w:rFonts w:cs="Arial"/>
          <w:lang w:val="en"/>
        </w:rPr>
        <w:t>ing</w:t>
      </w:r>
      <w:r w:rsidR="00176EDB">
        <w:rPr>
          <w:rFonts w:cs="Arial"/>
          <w:lang w:val="en"/>
        </w:rPr>
        <w:t xml:space="preserve"> to malnutrition in Victorian cancer services </w:t>
      </w:r>
      <w:r w:rsidR="0046411B">
        <w:rPr>
          <w:rFonts w:cs="Arial"/>
          <w:lang w:val="en"/>
        </w:rPr>
        <w:t xml:space="preserve">researchers, </w:t>
      </w:r>
      <w:r w:rsidR="00176EDB">
        <w:rPr>
          <w:rFonts w:cs="Arial"/>
          <w:lang w:val="en"/>
        </w:rPr>
        <w:t xml:space="preserve">found that overall the </w:t>
      </w:r>
      <w:r w:rsidR="00176EDB" w:rsidRPr="00342BB2">
        <w:rPr>
          <w:rFonts w:cs="Arial"/>
          <w:lang w:val="en"/>
        </w:rPr>
        <w:t xml:space="preserve">prevalence of malnutrition was </w:t>
      </w:r>
      <w:r w:rsidR="0046411B">
        <w:rPr>
          <w:rFonts w:cs="Arial"/>
          <w:lang w:val="en"/>
        </w:rPr>
        <w:t>26</w:t>
      </w:r>
      <w:r w:rsidR="00176EDB" w:rsidRPr="00342BB2">
        <w:rPr>
          <w:rFonts w:cs="Arial"/>
          <w:lang w:val="en"/>
        </w:rPr>
        <w:t xml:space="preserve"> per cent</w:t>
      </w:r>
      <w:r w:rsidR="00176EDB">
        <w:rPr>
          <w:rFonts w:cs="Arial"/>
          <w:lang w:val="en"/>
        </w:rPr>
        <w:t xml:space="preserve"> </w:t>
      </w:r>
      <w:r w:rsidR="00176EDB">
        <w:rPr>
          <w:rFonts w:ascii="HelveticaNeueLT-Light" w:hAnsi="HelveticaNeueLT-Light" w:cs="HelveticaNeueLT-Light"/>
          <w:sz w:val="19"/>
          <w:szCs w:val="19"/>
          <w:lang w:eastAsia="en-AU"/>
        </w:rPr>
        <w:t>(</w:t>
      </w:r>
      <w:r w:rsidR="0046411B" w:rsidRPr="0046411B">
        <w:rPr>
          <w:rFonts w:ascii="HelveticaNeueLT-Light" w:hAnsi="HelveticaNeueLT-Light" w:cs="HelveticaNeueLT-Light"/>
          <w:iCs/>
          <w:sz w:val="19"/>
          <w:szCs w:val="19"/>
          <w:lang w:eastAsia="en-AU"/>
        </w:rPr>
        <w:t>501/1903</w:t>
      </w:r>
      <w:r w:rsidR="00176EDB">
        <w:rPr>
          <w:rFonts w:ascii="HelveticaNeueLT-Light" w:hAnsi="HelveticaNeueLT-Light" w:cs="HelveticaNeueLT-Light"/>
          <w:sz w:val="19"/>
          <w:szCs w:val="19"/>
          <w:lang w:eastAsia="en-AU"/>
        </w:rPr>
        <w:t>)</w:t>
      </w:r>
      <w:r w:rsidR="0046411B">
        <w:rPr>
          <w:rFonts w:ascii="HelveticaNeueLT-Light" w:hAnsi="HelveticaNeueLT-Light" w:cs="HelveticaNeueLT-Light"/>
          <w:sz w:val="19"/>
          <w:szCs w:val="19"/>
          <w:lang w:eastAsia="en-AU"/>
        </w:rPr>
        <w:t xml:space="preserve"> in 2014</w:t>
      </w:r>
      <w:r w:rsidR="00176EDB">
        <w:rPr>
          <w:rFonts w:ascii="HelveticaNeueLT-Light" w:hAnsi="HelveticaNeueLT-Light" w:cs="HelveticaNeueLT-Light"/>
          <w:sz w:val="19"/>
          <w:szCs w:val="19"/>
          <w:lang w:eastAsia="en-AU"/>
        </w:rPr>
        <w:t>.</w:t>
      </w:r>
      <w:r w:rsidR="00176EDB">
        <w:rPr>
          <w:rStyle w:val="FootnoteReference"/>
          <w:rFonts w:ascii="HelveticaNeueLT-Light" w:hAnsi="HelveticaNeueLT-Light" w:cs="HelveticaNeueLT-Light"/>
          <w:sz w:val="19"/>
          <w:szCs w:val="19"/>
          <w:lang w:eastAsia="en-AU"/>
        </w:rPr>
        <w:footnoteReference w:id="135"/>
      </w:r>
      <w:r w:rsidR="00884C95">
        <w:rPr>
          <w:rFonts w:ascii="HelveticaNeueLT-Light" w:hAnsi="HelveticaNeueLT-Light" w:cs="HelveticaNeueLT-Light"/>
          <w:sz w:val="19"/>
          <w:szCs w:val="19"/>
          <w:lang w:eastAsia="en-AU"/>
        </w:rPr>
        <w:t xml:space="preserve"> This figure decreased to 23 per cent in 2016</w:t>
      </w:r>
      <w:r w:rsidR="00030871">
        <w:rPr>
          <w:rFonts w:ascii="HelveticaNeueLT-Light" w:hAnsi="HelveticaNeueLT-Light" w:cs="HelveticaNeueLT-Light"/>
          <w:sz w:val="19"/>
          <w:szCs w:val="19"/>
          <w:lang w:eastAsia="en-AU"/>
        </w:rPr>
        <w:t xml:space="preserve"> (308/1340).</w:t>
      </w:r>
      <w:r w:rsidR="00030871">
        <w:rPr>
          <w:rStyle w:val="FootnoteReference"/>
          <w:rFonts w:cs="HelveticaNeueLT-Light"/>
          <w:sz w:val="19"/>
          <w:szCs w:val="19"/>
          <w:lang w:eastAsia="en-AU"/>
        </w:rPr>
        <w:footnoteReference w:id="136"/>
      </w:r>
    </w:p>
    <w:p w14:paraId="32EF4F85" w14:textId="28218F4F" w:rsidR="00D30E58" w:rsidRPr="00E33D47" w:rsidRDefault="004C5469" w:rsidP="00221080">
      <w:pPr>
        <w:pStyle w:val="DHHSbody"/>
        <w:rPr>
          <w:rFonts w:cs="Arial"/>
          <w:lang w:val="en"/>
        </w:rPr>
      </w:pPr>
      <w:r>
        <w:rPr>
          <w:rFonts w:cs="Arial"/>
          <w:lang w:val="en"/>
        </w:rPr>
        <w:t>Figure 12.8</w:t>
      </w:r>
      <w:r w:rsidR="005A6DBA">
        <w:rPr>
          <w:rFonts w:cs="Arial"/>
          <w:lang w:val="en"/>
        </w:rPr>
        <w:t xml:space="preserve"> shows that </w:t>
      </w:r>
      <w:r w:rsidR="0085456A">
        <w:rPr>
          <w:rFonts w:cs="Arial"/>
          <w:lang w:val="en"/>
        </w:rPr>
        <w:t xml:space="preserve">the proportion of cancer separations with a LOS greater than one day who have been coded as having malnutrition increased by </w:t>
      </w:r>
      <w:r w:rsidR="002677DD">
        <w:rPr>
          <w:rFonts w:cs="Arial"/>
          <w:lang w:val="en"/>
        </w:rPr>
        <w:t>four</w:t>
      </w:r>
      <w:r w:rsidR="0085456A">
        <w:rPr>
          <w:rFonts w:cs="Arial"/>
          <w:lang w:val="en"/>
        </w:rPr>
        <w:t xml:space="preserve"> per cent between 2012 and 2017.</w:t>
      </w:r>
      <w:r w:rsidR="00952FC7">
        <w:rPr>
          <w:rFonts w:cs="Arial"/>
          <w:lang w:val="en"/>
        </w:rPr>
        <w:t xml:space="preserve"> </w:t>
      </w:r>
      <w:r w:rsidR="00330AFB">
        <w:rPr>
          <w:rFonts w:cs="Arial"/>
          <w:lang w:val="en"/>
        </w:rPr>
        <w:t xml:space="preserve">Care should be taken in interpreting this </w:t>
      </w:r>
      <w:r w:rsidR="00F47E10">
        <w:rPr>
          <w:rFonts w:cs="Arial"/>
          <w:lang w:val="en"/>
        </w:rPr>
        <w:t>increase</w:t>
      </w:r>
      <w:r w:rsidR="00A4534D">
        <w:rPr>
          <w:rFonts w:cs="Arial"/>
          <w:lang w:val="en"/>
        </w:rPr>
        <w:t>,</w:t>
      </w:r>
      <w:r w:rsidR="00F47E10">
        <w:rPr>
          <w:rFonts w:cs="Arial"/>
          <w:lang w:val="en"/>
        </w:rPr>
        <w:t xml:space="preserve"> </w:t>
      </w:r>
      <w:r w:rsidR="00330AFB">
        <w:rPr>
          <w:rFonts w:cs="Arial"/>
          <w:lang w:val="en"/>
        </w:rPr>
        <w:t xml:space="preserve">which </w:t>
      </w:r>
      <w:r w:rsidR="00F47E10">
        <w:rPr>
          <w:rFonts w:cs="Arial"/>
          <w:lang w:val="en"/>
        </w:rPr>
        <w:t>may</w:t>
      </w:r>
      <w:r w:rsidR="00367FDA">
        <w:rPr>
          <w:rFonts w:cs="Arial"/>
          <w:lang w:val="en"/>
        </w:rPr>
        <w:t xml:space="preserve"> </w:t>
      </w:r>
      <w:r w:rsidR="00C03E99">
        <w:rPr>
          <w:rFonts w:cs="Arial"/>
          <w:lang w:val="en"/>
        </w:rPr>
        <w:t>be t</w:t>
      </w:r>
      <w:r w:rsidR="00367FDA">
        <w:rPr>
          <w:rFonts w:cs="Arial"/>
          <w:lang w:val="en"/>
        </w:rPr>
        <w:t>he result of malnutrition</w:t>
      </w:r>
      <w:r w:rsidR="00330AFB">
        <w:rPr>
          <w:rFonts w:cs="Arial"/>
          <w:lang w:val="en"/>
        </w:rPr>
        <w:t>,</w:t>
      </w:r>
      <w:r w:rsidR="00367FDA">
        <w:rPr>
          <w:rFonts w:cs="Arial"/>
          <w:lang w:val="en"/>
        </w:rPr>
        <w:t xml:space="preserve"> although the VAED coding</w:t>
      </w:r>
      <w:r w:rsidR="004370F1">
        <w:rPr>
          <w:rFonts w:cs="Arial"/>
          <w:lang w:val="en"/>
        </w:rPr>
        <w:t xml:space="preserve"> (which includes malnutrition)</w:t>
      </w:r>
      <w:r w:rsidR="004F3764">
        <w:rPr>
          <w:rFonts w:cs="Arial"/>
          <w:lang w:val="en"/>
        </w:rPr>
        <w:t>,</w:t>
      </w:r>
      <w:r w:rsidR="00367FDA">
        <w:rPr>
          <w:rFonts w:cs="Arial"/>
          <w:lang w:val="en"/>
        </w:rPr>
        <w:t xml:space="preserve"> </w:t>
      </w:r>
      <w:r w:rsidR="004F3764">
        <w:rPr>
          <w:rFonts w:cs="Arial"/>
          <w:lang w:val="en"/>
        </w:rPr>
        <w:t xml:space="preserve">still </w:t>
      </w:r>
      <w:r w:rsidR="00367FDA">
        <w:rPr>
          <w:rFonts w:cs="Arial"/>
          <w:lang w:val="en"/>
        </w:rPr>
        <w:t>ha</w:t>
      </w:r>
      <w:r w:rsidR="004370F1">
        <w:rPr>
          <w:rFonts w:cs="Arial"/>
          <w:lang w:val="en"/>
        </w:rPr>
        <w:t>s</w:t>
      </w:r>
      <w:r w:rsidR="00367FDA">
        <w:rPr>
          <w:rFonts w:cs="Arial"/>
          <w:lang w:val="en"/>
        </w:rPr>
        <w:t xml:space="preserve"> </w:t>
      </w:r>
      <w:r w:rsidR="008A30BB">
        <w:rPr>
          <w:rFonts w:cs="Arial"/>
          <w:lang w:val="en"/>
        </w:rPr>
        <w:t>significant</w:t>
      </w:r>
      <w:r w:rsidR="00367FDA">
        <w:rPr>
          <w:rFonts w:cs="Arial"/>
          <w:lang w:val="en"/>
        </w:rPr>
        <w:t xml:space="preserve"> </w:t>
      </w:r>
      <w:r w:rsidR="0007406C">
        <w:rPr>
          <w:rFonts w:cs="Arial"/>
          <w:lang w:val="en"/>
        </w:rPr>
        <w:t xml:space="preserve">issues </w:t>
      </w:r>
      <w:r w:rsidR="00367FDA">
        <w:rPr>
          <w:rFonts w:cs="Arial"/>
          <w:lang w:val="en"/>
        </w:rPr>
        <w:t>with data integrity</w:t>
      </w:r>
      <w:r w:rsidR="00A4534D">
        <w:rPr>
          <w:rFonts w:cs="Arial"/>
          <w:lang w:val="en"/>
        </w:rPr>
        <w:t>,</w:t>
      </w:r>
      <w:r w:rsidR="00367FDA">
        <w:rPr>
          <w:rFonts w:cs="Arial"/>
          <w:lang w:val="en"/>
        </w:rPr>
        <w:t xml:space="preserve"> which means that malnutrition is </w:t>
      </w:r>
      <w:r w:rsidR="004F3764">
        <w:rPr>
          <w:rFonts w:cs="Arial"/>
          <w:lang w:val="en"/>
        </w:rPr>
        <w:t xml:space="preserve">being </w:t>
      </w:r>
      <w:r w:rsidR="008A30BB">
        <w:rPr>
          <w:rFonts w:cs="Arial"/>
          <w:lang w:val="en"/>
        </w:rPr>
        <w:t>widely</w:t>
      </w:r>
      <w:r w:rsidR="00367FDA">
        <w:rPr>
          <w:rFonts w:cs="Arial"/>
          <w:lang w:val="en"/>
        </w:rPr>
        <w:t xml:space="preserve"> underreported in </w:t>
      </w:r>
      <w:r w:rsidR="0015403C">
        <w:rPr>
          <w:rFonts w:cs="Arial"/>
          <w:lang w:val="en"/>
        </w:rPr>
        <w:t xml:space="preserve">the </w:t>
      </w:r>
      <w:r w:rsidR="00367FDA">
        <w:rPr>
          <w:rFonts w:cs="Arial"/>
          <w:lang w:val="en"/>
        </w:rPr>
        <w:t>coding</w:t>
      </w:r>
      <w:r w:rsidR="004F3764">
        <w:rPr>
          <w:rFonts w:cs="Arial"/>
          <w:lang w:val="en"/>
        </w:rPr>
        <w:t>.</w:t>
      </w:r>
    </w:p>
    <w:p w14:paraId="652E5C81" w14:textId="29E22192" w:rsidR="00DF376C" w:rsidRDefault="00711B28" w:rsidP="00DF376C">
      <w:pPr>
        <w:pStyle w:val="Heading3"/>
        <w:rPr>
          <w:lang w:eastAsia="en-AU"/>
        </w:rPr>
      </w:pPr>
      <w:bookmarkStart w:id="751" w:name="_Measure_12.9_–"/>
      <w:bookmarkEnd w:id="743"/>
      <w:bookmarkEnd w:id="751"/>
      <w:r>
        <w:rPr>
          <w:lang w:eastAsia="en-AU"/>
        </w:rPr>
        <w:br w:type="page"/>
      </w:r>
      <w:bookmarkStart w:id="752" w:name="_Toc19008143"/>
      <w:r w:rsidR="00DF376C">
        <w:rPr>
          <w:lang w:eastAsia="en-AU"/>
        </w:rPr>
        <w:lastRenderedPageBreak/>
        <w:t>Measure 12.9 –</w:t>
      </w:r>
      <w:r w:rsidR="00FD52A4">
        <w:rPr>
          <w:lang w:eastAsia="en-AU"/>
        </w:rPr>
        <w:t xml:space="preserve"> Proportion of patients</w:t>
      </w:r>
      <w:r w:rsidR="004F5795">
        <w:rPr>
          <w:lang w:eastAsia="en-AU"/>
        </w:rPr>
        <w:t xml:space="preserve"> who reported being involved in the decisions about their care and treatment as much as they wanted to</w:t>
      </w:r>
      <w:bookmarkEnd w:id="752"/>
      <w:r w:rsidR="004F5795">
        <w:rPr>
          <w:lang w:eastAsia="en-AU"/>
        </w:rPr>
        <w:t xml:space="preserve"> </w:t>
      </w:r>
    </w:p>
    <w:p w14:paraId="632EA418" w14:textId="0C842354" w:rsidR="002F32FF" w:rsidRDefault="002F32FF" w:rsidP="00867A76">
      <w:pPr>
        <w:pStyle w:val="DHHSfigurecaption"/>
      </w:pPr>
      <w:bookmarkStart w:id="753" w:name="_Toc19008144"/>
      <w:bookmarkStart w:id="754" w:name="_Toc19008356"/>
      <w:bookmarkStart w:id="755" w:name="_Toc19008503"/>
      <w:bookmarkStart w:id="756" w:name="_Toc19008650"/>
      <w:bookmarkStart w:id="757" w:name="_Toc27414358"/>
      <w:r w:rsidRPr="009D227F">
        <w:t>Figure 12.9</w:t>
      </w:r>
      <w:r w:rsidR="002677DD">
        <w:t>:</w:t>
      </w:r>
      <w:r w:rsidR="00645774" w:rsidRPr="009D227F">
        <w:t xml:space="preserve"> Proportion of cancer patients who reported being involved in decisions a</w:t>
      </w:r>
      <w:r w:rsidR="008E6DB2" w:rsidRPr="009D227F">
        <w:t>bout their care and treatment as much as they wanted to</w:t>
      </w:r>
      <w:r w:rsidR="009D227F" w:rsidRPr="009D227F">
        <w:t xml:space="preserve"> in 2018</w:t>
      </w:r>
      <w:bookmarkEnd w:id="753"/>
      <w:bookmarkEnd w:id="754"/>
      <w:bookmarkEnd w:id="755"/>
      <w:bookmarkEnd w:id="756"/>
      <w:bookmarkEnd w:id="757"/>
    </w:p>
    <w:p w14:paraId="0BE26A4F" w14:textId="5261C9CD" w:rsidR="0047204A" w:rsidRPr="009D227F" w:rsidRDefault="00161F25" w:rsidP="00B64899">
      <w:pPr>
        <w:pStyle w:val="DHHSbody"/>
        <w:rPr>
          <w:b/>
          <w:lang w:eastAsia="en-AU"/>
        </w:rPr>
      </w:pPr>
      <w:r>
        <w:rPr>
          <w:b/>
          <w:noProof/>
          <w:lang w:eastAsia="en-AU"/>
        </w:rPr>
        <w:drawing>
          <wp:inline distT="0" distB="0" distL="0" distR="0" wp14:anchorId="50631DED" wp14:editId="55E72C29">
            <wp:extent cx="7020622" cy="2713220"/>
            <wp:effectExtent l="0" t="0" r="0" b="0"/>
            <wp:docPr id="571" name="Picture 571" descr="This figure presents data under the 'Measure 12.9 – Proportion of patients who reported being involved in the decisions about their care and treatment as much as they wanted to' for 2018. Data labels are shown on this figure (bar grap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7033446" cy="2718176"/>
                    </a:xfrm>
                    <a:prstGeom prst="rect">
                      <a:avLst/>
                    </a:prstGeom>
                    <a:noFill/>
                  </pic:spPr>
                </pic:pic>
              </a:graphicData>
            </a:graphic>
          </wp:inline>
        </w:drawing>
      </w:r>
    </w:p>
    <w:p w14:paraId="07473DD3" w14:textId="4F60C248" w:rsidR="00A1501B" w:rsidRDefault="00A1501B" w:rsidP="00A1501B">
      <w:pPr>
        <w:pStyle w:val="DHHSbody"/>
        <w:rPr>
          <w:lang w:eastAsia="en-AU"/>
        </w:rPr>
      </w:pPr>
    </w:p>
    <w:p w14:paraId="72192C19" w14:textId="449E969C" w:rsidR="008A5055" w:rsidRPr="00C17098" w:rsidRDefault="00CF135C" w:rsidP="004D47E0">
      <w:pPr>
        <w:pStyle w:val="DHHStablefigurenote"/>
        <w:rPr>
          <w:lang w:eastAsia="en-AU"/>
        </w:rPr>
      </w:pPr>
      <w:r>
        <w:t xml:space="preserve">Note: </w:t>
      </w:r>
      <w:r w:rsidR="00B030EB">
        <w:t>These responses relate to the question</w:t>
      </w:r>
      <w:r w:rsidR="00422837">
        <w:t>,</w:t>
      </w:r>
      <w:r w:rsidR="00A1501B" w:rsidRPr="00A1501B">
        <w:t xml:space="preserve"> </w:t>
      </w:r>
      <w:r w:rsidR="00422837">
        <w:t>‘</w:t>
      </w:r>
      <w:r w:rsidR="00A1501B" w:rsidRPr="00A1501B">
        <w:t>Were you involved as much as you wanted to be in decisions about your care and treatment?</w:t>
      </w:r>
      <w:r w:rsidR="00422837">
        <w:t xml:space="preserve">’ in the </w:t>
      </w:r>
      <w:r w:rsidR="00422837" w:rsidRPr="00342BB2">
        <w:t>Victorian Cancer Experience Patient Survey</w:t>
      </w:r>
      <w:r w:rsidR="00422837">
        <w:t>.</w:t>
      </w:r>
    </w:p>
    <w:p w14:paraId="7301F734" w14:textId="3FA9CCD7" w:rsidR="005453D2" w:rsidRPr="00671C7A" w:rsidRDefault="005453D2" w:rsidP="00984287">
      <w:pPr>
        <w:pStyle w:val="Heading4"/>
        <w:spacing w:before="0" w:line="270" w:lineRule="atLeast"/>
        <w:rPr>
          <w:lang w:eastAsia="en-AU"/>
        </w:rPr>
      </w:pPr>
      <w:r>
        <w:rPr>
          <w:lang w:eastAsia="en-AU"/>
        </w:rPr>
        <w:t>Measure assessment</w:t>
      </w:r>
    </w:p>
    <w:p w14:paraId="0D4A6981" w14:textId="09693F5A" w:rsidR="00026CF2" w:rsidRPr="00984287" w:rsidRDefault="005453D2" w:rsidP="00984287">
      <w:pPr>
        <w:autoSpaceDE w:val="0"/>
        <w:autoSpaceDN w:val="0"/>
        <w:adjustRightInd w:val="0"/>
        <w:spacing w:after="120" w:line="270" w:lineRule="atLeast"/>
        <w:rPr>
          <w:rFonts w:ascii="Arial" w:hAnsi="Arial" w:cs="Arial"/>
          <w:color w:val="C5511A"/>
        </w:rPr>
      </w:pPr>
      <w:r w:rsidRPr="00CA426D">
        <w:rPr>
          <w:rFonts w:ascii="Arial" w:hAnsi="Arial" w:cs="Arial"/>
        </w:rPr>
        <w:t xml:space="preserve">Traffic light rating: </w:t>
      </w:r>
      <w:r w:rsidR="00CA426D"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0E673256" w14:textId="176644C1" w:rsidR="005453D2" w:rsidRPr="0097280A" w:rsidRDefault="005453D2" w:rsidP="00984287">
      <w:pPr>
        <w:spacing w:after="120" w:line="270" w:lineRule="atLeast"/>
        <w:rPr>
          <w:rFonts w:ascii="Arial" w:hAnsi="Arial" w:cs="Arial"/>
          <w:b/>
        </w:rPr>
      </w:pPr>
      <w:r w:rsidRPr="00CA426D">
        <w:rPr>
          <w:rFonts w:ascii="Arial" w:hAnsi="Arial" w:cs="Arial"/>
        </w:rPr>
        <w:t>Overall trend:</w:t>
      </w:r>
      <w:r>
        <w:rPr>
          <w:rFonts w:ascii="Arial" w:hAnsi="Arial" w:cs="Arial"/>
        </w:rPr>
        <w:t xml:space="preserve"> </w:t>
      </w:r>
      <w:r w:rsidR="00CA426D">
        <w:rPr>
          <w:rFonts w:ascii="Arial" w:hAnsi="Arial" w:cs="Arial"/>
        </w:rPr>
        <w:t>Could not be calculated due to only one data point</w:t>
      </w:r>
    </w:p>
    <w:p w14:paraId="60FF16F5" w14:textId="234120B1" w:rsidR="00C17098" w:rsidRPr="00C17098" w:rsidRDefault="005453D2" w:rsidP="00984287">
      <w:pPr>
        <w:pStyle w:val="DHHSbody"/>
        <w:rPr>
          <w:rFonts w:cs="Arial"/>
          <w:lang w:eastAsia="en-AU"/>
        </w:rPr>
      </w:pPr>
      <w:r>
        <w:rPr>
          <w:rFonts w:cs="Arial"/>
          <w:lang w:eastAsia="en-AU"/>
        </w:rPr>
        <w:t>Commentary:</w:t>
      </w:r>
      <w:r w:rsidR="00952FC7">
        <w:rPr>
          <w:rFonts w:cs="Arial"/>
          <w:lang w:eastAsia="en-AU"/>
        </w:rPr>
        <w:t xml:space="preserve"> </w:t>
      </w:r>
      <w:r w:rsidR="00FB1E4E">
        <w:rPr>
          <w:rFonts w:cs="Arial"/>
          <w:lang w:eastAsia="en-AU"/>
        </w:rPr>
        <w:t>Shared decision</w:t>
      </w:r>
      <w:r w:rsidR="00A51C28">
        <w:rPr>
          <w:rFonts w:cs="Arial"/>
          <w:lang w:eastAsia="en-AU"/>
        </w:rPr>
        <w:t xml:space="preserve"> </w:t>
      </w:r>
      <w:r w:rsidR="00FB1E4E">
        <w:rPr>
          <w:rFonts w:cs="Arial"/>
          <w:lang w:eastAsia="en-AU"/>
        </w:rPr>
        <w:t>making is recognised as a key component of patient</w:t>
      </w:r>
      <w:r w:rsidR="00422837">
        <w:rPr>
          <w:rFonts w:cs="Arial"/>
          <w:lang w:eastAsia="en-AU"/>
        </w:rPr>
        <w:t>-</w:t>
      </w:r>
      <w:r w:rsidR="00FB1E4E">
        <w:rPr>
          <w:rFonts w:cs="Arial"/>
          <w:lang w:eastAsia="en-AU"/>
        </w:rPr>
        <w:t>centred care.</w:t>
      </w:r>
      <w:r w:rsidR="00461C6F">
        <w:rPr>
          <w:rStyle w:val="FootnoteReference"/>
          <w:rFonts w:cs="Arial"/>
          <w:lang w:eastAsia="en-AU"/>
        </w:rPr>
        <w:footnoteReference w:id="137"/>
      </w:r>
      <w:r w:rsidR="00461C6F">
        <w:rPr>
          <w:rFonts w:cs="Arial"/>
          <w:lang w:eastAsia="en-AU"/>
        </w:rPr>
        <w:t xml:space="preserve"> </w:t>
      </w:r>
      <w:r w:rsidR="00461C6F">
        <w:rPr>
          <w:lang w:val="en"/>
        </w:rPr>
        <w:t>Studies of shared decision</w:t>
      </w:r>
      <w:r w:rsidR="00A51C28">
        <w:rPr>
          <w:lang w:val="en"/>
        </w:rPr>
        <w:t xml:space="preserve"> </w:t>
      </w:r>
      <w:r w:rsidR="00461C6F">
        <w:rPr>
          <w:lang w:val="en"/>
        </w:rPr>
        <w:t>making in cancer patients have found that most patients prefer to play a role in treatment decisions.</w:t>
      </w:r>
      <w:r w:rsidR="00461C6F">
        <w:rPr>
          <w:rStyle w:val="FootnoteReference"/>
          <w:lang w:val="en"/>
        </w:rPr>
        <w:footnoteReference w:id="138"/>
      </w:r>
    </w:p>
    <w:p w14:paraId="1EE7708B" w14:textId="4A046E94" w:rsidR="00892380" w:rsidRPr="00892380" w:rsidRDefault="00C17098" w:rsidP="00342BB2">
      <w:pPr>
        <w:pStyle w:val="DHHSbody"/>
        <w:rPr>
          <w:lang w:eastAsia="en-AU"/>
        </w:rPr>
      </w:pPr>
      <w:r w:rsidRPr="00C17098">
        <w:rPr>
          <w:lang w:val="en-GB"/>
        </w:rPr>
        <w:t>A total of 3</w:t>
      </w:r>
      <w:r w:rsidR="006A5776">
        <w:rPr>
          <w:lang w:val="en-GB"/>
        </w:rPr>
        <w:t>,</w:t>
      </w:r>
      <w:r w:rsidRPr="00C17098">
        <w:rPr>
          <w:lang w:val="en-GB"/>
        </w:rPr>
        <w:t xml:space="preserve">916 people treated for cancer between January 2016 and March 2018 participated in the Victorian Cancer Experience Patient Survey </w:t>
      </w:r>
      <w:r w:rsidR="00A51C28">
        <w:rPr>
          <w:lang w:val="en-GB"/>
        </w:rPr>
        <w:t>in</w:t>
      </w:r>
      <w:r w:rsidR="00A51C28" w:rsidRPr="00C17098">
        <w:rPr>
          <w:lang w:val="en-GB"/>
        </w:rPr>
        <w:t xml:space="preserve"> </w:t>
      </w:r>
      <w:r w:rsidRPr="00C17098">
        <w:rPr>
          <w:lang w:val="en-GB"/>
        </w:rPr>
        <w:t xml:space="preserve">23 Victorian health services across eight ICS (excluding paediatrics). </w:t>
      </w:r>
      <w:r w:rsidRPr="00C17098">
        <w:rPr>
          <w:rFonts w:cs="Arial"/>
          <w:lang w:eastAsia="en-AU"/>
        </w:rPr>
        <w:t>This included 23 hospitals across the eight ICS (excluding paediatrics</w:t>
      </w:r>
      <w:r w:rsidR="00B3682A" w:rsidRPr="00C17098">
        <w:rPr>
          <w:rFonts w:cs="Arial"/>
          <w:lang w:eastAsia="en-AU"/>
        </w:rPr>
        <w:t>).</w:t>
      </w:r>
      <w:r w:rsidR="00B3682A" w:rsidRPr="00C17098">
        <w:rPr>
          <w:lang w:eastAsia="en-AU"/>
        </w:rPr>
        <w:t xml:space="preserve"> The</w:t>
      </w:r>
      <w:r w:rsidRPr="00C17098">
        <w:rPr>
          <w:lang w:eastAsia="en-AU"/>
        </w:rPr>
        <w:t xml:space="preserve"> proportion of patients who reported being involved in decisions about their cancer care and treatment was 2</w:t>
      </w:r>
      <w:r w:rsidR="00A51C28">
        <w:rPr>
          <w:lang w:eastAsia="en-AU"/>
        </w:rPr>
        <w:t>,</w:t>
      </w:r>
      <w:r w:rsidRPr="00C17098">
        <w:rPr>
          <w:lang w:eastAsia="en-AU"/>
        </w:rPr>
        <w:t>029.</w:t>
      </w:r>
      <w:r w:rsidR="00952FC7">
        <w:rPr>
          <w:lang w:eastAsia="en-AU"/>
        </w:rPr>
        <w:t xml:space="preserve"> </w:t>
      </w:r>
      <w:r>
        <w:rPr>
          <w:lang w:eastAsia="en-AU"/>
        </w:rPr>
        <w:t>A large percentage (77.4</w:t>
      </w:r>
      <w:r w:rsidR="005142EA">
        <w:rPr>
          <w:lang w:eastAsia="en-AU"/>
        </w:rPr>
        <w:t xml:space="preserve"> per cent</w:t>
      </w:r>
      <w:r>
        <w:rPr>
          <w:lang w:eastAsia="en-AU"/>
        </w:rPr>
        <w:t>) of patients reported they were definitely involved as much as they wanted to be in decisions about their care and treatment</w:t>
      </w:r>
      <w:r w:rsidR="00B87453">
        <w:rPr>
          <w:lang w:eastAsia="en-AU"/>
        </w:rPr>
        <w:t xml:space="preserve"> (Figure 12.9)</w:t>
      </w:r>
      <w:r>
        <w:rPr>
          <w:lang w:eastAsia="en-AU"/>
        </w:rPr>
        <w:t>.</w:t>
      </w:r>
    </w:p>
    <w:p w14:paraId="7EA95C76" w14:textId="5001EE15" w:rsidR="00C65AD3" w:rsidRPr="00954D98" w:rsidRDefault="00984E5E" w:rsidP="00892380">
      <w:pPr>
        <w:pStyle w:val="DHHSbody"/>
        <w:rPr>
          <w:rFonts w:cs="Arial"/>
          <w:lang w:eastAsia="en-AU"/>
        </w:rPr>
      </w:pPr>
      <w:r>
        <w:rPr>
          <w:rFonts w:cs="Arial"/>
          <w:lang w:eastAsia="en-AU"/>
        </w:rPr>
        <w:t xml:space="preserve">By comparison the statewide </w:t>
      </w:r>
      <w:r w:rsidRPr="002A07D6">
        <w:rPr>
          <w:rFonts w:cs="Arial"/>
          <w:lang w:val="en"/>
        </w:rPr>
        <w:t>Victorian Healthcare Experience Survey</w:t>
      </w:r>
      <w:r>
        <w:rPr>
          <w:rFonts w:cs="Arial"/>
          <w:lang w:val="en"/>
        </w:rPr>
        <w:t xml:space="preserve"> also captures </w:t>
      </w:r>
      <w:r w:rsidR="00F37275">
        <w:rPr>
          <w:rFonts w:cs="Arial"/>
          <w:lang w:val="en"/>
        </w:rPr>
        <w:t>patient experience information from users of the Victorian public health services</w:t>
      </w:r>
      <w:r w:rsidR="0048002E">
        <w:rPr>
          <w:rFonts w:cs="Arial"/>
          <w:lang w:val="en"/>
        </w:rPr>
        <w:t xml:space="preserve"> (</w:t>
      </w:r>
      <w:r w:rsidR="00B87453">
        <w:rPr>
          <w:rFonts w:cs="Arial"/>
          <w:lang w:val="en"/>
        </w:rPr>
        <w:t xml:space="preserve">including </w:t>
      </w:r>
      <w:r w:rsidR="0048002E">
        <w:rPr>
          <w:rFonts w:cs="Arial"/>
          <w:lang w:val="en"/>
        </w:rPr>
        <w:t>non-cancer</w:t>
      </w:r>
      <w:r w:rsidR="00D85960">
        <w:rPr>
          <w:rFonts w:cs="Arial"/>
          <w:lang w:val="en"/>
        </w:rPr>
        <w:t xml:space="preserve"> health services</w:t>
      </w:r>
      <w:r w:rsidR="0048002E">
        <w:rPr>
          <w:rFonts w:cs="Arial"/>
          <w:lang w:val="en"/>
        </w:rPr>
        <w:t>)</w:t>
      </w:r>
      <w:r w:rsidR="00EC2DBE">
        <w:rPr>
          <w:rFonts w:cs="Arial"/>
          <w:lang w:val="en"/>
        </w:rPr>
        <w:t>.</w:t>
      </w:r>
      <w:r w:rsidR="00EC2DBE">
        <w:rPr>
          <w:rFonts w:cs="Arial"/>
          <w:lang w:eastAsia="en-AU"/>
        </w:rPr>
        <w:t xml:space="preserve"> </w:t>
      </w:r>
      <w:r w:rsidR="002A07D6">
        <w:rPr>
          <w:rFonts w:cs="Arial"/>
          <w:lang w:val="en"/>
        </w:rPr>
        <w:t>In 2018</w:t>
      </w:r>
      <w:r w:rsidR="00424B41">
        <w:rPr>
          <w:rFonts w:cs="Arial"/>
          <w:lang w:val="en"/>
        </w:rPr>
        <w:t xml:space="preserve">, 76 per cent of people </w:t>
      </w:r>
      <w:r w:rsidR="00B84542">
        <w:rPr>
          <w:rFonts w:cs="Arial"/>
          <w:lang w:val="en"/>
        </w:rPr>
        <w:t>(</w:t>
      </w:r>
      <w:r w:rsidR="001D1768">
        <w:rPr>
          <w:rFonts w:cs="Arial"/>
          <w:lang w:val="en"/>
        </w:rPr>
        <w:t xml:space="preserve">75 per cent </w:t>
      </w:r>
      <w:r w:rsidR="00954D98">
        <w:rPr>
          <w:rFonts w:cs="Arial"/>
          <w:lang w:val="en"/>
        </w:rPr>
        <w:t xml:space="preserve">is the </w:t>
      </w:r>
      <w:r w:rsidR="00B84542">
        <w:rPr>
          <w:rFonts w:cs="Arial"/>
          <w:lang w:val="en"/>
        </w:rPr>
        <w:t xml:space="preserve">target) </w:t>
      </w:r>
      <w:r w:rsidR="00424B41">
        <w:rPr>
          <w:rFonts w:cs="Arial"/>
          <w:lang w:val="en"/>
        </w:rPr>
        <w:t xml:space="preserve">reported positive responses to </w:t>
      </w:r>
      <w:r w:rsidR="00B84542">
        <w:rPr>
          <w:rFonts w:cs="Arial"/>
          <w:lang w:val="en"/>
        </w:rPr>
        <w:t xml:space="preserve">questions </w:t>
      </w:r>
      <w:r w:rsidR="00A51C28">
        <w:rPr>
          <w:rFonts w:cs="Arial"/>
          <w:lang w:val="en"/>
        </w:rPr>
        <w:t>about</w:t>
      </w:r>
      <w:r w:rsidR="00B84542">
        <w:rPr>
          <w:rFonts w:cs="Arial"/>
          <w:lang w:val="en"/>
        </w:rPr>
        <w:t xml:space="preserve"> their treatment before discharge.</w:t>
      </w:r>
      <w:r w:rsidR="00952FC7">
        <w:rPr>
          <w:rFonts w:cs="Arial"/>
          <w:lang w:val="en"/>
        </w:rPr>
        <w:t xml:space="preserve"> </w:t>
      </w:r>
      <w:r w:rsidR="00EC2DBE">
        <w:rPr>
          <w:rFonts w:cs="Arial"/>
          <w:lang w:val="en"/>
        </w:rPr>
        <w:t>While no target has been set for this measure</w:t>
      </w:r>
      <w:r w:rsidR="00A51C28">
        <w:rPr>
          <w:rFonts w:cs="Arial"/>
          <w:lang w:val="en"/>
        </w:rPr>
        <w:t>,</w:t>
      </w:r>
      <w:r w:rsidR="00EC2DBE">
        <w:rPr>
          <w:rFonts w:cs="Arial"/>
          <w:lang w:val="en"/>
        </w:rPr>
        <w:t xml:space="preserve"> the fact that 77.4 per cent of patients reported being definitely involved in decisions about their care highlights </w:t>
      </w:r>
      <w:r w:rsidR="00954D98">
        <w:rPr>
          <w:rFonts w:cs="Arial"/>
          <w:lang w:val="en"/>
        </w:rPr>
        <w:t>consistency in the result with other similar surveys.</w:t>
      </w:r>
    </w:p>
    <w:p w14:paraId="2802B375" w14:textId="55C507C0" w:rsidR="005453D2" w:rsidRPr="00C17098" w:rsidRDefault="0065615F" w:rsidP="00405635">
      <w:pPr>
        <w:pStyle w:val="DHHSbody"/>
        <w:rPr>
          <w:lang w:val="en-GB"/>
        </w:rPr>
      </w:pPr>
      <w:r>
        <w:rPr>
          <w:rFonts w:cs="Arial"/>
          <w:lang w:eastAsia="en-AU"/>
        </w:rPr>
        <w:t>A</w:t>
      </w:r>
      <w:r w:rsidR="008C281C">
        <w:rPr>
          <w:rFonts w:cs="Arial"/>
          <w:lang w:eastAsia="en-AU"/>
        </w:rPr>
        <w:t xml:space="preserve">nother statewide survey will be conducted </w:t>
      </w:r>
      <w:r>
        <w:rPr>
          <w:rFonts w:cs="Arial"/>
          <w:lang w:eastAsia="en-AU"/>
        </w:rPr>
        <w:t xml:space="preserve">in 2019 </w:t>
      </w:r>
      <w:r w:rsidR="008C281C">
        <w:rPr>
          <w:rFonts w:cs="Arial"/>
          <w:lang w:eastAsia="en-AU"/>
        </w:rPr>
        <w:t>as part of the Victorian Cancer Patient Experience Survey.</w:t>
      </w:r>
    </w:p>
    <w:p w14:paraId="0AAB5B69" w14:textId="78246F2A" w:rsidR="000E6DBD" w:rsidRPr="000E6DBD" w:rsidRDefault="0092565D" w:rsidP="00405635">
      <w:pPr>
        <w:pStyle w:val="Heading3"/>
        <w:spacing w:before="0" w:line="270" w:lineRule="atLeast"/>
        <w:rPr>
          <w:lang w:eastAsia="en-AU"/>
        </w:rPr>
      </w:pPr>
      <w:bookmarkStart w:id="758" w:name="_Measure_12.10_–"/>
      <w:bookmarkEnd w:id="758"/>
      <w:r>
        <w:rPr>
          <w:lang w:eastAsia="en-AU"/>
        </w:rPr>
        <w:br w:type="page"/>
      </w:r>
      <w:bookmarkStart w:id="759" w:name="_Toc19008145"/>
      <w:r w:rsidR="00DF376C">
        <w:rPr>
          <w:lang w:eastAsia="en-AU"/>
        </w:rPr>
        <w:lastRenderedPageBreak/>
        <w:t>Measure 12.10 –</w:t>
      </w:r>
      <w:r w:rsidR="00FD52A4">
        <w:rPr>
          <w:lang w:eastAsia="en-AU"/>
        </w:rPr>
        <w:t xml:space="preserve"> Proportion of newly diagnosed patients with evidence of multidisciplinary treatment plan in the patient records</w:t>
      </w:r>
      <w:bookmarkEnd w:id="759"/>
    </w:p>
    <w:p w14:paraId="6EBFDCA7" w14:textId="3E8B89E6" w:rsidR="00DC22CB" w:rsidRDefault="004661A9" w:rsidP="00867A76">
      <w:pPr>
        <w:pStyle w:val="DHHSfigurecaption"/>
      </w:pPr>
      <w:bookmarkStart w:id="760" w:name="_Toc19008146"/>
      <w:bookmarkStart w:id="761" w:name="_Toc19008357"/>
      <w:bookmarkStart w:id="762" w:name="_Toc19008504"/>
      <w:bookmarkStart w:id="763" w:name="_Toc19008651"/>
      <w:bookmarkStart w:id="764" w:name="_Toc27414359"/>
      <w:r>
        <w:t>Figure 12.10</w:t>
      </w:r>
      <w:r w:rsidR="002677DD">
        <w:t>:</w:t>
      </w:r>
      <w:r w:rsidR="00513F5A" w:rsidRPr="000E6DBD">
        <w:t xml:space="preserve"> </w:t>
      </w:r>
      <w:r w:rsidR="00DC22CB">
        <w:t>Proportion of d</w:t>
      </w:r>
      <w:r w:rsidR="00B30E94" w:rsidRPr="000E6DBD">
        <w:t>ocumented evidence of multidisciplinary team recommendations</w:t>
      </w:r>
      <w:r w:rsidR="007876E4">
        <w:t>, 2014, 2015 and 2017</w:t>
      </w:r>
      <w:bookmarkEnd w:id="760"/>
      <w:bookmarkEnd w:id="761"/>
      <w:bookmarkEnd w:id="762"/>
      <w:bookmarkEnd w:id="763"/>
      <w:bookmarkEnd w:id="764"/>
    </w:p>
    <w:p w14:paraId="0157B197" w14:textId="5B353CF8" w:rsidR="00A8617A" w:rsidRPr="00907DC9" w:rsidRDefault="00161F25" w:rsidP="00907DC9">
      <w:pPr>
        <w:pStyle w:val="DHHSbody"/>
        <w:rPr>
          <w:rFonts w:cs="Arial"/>
          <w:lang w:eastAsia="en-AU"/>
        </w:rPr>
      </w:pPr>
      <w:r>
        <w:rPr>
          <w:rFonts w:cs="Arial"/>
          <w:noProof/>
          <w:lang w:eastAsia="en-AU"/>
        </w:rPr>
        <w:drawing>
          <wp:inline distT="0" distB="0" distL="0" distR="0" wp14:anchorId="4C2400CF" wp14:editId="38677999">
            <wp:extent cx="6743065" cy="3091180"/>
            <wp:effectExtent l="0" t="0" r="635" b="0"/>
            <wp:docPr id="572" name="Picture 572" descr="This figure presents data under the 'Measure 12.10 – Proportion of newly diagnosed patients with evidence of multidisciplinary treatment plan in the patient records' for 2014, 2015 and 2017. Data labels are shown on this figur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743065" cy="3091180"/>
                    </a:xfrm>
                    <a:prstGeom prst="rect">
                      <a:avLst/>
                    </a:prstGeom>
                    <a:noFill/>
                  </pic:spPr>
                </pic:pic>
              </a:graphicData>
            </a:graphic>
          </wp:inline>
        </w:drawing>
      </w:r>
    </w:p>
    <w:p w14:paraId="10A04389" w14:textId="4A86B4E8" w:rsidR="00057E3B" w:rsidRDefault="00057E3B" w:rsidP="004D47E0">
      <w:pPr>
        <w:pStyle w:val="DHHStablefigurenote"/>
      </w:pPr>
      <w:r w:rsidRPr="0092565D">
        <w:t xml:space="preserve">Source: </w:t>
      </w:r>
      <w:r>
        <w:t xml:space="preserve">Cancer Services Performance Indicators </w:t>
      </w:r>
      <w:r w:rsidR="002677DD">
        <w:t>–</w:t>
      </w:r>
      <w:r>
        <w:t xml:space="preserve"> 2017 audit (2018)</w:t>
      </w:r>
    </w:p>
    <w:p w14:paraId="445BC90B" w14:textId="4ED3496F" w:rsidR="007876E4" w:rsidRDefault="007876E4" w:rsidP="004D47E0">
      <w:pPr>
        <w:pStyle w:val="DHHStablefigurenote"/>
      </w:pPr>
      <w:r>
        <w:t xml:space="preserve">* There </w:t>
      </w:r>
      <w:r w:rsidR="0065615F">
        <w:t>are</w:t>
      </w:r>
      <w:r>
        <w:t xml:space="preserve"> no data for 2016.</w:t>
      </w:r>
    </w:p>
    <w:p w14:paraId="6F4BAA55" w14:textId="77777777" w:rsidR="0002267E" w:rsidRDefault="0002267E" w:rsidP="0002267E">
      <w:pPr>
        <w:rPr>
          <w:rFonts w:ascii="Arial" w:hAnsi="Arial" w:cs="Arial"/>
          <w:i/>
          <w:sz w:val="18"/>
          <w:szCs w:val="18"/>
        </w:rPr>
      </w:pPr>
    </w:p>
    <w:p w14:paraId="2E382A18" w14:textId="7F2A7107" w:rsidR="00DB576D" w:rsidRDefault="004661A9" w:rsidP="003847DD">
      <w:pPr>
        <w:pStyle w:val="Caption"/>
        <w:keepNext/>
        <w:rPr>
          <w:rFonts w:ascii="Arial" w:hAnsi="Arial" w:cs="Arial"/>
          <w:color w:val="auto"/>
          <w:sz w:val="20"/>
          <w:szCs w:val="20"/>
        </w:rPr>
      </w:pPr>
      <w:r>
        <w:rPr>
          <w:rFonts w:ascii="Arial" w:hAnsi="Arial" w:cs="Arial"/>
          <w:color w:val="auto"/>
          <w:sz w:val="20"/>
          <w:szCs w:val="20"/>
        </w:rPr>
        <w:t>Figure 12.10.1</w:t>
      </w:r>
      <w:r w:rsidR="002677DD">
        <w:rPr>
          <w:rFonts w:ascii="Arial" w:hAnsi="Arial" w:cs="Arial"/>
          <w:color w:val="auto"/>
          <w:sz w:val="20"/>
          <w:szCs w:val="20"/>
        </w:rPr>
        <w:t>:</w:t>
      </w:r>
      <w:r w:rsidR="00057E3B">
        <w:rPr>
          <w:rFonts w:ascii="Arial" w:hAnsi="Arial" w:cs="Arial"/>
          <w:color w:val="auto"/>
          <w:sz w:val="20"/>
          <w:szCs w:val="20"/>
        </w:rPr>
        <w:t xml:space="preserve"> </w:t>
      </w:r>
      <w:r w:rsidR="00A8617A">
        <w:rPr>
          <w:rFonts w:ascii="Arial" w:hAnsi="Arial" w:cs="Arial"/>
          <w:color w:val="auto"/>
          <w:sz w:val="20"/>
          <w:szCs w:val="20"/>
        </w:rPr>
        <w:t>P</w:t>
      </w:r>
      <w:r w:rsidR="00057E3B" w:rsidRPr="00057E3B">
        <w:rPr>
          <w:rFonts w:ascii="Arial" w:hAnsi="Arial" w:cs="Arial"/>
          <w:color w:val="auto"/>
          <w:sz w:val="20"/>
          <w:szCs w:val="20"/>
        </w:rPr>
        <w:t xml:space="preserve">ercentage of patients audited in 2017 with documented evidence of </w:t>
      </w:r>
      <w:r w:rsidR="007876E4" w:rsidRPr="00B42CA0">
        <w:rPr>
          <w:rFonts w:ascii="Arial" w:hAnsi="Arial" w:cs="Arial"/>
          <w:color w:val="auto"/>
          <w:sz w:val="20"/>
          <w:szCs w:val="20"/>
        </w:rPr>
        <w:t>multidisciplinary team</w:t>
      </w:r>
      <w:r w:rsidR="007876E4" w:rsidRPr="000E6DBD">
        <w:rPr>
          <w:rFonts w:cs="Arial"/>
          <w:b w:val="0"/>
        </w:rPr>
        <w:t xml:space="preserve"> </w:t>
      </w:r>
      <w:r w:rsidR="00057E3B" w:rsidRPr="00057E3B">
        <w:rPr>
          <w:rFonts w:ascii="Arial" w:hAnsi="Arial" w:cs="Arial"/>
          <w:color w:val="auto"/>
          <w:sz w:val="20"/>
          <w:szCs w:val="20"/>
        </w:rPr>
        <w:t>recommendations presented by ICS</w:t>
      </w:r>
      <w:r w:rsidR="005562AB">
        <w:rPr>
          <w:rFonts w:ascii="Arial" w:hAnsi="Arial" w:cs="Arial"/>
          <w:color w:val="auto"/>
          <w:sz w:val="20"/>
          <w:szCs w:val="20"/>
        </w:rPr>
        <w:t xml:space="preserve"> (all tumours streams combined)</w:t>
      </w:r>
    </w:p>
    <w:p w14:paraId="1A3F0930" w14:textId="6985E4F4" w:rsidR="00523E8E" w:rsidRPr="00523E8E" w:rsidRDefault="00161F25" w:rsidP="00523E8E">
      <w:r>
        <w:rPr>
          <w:noProof/>
        </w:rPr>
        <w:drawing>
          <wp:inline distT="0" distB="0" distL="0" distR="0" wp14:anchorId="6F301054" wp14:editId="12DD7EB0">
            <wp:extent cx="6724650" cy="3108960"/>
            <wp:effectExtent l="0" t="0" r="0" b="0"/>
            <wp:docPr id="573" name="Picture 573" descr="This figure presents data under the 'Measure 12.10 – Proportion of newly diagnosed patients with evidence of multidisciplinary treatment plan in the patient records' but specifically focuses on the percentage patients audited in 2017 with documented evidence of multidisciplinary team recommendations presented by ICS (all tumours streams combined). Data labels are shown on this figur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724650" cy="3108960"/>
                    </a:xfrm>
                    <a:prstGeom prst="rect">
                      <a:avLst/>
                    </a:prstGeom>
                    <a:noFill/>
                  </pic:spPr>
                </pic:pic>
              </a:graphicData>
            </a:graphic>
          </wp:inline>
        </w:drawing>
      </w:r>
    </w:p>
    <w:p w14:paraId="6F2D77F4" w14:textId="5B606124" w:rsidR="007555CA" w:rsidRDefault="007555CA" w:rsidP="00E2792D">
      <w:pPr>
        <w:spacing w:before="100" w:beforeAutospacing="1" w:after="100" w:afterAutospacing="1"/>
        <w:rPr>
          <w:rFonts w:ascii="Arial" w:hAnsi="Arial" w:cs="Arial"/>
          <w:i/>
          <w:sz w:val="18"/>
          <w:szCs w:val="18"/>
        </w:rPr>
      </w:pPr>
      <w:r w:rsidRPr="0092565D">
        <w:rPr>
          <w:rFonts w:ascii="Arial" w:hAnsi="Arial" w:cs="Arial"/>
          <w:i/>
          <w:sz w:val="18"/>
          <w:szCs w:val="18"/>
        </w:rPr>
        <w:t xml:space="preserve">Source: </w:t>
      </w:r>
      <w:r>
        <w:rPr>
          <w:rFonts w:ascii="Arial" w:hAnsi="Arial" w:cs="Arial"/>
          <w:i/>
          <w:sz w:val="18"/>
          <w:szCs w:val="18"/>
        </w:rPr>
        <w:t xml:space="preserve">Cancer Services Performance Indicators </w:t>
      </w:r>
      <w:r w:rsidR="002677DD">
        <w:rPr>
          <w:rFonts w:ascii="Arial" w:hAnsi="Arial" w:cs="Arial"/>
          <w:i/>
          <w:sz w:val="18"/>
          <w:szCs w:val="18"/>
        </w:rPr>
        <w:t>–</w:t>
      </w:r>
      <w:r>
        <w:rPr>
          <w:rFonts w:ascii="Arial" w:hAnsi="Arial" w:cs="Arial"/>
          <w:i/>
          <w:sz w:val="18"/>
          <w:szCs w:val="18"/>
        </w:rPr>
        <w:t xml:space="preserve"> 2017 audit (2018)</w:t>
      </w:r>
    </w:p>
    <w:p w14:paraId="72962345" w14:textId="7EC0CDEF" w:rsidR="00A16FE5" w:rsidRPr="00346013" w:rsidRDefault="004661A9" w:rsidP="00867A76">
      <w:pPr>
        <w:pStyle w:val="DHHSfigurecaption"/>
      </w:pPr>
      <w:bookmarkStart w:id="765" w:name="_Toc19008147"/>
      <w:bookmarkStart w:id="766" w:name="_Toc19008358"/>
      <w:bookmarkStart w:id="767" w:name="_Toc19008505"/>
      <w:bookmarkStart w:id="768" w:name="_Toc19008652"/>
      <w:bookmarkStart w:id="769" w:name="_Toc27414360"/>
      <w:r>
        <w:lastRenderedPageBreak/>
        <w:t>Figure 12.10.2</w:t>
      </w:r>
      <w:r w:rsidR="002677DD">
        <w:t>:</w:t>
      </w:r>
      <w:r>
        <w:t xml:space="preserve"> </w:t>
      </w:r>
      <w:r w:rsidR="00A8617A">
        <w:t>N</w:t>
      </w:r>
      <w:r w:rsidR="00742067" w:rsidRPr="00742067">
        <w:t xml:space="preserve">umber (and percentage) of audited patients who had documented evidence of </w:t>
      </w:r>
      <w:r w:rsidR="00B011F3" w:rsidRPr="002E6ECA">
        <w:t>multidisciplinary team</w:t>
      </w:r>
      <w:r w:rsidR="00B011F3" w:rsidRPr="000E6DBD">
        <w:t xml:space="preserve"> </w:t>
      </w:r>
      <w:r w:rsidR="00742067" w:rsidRPr="00742067">
        <w:t>presented by tumour stream</w:t>
      </w:r>
      <w:r w:rsidR="005562AB">
        <w:t xml:space="preserve"> (all </w:t>
      </w:r>
      <w:r w:rsidR="008439C8">
        <w:t>ICS</w:t>
      </w:r>
      <w:r w:rsidR="005562AB">
        <w:t>s combined) of Victorians diagnosed in 2017</w:t>
      </w:r>
      <w:bookmarkEnd w:id="765"/>
      <w:bookmarkEnd w:id="766"/>
      <w:bookmarkEnd w:id="767"/>
      <w:bookmarkEnd w:id="768"/>
      <w:bookmarkEnd w:id="769"/>
    </w:p>
    <w:p w14:paraId="35A51D9D" w14:textId="6217522E" w:rsidR="00742067" w:rsidRPr="00292D29" w:rsidRDefault="00161F25" w:rsidP="00E25EE9">
      <w:r>
        <w:rPr>
          <w:noProof/>
        </w:rPr>
        <w:drawing>
          <wp:inline distT="0" distB="0" distL="0" distR="0" wp14:anchorId="4D9D6F5C" wp14:editId="58E684A0">
            <wp:extent cx="6748780" cy="3523615"/>
            <wp:effectExtent l="0" t="0" r="0" b="635"/>
            <wp:docPr id="574" name="Picture 574" descr="This figure presents data under the 'Measure 12.10 – Proportion of newly diagnosed patients with evidence of multidisciplinary treatment plan in the patient records' but specifically focuses on the number (and percentage) of audited patients who had documented evidence of multidisciplinary team presented by tumour stream (all ICSs combined) of Victorians diagnosed in 2017. Data labels are shown on this figure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748780" cy="3523615"/>
                    </a:xfrm>
                    <a:prstGeom prst="rect">
                      <a:avLst/>
                    </a:prstGeom>
                    <a:noFill/>
                  </pic:spPr>
                </pic:pic>
              </a:graphicData>
            </a:graphic>
          </wp:inline>
        </w:drawing>
      </w:r>
    </w:p>
    <w:p w14:paraId="1A6DD3B3" w14:textId="45A95198" w:rsidR="0092565D" w:rsidRDefault="0092565D" w:rsidP="00795504">
      <w:pPr>
        <w:pStyle w:val="DHHStablefigurenote"/>
      </w:pPr>
      <w:r w:rsidRPr="0092565D">
        <w:t xml:space="preserve">Source: </w:t>
      </w:r>
      <w:r>
        <w:t xml:space="preserve">Cancer Services Performance Indicators </w:t>
      </w:r>
      <w:r w:rsidR="00A5376B">
        <w:t>–</w:t>
      </w:r>
      <w:r>
        <w:t xml:space="preserve"> 2017 audit </w:t>
      </w:r>
      <w:r w:rsidR="002F2EDE">
        <w:t>(2018)</w:t>
      </w:r>
    </w:p>
    <w:p w14:paraId="025F2E55" w14:textId="77777777" w:rsidR="002F2EDE" w:rsidRPr="00671C7A" w:rsidRDefault="002F2EDE" w:rsidP="00E827C0">
      <w:pPr>
        <w:pStyle w:val="Heading4"/>
        <w:spacing w:before="0" w:line="270" w:lineRule="atLeast"/>
        <w:rPr>
          <w:lang w:eastAsia="en-AU"/>
        </w:rPr>
      </w:pPr>
      <w:r>
        <w:rPr>
          <w:lang w:eastAsia="en-AU"/>
        </w:rPr>
        <w:t>Measure assessment</w:t>
      </w:r>
    </w:p>
    <w:p w14:paraId="3C20A0CF" w14:textId="31583990" w:rsidR="00026CF2" w:rsidRPr="00E827C0" w:rsidRDefault="002F2EDE" w:rsidP="00E827C0">
      <w:pPr>
        <w:autoSpaceDE w:val="0"/>
        <w:autoSpaceDN w:val="0"/>
        <w:adjustRightInd w:val="0"/>
        <w:spacing w:after="120" w:line="270" w:lineRule="atLeast"/>
        <w:rPr>
          <w:rFonts w:ascii="Arial" w:hAnsi="Arial" w:cs="Arial"/>
          <w:color w:val="C5511A"/>
        </w:rPr>
      </w:pPr>
      <w:r w:rsidRPr="008E7B2E">
        <w:rPr>
          <w:rFonts w:ascii="Arial" w:hAnsi="Arial" w:cs="Arial"/>
        </w:rPr>
        <w:t xml:space="preserve">Traffic light rating: </w:t>
      </w:r>
      <w:r w:rsidR="008E7B2E"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2C6D10F6" w14:textId="76C170AA" w:rsidR="002F2EDE" w:rsidRDefault="002F2EDE" w:rsidP="00E827C0">
      <w:pPr>
        <w:spacing w:after="120" w:line="270" w:lineRule="atLeast"/>
        <w:rPr>
          <w:rFonts w:ascii="Arial" w:hAnsi="Arial" w:cs="Arial"/>
        </w:rPr>
      </w:pPr>
      <w:r w:rsidRPr="002117C8">
        <w:rPr>
          <w:rFonts w:ascii="Arial" w:hAnsi="Arial" w:cs="Arial"/>
        </w:rPr>
        <w:t>Overall trend</w:t>
      </w:r>
      <w:r w:rsidR="008E7B2E" w:rsidRPr="002117C8">
        <w:rPr>
          <w:rFonts w:ascii="Arial" w:hAnsi="Arial" w:cs="Arial"/>
        </w:rPr>
        <w:t>:</w:t>
      </w:r>
      <w:r w:rsidR="002117C8" w:rsidRPr="002117C8">
        <w:rPr>
          <w:rFonts w:ascii="Arial" w:hAnsi="Arial" w:cs="Arial"/>
        </w:rPr>
        <w:t xml:space="preserve"> Static or unchanging</w:t>
      </w:r>
    </w:p>
    <w:p w14:paraId="4CBCC234" w14:textId="0CC16A55" w:rsidR="00435D33" w:rsidRPr="008D6F6B" w:rsidRDefault="002F2EDE" w:rsidP="00E827C0">
      <w:pPr>
        <w:pStyle w:val="DHHSbody"/>
        <w:rPr>
          <w:rFonts w:cs="Arial"/>
          <w:lang w:eastAsia="en-AU"/>
        </w:rPr>
      </w:pPr>
      <w:r w:rsidRPr="008D6F6B">
        <w:rPr>
          <w:rFonts w:cs="Arial"/>
          <w:lang w:eastAsia="en-AU"/>
        </w:rPr>
        <w:t>Commentary:</w:t>
      </w:r>
      <w:r w:rsidR="0085326B" w:rsidRPr="008D6F6B">
        <w:rPr>
          <w:rFonts w:cs="Arial"/>
          <w:lang w:eastAsia="en-AU"/>
        </w:rPr>
        <w:t xml:space="preserve"> </w:t>
      </w:r>
      <w:r w:rsidR="008D6F6B" w:rsidRPr="008D6F6B">
        <w:rPr>
          <w:rFonts w:cs="Arial"/>
          <w:lang w:eastAsia="en-AU"/>
        </w:rPr>
        <w:t xml:space="preserve">International studies have shown that patients overseen by </w:t>
      </w:r>
      <w:r w:rsidR="00435D33" w:rsidRPr="008D6F6B">
        <w:rPr>
          <w:rFonts w:cs="Arial"/>
        </w:rPr>
        <w:t>a multidisciplinary cancer care team experience better outcomes after cancer treatment</w:t>
      </w:r>
      <w:r w:rsidR="008D6F6B" w:rsidRPr="008D6F6B">
        <w:rPr>
          <w:rFonts w:cs="Arial"/>
        </w:rPr>
        <w:t>.</w:t>
      </w:r>
      <w:r w:rsidR="00952FC7">
        <w:rPr>
          <w:rFonts w:cs="Arial"/>
        </w:rPr>
        <w:t xml:space="preserve"> </w:t>
      </w:r>
      <w:r w:rsidR="008D6F6B" w:rsidRPr="008D6F6B">
        <w:rPr>
          <w:rFonts w:cs="Arial"/>
        </w:rPr>
        <w:t xml:space="preserve">The role of a </w:t>
      </w:r>
      <w:r w:rsidR="00435D33" w:rsidRPr="008D6F6B">
        <w:rPr>
          <w:rFonts w:cs="Arial"/>
        </w:rPr>
        <w:t>multidisciplinary cancer care team is</w:t>
      </w:r>
      <w:r w:rsidR="008D6F6B" w:rsidRPr="008D6F6B">
        <w:rPr>
          <w:rFonts w:cs="Arial"/>
        </w:rPr>
        <w:t xml:space="preserve"> to</w:t>
      </w:r>
      <w:r w:rsidR="00435D33" w:rsidRPr="008D6F6B">
        <w:rPr>
          <w:rFonts w:cs="Arial"/>
        </w:rPr>
        <w:t xml:space="preserve"> bring together healthcare professionals from different specialties to discuss a patient’s cancer diagnosis and staging, and their treatment options.</w:t>
      </w:r>
      <w:r w:rsidR="008D6F6B" w:rsidRPr="008D6F6B">
        <w:rPr>
          <w:rStyle w:val="FootnoteReference"/>
          <w:rFonts w:cs="Arial"/>
        </w:rPr>
        <w:footnoteReference w:id="139"/>
      </w:r>
      <w:r w:rsidR="00952FC7">
        <w:rPr>
          <w:rFonts w:cs="Arial"/>
        </w:rPr>
        <w:t xml:space="preserve"> </w:t>
      </w:r>
    </w:p>
    <w:p w14:paraId="6F30705A" w14:textId="1E004E1D" w:rsidR="00057E3B" w:rsidRPr="008D6F6B" w:rsidRDefault="00006337" w:rsidP="002F2EDE">
      <w:pPr>
        <w:pStyle w:val="DHHSbody"/>
        <w:rPr>
          <w:rFonts w:cs="Arial"/>
        </w:rPr>
      </w:pPr>
      <w:r w:rsidRPr="008D6F6B">
        <w:rPr>
          <w:rFonts w:cs="Arial"/>
          <w:lang w:eastAsia="en-AU"/>
        </w:rPr>
        <w:t>Figure 12.10</w:t>
      </w:r>
      <w:r w:rsidR="0085326B" w:rsidRPr="008D6F6B">
        <w:rPr>
          <w:rFonts w:cs="Arial"/>
          <w:lang w:eastAsia="en-AU"/>
        </w:rPr>
        <w:t xml:space="preserve"> provide</w:t>
      </w:r>
      <w:r w:rsidR="00907DC9">
        <w:rPr>
          <w:rFonts w:cs="Arial"/>
          <w:lang w:eastAsia="en-AU"/>
        </w:rPr>
        <w:t>s</w:t>
      </w:r>
      <w:r w:rsidR="0085326B" w:rsidRPr="008D6F6B">
        <w:rPr>
          <w:rFonts w:cs="Arial"/>
          <w:lang w:eastAsia="en-AU"/>
        </w:rPr>
        <w:t xml:space="preserve"> a high</w:t>
      </w:r>
      <w:r w:rsidR="007C68B8" w:rsidRPr="008D6F6B">
        <w:rPr>
          <w:rFonts w:cs="Arial"/>
          <w:lang w:eastAsia="en-AU"/>
        </w:rPr>
        <w:t xml:space="preserve">-level summary of the statewide results </w:t>
      </w:r>
      <w:r w:rsidR="00D76618" w:rsidRPr="008D6F6B">
        <w:rPr>
          <w:rFonts w:cs="Arial"/>
          <w:lang w:eastAsia="en-AU"/>
        </w:rPr>
        <w:t xml:space="preserve">from 2014 </w:t>
      </w:r>
      <w:r w:rsidR="0002267E" w:rsidRPr="008D6F6B">
        <w:rPr>
          <w:rFonts w:cs="Arial"/>
          <w:lang w:eastAsia="en-AU"/>
        </w:rPr>
        <w:t>to 2017</w:t>
      </w:r>
      <w:r w:rsidR="007C68B8" w:rsidRPr="008D6F6B">
        <w:rPr>
          <w:rFonts w:cs="Arial"/>
          <w:lang w:eastAsia="en-AU"/>
        </w:rPr>
        <w:t>.</w:t>
      </w:r>
      <w:r w:rsidR="00952FC7">
        <w:rPr>
          <w:rFonts w:cs="Arial"/>
          <w:lang w:eastAsia="en-AU"/>
        </w:rPr>
        <w:t xml:space="preserve"> </w:t>
      </w:r>
      <w:r w:rsidR="00D76618" w:rsidRPr="008D6F6B">
        <w:rPr>
          <w:rFonts w:cs="Arial"/>
        </w:rPr>
        <w:t>Note that there was no data available for 2016</w:t>
      </w:r>
      <w:r w:rsidR="004A6667" w:rsidRPr="008D6F6B">
        <w:rPr>
          <w:rFonts w:cs="Arial"/>
        </w:rPr>
        <w:t>.</w:t>
      </w:r>
      <w:r w:rsidR="00323ADD" w:rsidRPr="008D6F6B">
        <w:rPr>
          <w:rFonts w:cs="Arial"/>
          <w:lang w:eastAsia="en-AU"/>
        </w:rPr>
        <w:t xml:space="preserve"> </w:t>
      </w:r>
      <w:r w:rsidR="00DF2E9A" w:rsidRPr="008D6F6B">
        <w:rPr>
          <w:rFonts w:cs="Arial"/>
          <w:lang w:eastAsia="en-AU"/>
        </w:rPr>
        <w:t>Although</w:t>
      </w:r>
      <w:r w:rsidR="00D76618" w:rsidRPr="008D6F6B">
        <w:rPr>
          <w:rFonts w:cs="Arial"/>
          <w:lang w:eastAsia="en-AU"/>
        </w:rPr>
        <w:t xml:space="preserve"> </w:t>
      </w:r>
      <w:r w:rsidR="00DF2E9A" w:rsidRPr="008D6F6B">
        <w:rPr>
          <w:rFonts w:cs="Arial"/>
          <w:lang w:eastAsia="en-AU"/>
        </w:rPr>
        <w:t xml:space="preserve">no target was set </w:t>
      </w:r>
      <w:r w:rsidR="00D76618" w:rsidRPr="008D6F6B">
        <w:rPr>
          <w:rFonts w:cs="Arial"/>
          <w:lang w:eastAsia="en-AU"/>
        </w:rPr>
        <w:t>for this</w:t>
      </w:r>
      <w:r w:rsidR="00CE5B22" w:rsidRPr="008D6F6B">
        <w:rPr>
          <w:rFonts w:cs="Arial"/>
          <w:lang w:eastAsia="en-AU"/>
        </w:rPr>
        <w:t xml:space="preserve"> measure, </w:t>
      </w:r>
      <w:r w:rsidR="00DF2E9A" w:rsidRPr="008D6F6B">
        <w:rPr>
          <w:rFonts w:cs="Arial"/>
        </w:rPr>
        <w:t>t</w:t>
      </w:r>
      <w:r w:rsidR="00323ADD" w:rsidRPr="008D6F6B">
        <w:rPr>
          <w:rFonts w:cs="Arial"/>
        </w:rPr>
        <w:t>he statewide performance of patients having documented evidence of multidisciplinary team</w:t>
      </w:r>
      <w:r w:rsidR="001D16F2">
        <w:rPr>
          <w:rFonts w:cs="Arial"/>
        </w:rPr>
        <w:t xml:space="preserve"> (MDT)</w:t>
      </w:r>
      <w:r w:rsidR="00323ADD" w:rsidRPr="008D6F6B">
        <w:rPr>
          <w:rFonts w:cs="Arial"/>
        </w:rPr>
        <w:t xml:space="preserve"> recommendations fell below the target of 80</w:t>
      </w:r>
      <w:r w:rsidR="00B24BCE" w:rsidRPr="008D6F6B">
        <w:rPr>
          <w:rFonts w:cs="Arial"/>
        </w:rPr>
        <w:t xml:space="preserve"> per cent</w:t>
      </w:r>
      <w:r w:rsidR="00DF2E9A" w:rsidRPr="008D6F6B">
        <w:rPr>
          <w:rFonts w:cs="Arial"/>
        </w:rPr>
        <w:t xml:space="preserve"> outlined in the </w:t>
      </w:r>
      <w:r w:rsidR="00FE7DD2" w:rsidRPr="008D6F6B">
        <w:rPr>
          <w:rFonts w:cs="Arial"/>
        </w:rPr>
        <w:t>Cancer Services Performance I</w:t>
      </w:r>
      <w:r w:rsidR="00FF5E92" w:rsidRPr="008D6F6B">
        <w:rPr>
          <w:rFonts w:cs="Arial"/>
        </w:rPr>
        <w:t>n</w:t>
      </w:r>
      <w:r w:rsidR="00FE7DD2" w:rsidRPr="008D6F6B">
        <w:rPr>
          <w:rFonts w:cs="Arial"/>
        </w:rPr>
        <w:t>dicators</w:t>
      </w:r>
      <w:r w:rsidR="00FF5E92" w:rsidRPr="008D6F6B">
        <w:rPr>
          <w:rFonts w:cs="Arial"/>
        </w:rPr>
        <w:t xml:space="preserve"> 2017 audit report</w:t>
      </w:r>
      <w:r w:rsidR="00323ADD" w:rsidRPr="008D6F6B">
        <w:rPr>
          <w:rFonts w:cs="Arial"/>
        </w:rPr>
        <w:t>, with 69</w:t>
      </w:r>
      <w:r w:rsidR="00B24BCE" w:rsidRPr="008D6F6B">
        <w:rPr>
          <w:rFonts w:cs="Arial"/>
        </w:rPr>
        <w:t xml:space="preserve"> per cent</w:t>
      </w:r>
      <w:r w:rsidR="00323ADD" w:rsidRPr="008D6F6B">
        <w:rPr>
          <w:rFonts w:cs="Arial"/>
        </w:rPr>
        <w:t xml:space="preserve"> of patients having documented evidence.</w:t>
      </w:r>
    </w:p>
    <w:p w14:paraId="3053155F" w14:textId="10900106" w:rsidR="00342AAE" w:rsidRPr="008D6F6B" w:rsidRDefault="00006337" w:rsidP="00342AAE">
      <w:pPr>
        <w:pStyle w:val="DHHSbody"/>
        <w:rPr>
          <w:rFonts w:cs="Arial"/>
        </w:rPr>
      </w:pPr>
      <w:r w:rsidRPr="008D6F6B">
        <w:rPr>
          <w:rFonts w:cs="Arial"/>
          <w:lang w:eastAsia="en-AU"/>
        </w:rPr>
        <w:t xml:space="preserve">Figure 12.10.1 </w:t>
      </w:r>
      <w:r w:rsidR="00057E3B" w:rsidRPr="008D6F6B">
        <w:rPr>
          <w:rFonts w:cs="Arial"/>
          <w:lang w:eastAsia="en-AU"/>
        </w:rPr>
        <w:t>show</w:t>
      </w:r>
      <w:r w:rsidRPr="008D6F6B">
        <w:rPr>
          <w:rFonts w:cs="Arial"/>
          <w:lang w:eastAsia="en-AU"/>
        </w:rPr>
        <w:t>s</w:t>
      </w:r>
      <w:r w:rsidR="00057E3B" w:rsidRPr="008D6F6B">
        <w:rPr>
          <w:rFonts w:cs="Arial"/>
          <w:lang w:eastAsia="en-AU"/>
        </w:rPr>
        <w:t xml:space="preserve"> the p</w:t>
      </w:r>
      <w:r w:rsidR="00342AAE" w:rsidRPr="008D6F6B">
        <w:rPr>
          <w:rFonts w:cs="Arial"/>
          <w:lang w:eastAsia="en-AU"/>
        </w:rPr>
        <w:t>er</w:t>
      </w:r>
      <w:r w:rsidR="00057E3B" w:rsidRPr="008D6F6B">
        <w:rPr>
          <w:rFonts w:cs="Arial"/>
          <w:lang w:eastAsia="en-AU"/>
        </w:rPr>
        <w:t>centage</w:t>
      </w:r>
      <w:r w:rsidR="00342AAE" w:rsidRPr="008D6F6B">
        <w:rPr>
          <w:rFonts w:cs="Arial"/>
          <w:lang w:eastAsia="en-AU"/>
        </w:rPr>
        <w:t xml:space="preserve"> of patients audited in 2017 document</w:t>
      </w:r>
      <w:r w:rsidR="0065615F">
        <w:rPr>
          <w:rFonts w:cs="Arial"/>
          <w:lang w:eastAsia="en-AU"/>
        </w:rPr>
        <w:t>ed</w:t>
      </w:r>
      <w:r w:rsidR="00342AAE" w:rsidRPr="008D6F6B">
        <w:rPr>
          <w:rFonts w:cs="Arial"/>
          <w:lang w:eastAsia="en-AU"/>
        </w:rPr>
        <w:t xml:space="preserve"> evidence of</w:t>
      </w:r>
      <w:r w:rsidR="00922F32">
        <w:rPr>
          <w:rFonts w:cs="Arial"/>
          <w:lang w:eastAsia="en-AU"/>
        </w:rPr>
        <w:t xml:space="preserve"> </w:t>
      </w:r>
      <w:r w:rsidR="00342AAE" w:rsidRPr="008D6F6B">
        <w:rPr>
          <w:rFonts w:cs="Arial"/>
          <w:lang w:eastAsia="en-AU"/>
        </w:rPr>
        <w:t xml:space="preserve">MDT recommendations presented by ICS shows that </w:t>
      </w:r>
      <w:r w:rsidR="002A16B7">
        <w:rPr>
          <w:rFonts w:cs="Arial"/>
          <w:lang w:eastAsia="en-AU"/>
        </w:rPr>
        <w:t xml:space="preserve">metropolitan ICSs </w:t>
      </w:r>
      <w:r w:rsidR="00434A77">
        <w:rPr>
          <w:rFonts w:cs="Arial"/>
          <w:lang w:eastAsia="en-AU"/>
        </w:rPr>
        <w:t xml:space="preserve">were </w:t>
      </w:r>
      <w:r w:rsidR="00342AAE" w:rsidRPr="008D6F6B">
        <w:rPr>
          <w:rFonts w:cs="Arial"/>
        </w:rPr>
        <w:t>the highest performing ICS</w:t>
      </w:r>
      <w:r w:rsidR="00434A77">
        <w:rPr>
          <w:rFonts w:cs="Arial"/>
        </w:rPr>
        <w:t>s,</w:t>
      </w:r>
      <w:r w:rsidR="00342AAE" w:rsidRPr="008D6F6B">
        <w:rPr>
          <w:rFonts w:cs="Arial"/>
        </w:rPr>
        <w:t xml:space="preserve"> with</w:t>
      </w:r>
      <w:r w:rsidR="00434A77">
        <w:rPr>
          <w:rFonts w:cs="Arial"/>
        </w:rPr>
        <w:t xml:space="preserve"> SMICS reporting</w:t>
      </w:r>
      <w:r w:rsidR="00342AAE" w:rsidRPr="008D6F6B">
        <w:rPr>
          <w:rFonts w:cs="Arial"/>
        </w:rPr>
        <w:t xml:space="preserve"> 91</w:t>
      </w:r>
      <w:r w:rsidR="00B24BCE" w:rsidRPr="008D6F6B">
        <w:rPr>
          <w:rFonts w:cs="Arial"/>
        </w:rPr>
        <w:t xml:space="preserve"> per cent</w:t>
      </w:r>
      <w:r w:rsidR="00342AAE" w:rsidRPr="008D6F6B">
        <w:rPr>
          <w:rFonts w:cs="Arial"/>
        </w:rPr>
        <w:t xml:space="preserve"> of audited patients having documented evidence of MDT</w:t>
      </w:r>
      <w:r w:rsidR="001D16F2" w:rsidRPr="001D16F2">
        <w:rPr>
          <w:rFonts w:cs="Arial"/>
          <w:lang w:eastAsia="en-AU"/>
        </w:rPr>
        <w:t xml:space="preserve"> </w:t>
      </w:r>
      <w:r w:rsidR="001D16F2" w:rsidRPr="008D6F6B">
        <w:rPr>
          <w:rFonts w:cs="Arial"/>
          <w:lang w:eastAsia="en-AU"/>
        </w:rPr>
        <w:t>recommendations</w:t>
      </w:r>
      <w:r w:rsidR="00342AAE" w:rsidRPr="008D6F6B">
        <w:rPr>
          <w:rFonts w:cs="Arial"/>
        </w:rPr>
        <w:t xml:space="preserve">. All </w:t>
      </w:r>
      <w:r w:rsidR="00434A77">
        <w:rPr>
          <w:rFonts w:cs="Arial"/>
        </w:rPr>
        <w:t xml:space="preserve">regional/rural </w:t>
      </w:r>
      <w:r w:rsidR="00342AAE" w:rsidRPr="008D6F6B">
        <w:rPr>
          <w:rFonts w:cs="Arial"/>
        </w:rPr>
        <w:t>ICS</w:t>
      </w:r>
      <w:r w:rsidR="00434A77">
        <w:rPr>
          <w:rFonts w:cs="Arial"/>
        </w:rPr>
        <w:t>s</w:t>
      </w:r>
      <w:r w:rsidR="00342AAE" w:rsidRPr="008D6F6B">
        <w:rPr>
          <w:rFonts w:cs="Arial"/>
        </w:rPr>
        <w:t xml:space="preserve"> fell well below the target, with the highest performing </w:t>
      </w:r>
      <w:r w:rsidR="00434A77">
        <w:rPr>
          <w:rFonts w:cs="Arial"/>
        </w:rPr>
        <w:t xml:space="preserve">regional/rural </w:t>
      </w:r>
      <w:r w:rsidR="00342AAE" w:rsidRPr="008D6F6B">
        <w:rPr>
          <w:rFonts w:cs="Arial"/>
        </w:rPr>
        <w:t>ICS, BSWRICS, having 47</w:t>
      </w:r>
      <w:r w:rsidR="00B24BCE" w:rsidRPr="008D6F6B">
        <w:rPr>
          <w:rFonts w:cs="Arial"/>
        </w:rPr>
        <w:t xml:space="preserve"> per cent</w:t>
      </w:r>
      <w:r w:rsidR="00342AAE" w:rsidRPr="008D6F6B">
        <w:rPr>
          <w:rFonts w:cs="Arial"/>
        </w:rPr>
        <w:t xml:space="preserve"> of audited patients having documented evidence of MDT</w:t>
      </w:r>
      <w:r w:rsidR="001D16F2" w:rsidRPr="001D16F2">
        <w:rPr>
          <w:rFonts w:cs="Arial"/>
          <w:lang w:eastAsia="en-AU"/>
        </w:rPr>
        <w:t xml:space="preserve"> </w:t>
      </w:r>
      <w:r w:rsidR="001D16F2" w:rsidRPr="008D6F6B">
        <w:rPr>
          <w:rFonts w:cs="Arial"/>
          <w:lang w:eastAsia="en-AU"/>
        </w:rPr>
        <w:t>recommendations</w:t>
      </w:r>
      <w:r w:rsidR="00342AAE" w:rsidRPr="008D6F6B">
        <w:rPr>
          <w:rFonts w:cs="Arial"/>
        </w:rPr>
        <w:t>.</w:t>
      </w:r>
    </w:p>
    <w:p w14:paraId="6B69248F" w14:textId="1EAE93DF" w:rsidR="00A5376B" w:rsidRDefault="00006337">
      <w:pPr>
        <w:pStyle w:val="DHHSbody"/>
      </w:pPr>
      <w:r w:rsidRPr="008D6F6B">
        <w:t>Figure 12.10.2</w:t>
      </w:r>
      <w:r w:rsidR="007555CA" w:rsidRPr="008D6F6B">
        <w:t xml:space="preserve"> show</w:t>
      </w:r>
      <w:r w:rsidRPr="008D6F6B">
        <w:t>s the</w:t>
      </w:r>
      <w:r w:rsidR="007555CA" w:rsidRPr="008D6F6B">
        <w:t xml:space="preserve"> number (and percentage) of audited patients who had documented evidence of MDT </w:t>
      </w:r>
      <w:r w:rsidR="001D16F2" w:rsidRPr="008D6F6B">
        <w:rPr>
          <w:rFonts w:cs="Arial"/>
          <w:lang w:eastAsia="en-AU"/>
        </w:rPr>
        <w:t xml:space="preserve">recommendations </w:t>
      </w:r>
      <w:r w:rsidR="001D16F2">
        <w:rPr>
          <w:rFonts w:cs="Arial"/>
          <w:lang w:eastAsia="en-AU"/>
        </w:rPr>
        <w:t xml:space="preserve">and </w:t>
      </w:r>
      <w:r w:rsidR="007555CA" w:rsidRPr="008D6F6B">
        <w:t>breaks down the results by tumour stream. The breast tumour stream had the highest performance, with 90</w:t>
      </w:r>
      <w:r w:rsidR="00B24BCE" w:rsidRPr="008D6F6B">
        <w:t xml:space="preserve"> per cent</w:t>
      </w:r>
      <w:r w:rsidR="007555CA" w:rsidRPr="008D6F6B">
        <w:t xml:space="preserve"> of audited patients having documented evidence of MDT</w:t>
      </w:r>
      <w:r w:rsidR="001D16F2" w:rsidRPr="001D16F2">
        <w:rPr>
          <w:rFonts w:cs="Arial"/>
          <w:lang w:eastAsia="en-AU"/>
        </w:rPr>
        <w:t xml:space="preserve"> </w:t>
      </w:r>
      <w:r w:rsidR="001D16F2" w:rsidRPr="008D6F6B">
        <w:rPr>
          <w:rFonts w:cs="Arial"/>
          <w:lang w:eastAsia="en-AU"/>
        </w:rPr>
        <w:t>recommendations</w:t>
      </w:r>
      <w:r w:rsidR="007555CA" w:rsidRPr="008D6F6B">
        <w:t xml:space="preserve">. Only </w:t>
      </w:r>
      <w:r w:rsidRPr="008D6F6B">
        <w:t>three</w:t>
      </w:r>
      <w:r w:rsidR="007555CA" w:rsidRPr="008D6F6B">
        <w:t xml:space="preserve"> tumour streams were not within 20</w:t>
      </w:r>
      <w:r w:rsidR="00B24BCE" w:rsidRPr="008D6F6B">
        <w:t xml:space="preserve"> per cent</w:t>
      </w:r>
      <w:r w:rsidR="007555CA" w:rsidRPr="008D6F6B">
        <w:t xml:space="preserve"> of the target</w:t>
      </w:r>
      <w:r w:rsidR="001D16F2">
        <w:t xml:space="preserve"> –</w:t>
      </w:r>
      <w:r w:rsidR="007555CA" w:rsidRPr="008D6F6B">
        <w:t xml:space="preserve"> </w:t>
      </w:r>
      <w:r w:rsidR="00922F32">
        <w:t>g</w:t>
      </w:r>
      <w:r w:rsidR="007555CA" w:rsidRPr="008D6F6B">
        <w:t>enitourinary (48</w:t>
      </w:r>
      <w:r w:rsidR="00B24BCE" w:rsidRPr="008D6F6B">
        <w:t xml:space="preserve"> per cent</w:t>
      </w:r>
      <w:r w:rsidR="007555CA" w:rsidRPr="008D6F6B">
        <w:t xml:space="preserve">), </w:t>
      </w:r>
      <w:r w:rsidR="00922F32">
        <w:t>h</w:t>
      </w:r>
      <w:r w:rsidR="007555CA" w:rsidRPr="008D6F6B">
        <w:t>aematological (47</w:t>
      </w:r>
      <w:r w:rsidR="00B24BCE" w:rsidRPr="008D6F6B">
        <w:t xml:space="preserve"> per cent</w:t>
      </w:r>
      <w:r w:rsidR="007555CA" w:rsidRPr="008D6F6B">
        <w:t xml:space="preserve">) and </w:t>
      </w:r>
      <w:r w:rsidR="00922F32">
        <w:t>s</w:t>
      </w:r>
      <w:r w:rsidR="007555CA" w:rsidRPr="008D6F6B">
        <w:t>kin (45</w:t>
      </w:r>
      <w:r w:rsidR="00B24BCE" w:rsidRPr="008D6F6B">
        <w:t xml:space="preserve"> per cent</w:t>
      </w:r>
      <w:r w:rsidR="007555CA" w:rsidRPr="008D6F6B">
        <w:t>).</w:t>
      </w:r>
    </w:p>
    <w:p w14:paraId="52DC34D4" w14:textId="317EE021" w:rsidR="00DF376C" w:rsidRPr="003F4F2E" w:rsidRDefault="0092565D" w:rsidP="0065615F">
      <w:pPr>
        <w:pStyle w:val="Heading3"/>
        <w:rPr>
          <w:rStyle w:val="Heading3Char"/>
          <w:b/>
          <w:bCs/>
        </w:rPr>
      </w:pPr>
      <w:r>
        <w:br w:type="page"/>
      </w:r>
      <w:bookmarkStart w:id="770" w:name="_Toc19008148"/>
      <w:r w:rsidR="00DF376C" w:rsidRPr="003F4F2E">
        <w:rPr>
          <w:rStyle w:val="Heading3Char"/>
          <w:b/>
        </w:rPr>
        <w:lastRenderedPageBreak/>
        <w:t>Measure 12.11 –</w:t>
      </w:r>
      <w:r w:rsidR="00430845" w:rsidRPr="003F4F2E">
        <w:rPr>
          <w:rStyle w:val="Heading3Char"/>
          <w:b/>
        </w:rPr>
        <w:t xml:space="preserve"> Proportion of patients with local recurrence of primary tumour within two years of surgical resection or curative radiotherapy of a primary tumour</w:t>
      </w:r>
      <w:bookmarkEnd w:id="770"/>
    </w:p>
    <w:p w14:paraId="6C02FA3F" w14:textId="77777777" w:rsidR="001B5858" w:rsidRDefault="00E22BBC" w:rsidP="001A2A05">
      <w:pPr>
        <w:pStyle w:val="DHHSbody"/>
        <w:rPr>
          <w:lang w:eastAsia="en-AU"/>
        </w:rPr>
      </w:pPr>
      <w:r>
        <w:rPr>
          <w:lang w:eastAsia="en-AU"/>
        </w:rPr>
        <w:t>This measure will be reported in a future report. Refer to Appendix 1.</w:t>
      </w:r>
    </w:p>
    <w:p w14:paraId="492E516B" w14:textId="77777777" w:rsidR="001B5858" w:rsidRDefault="001B5858">
      <w:pPr>
        <w:rPr>
          <w:rFonts w:ascii="Arial" w:eastAsia="Times" w:hAnsi="Arial"/>
        </w:rPr>
      </w:pPr>
      <w:r>
        <w:br w:type="page"/>
      </w:r>
    </w:p>
    <w:p w14:paraId="65E881E2" w14:textId="4947239E" w:rsidR="00DF376C" w:rsidRPr="001B5858" w:rsidRDefault="00DF376C" w:rsidP="001B5858">
      <w:pPr>
        <w:pStyle w:val="Heading3"/>
        <w:rPr>
          <w:rStyle w:val="Heading3Char"/>
          <w:b/>
          <w:bCs/>
        </w:rPr>
      </w:pPr>
      <w:bookmarkStart w:id="771" w:name="_Measure_12.12_–"/>
      <w:bookmarkEnd w:id="771"/>
      <w:r w:rsidRPr="001B5858">
        <w:rPr>
          <w:rStyle w:val="Heading3Char"/>
          <w:b/>
          <w:bCs/>
        </w:rPr>
        <w:lastRenderedPageBreak/>
        <w:t>Measure 12.12 –</w:t>
      </w:r>
      <w:r w:rsidR="00430845" w:rsidRPr="001B5858">
        <w:rPr>
          <w:rStyle w:val="Heading3Char"/>
          <w:b/>
          <w:bCs/>
        </w:rPr>
        <w:t xml:space="preserve"> Proportion of patients receiving specialist palliative care within 12 months prior to death</w:t>
      </w:r>
    </w:p>
    <w:p w14:paraId="23CB983D" w14:textId="4B072E3E" w:rsidR="00032528" w:rsidRDefault="006E2DDE" w:rsidP="00867A76">
      <w:pPr>
        <w:pStyle w:val="DHHSfigurecaption"/>
      </w:pPr>
      <w:bookmarkStart w:id="772" w:name="_Toc19008149"/>
      <w:bookmarkStart w:id="773" w:name="_Toc19008359"/>
      <w:bookmarkStart w:id="774" w:name="_Toc19008506"/>
      <w:bookmarkStart w:id="775" w:name="_Toc19008653"/>
      <w:bookmarkStart w:id="776" w:name="_Toc27414361"/>
      <w:r w:rsidRPr="006E2DDE">
        <w:t>Figure</w:t>
      </w:r>
      <w:r w:rsidR="00257E75" w:rsidRPr="006E2DDE">
        <w:t xml:space="preserve"> 12.12</w:t>
      </w:r>
      <w:r w:rsidR="002677DD">
        <w:t>:</w:t>
      </w:r>
      <w:r w:rsidR="00257E75" w:rsidRPr="006E2DDE">
        <w:t xml:space="preserve"> </w:t>
      </w:r>
      <w:r w:rsidR="00E74E76" w:rsidRPr="006E2DDE">
        <w:t>P</w:t>
      </w:r>
      <w:r w:rsidR="00032528" w:rsidRPr="006E2DDE">
        <w:t>roportion of patients receiving specialist palliative care within 12 months prior to death</w:t>
      </w:r>
      <w:r w:rsidR="00F11BAC">
        <w:t>,</w:t>
      </w:r>
      <w:r w:rsidR="00032528" w:rsidRPr="006E2DDE">
        <w:t xml:space="preserve"> by </w:t>
      </w:r>
      <w:r w:rsidR="008439C8">
        <w:t>ICS</w:t>
      </w:r>
      <w:r w:rsidR="00032528" w:rsidRPr="006E2DDE">
        <w:t>, 2014</w:t>
      </w:r>
      <w:r w:rsidR="009D0E1A">
        <w:t>–</w:t>
      </w:r>
      <w:r w:rsidR="00032528" w:rsidRPr="006E2DDE">
        <w:t>2016</w:t>
      </w:r>
      <w:bookmarkEnd w:id="772"/>
      <w:bookmarkEnd w:id="773"/>
      <w:bookmarkEnd w:id="774"/>
      <w:bookmarkEnd w:id="775"/>
      <w:bookmarkEnd w:id="776"/>
    </w:p>
    <w:p w14:paraId="6DD8BFBE" w14:textId="3CC88C1E" w:rsidR="001D4B45" w:rsidRDefault="00161F25" w:rsidP="001D4B45">
      <w:pPr>
        <w:pStyle w:val="DHHSbody"/>
      </w:pPr>
      <w:r>
        <w:rPr>
          <w:noProof/>
        </w:rPr>
        <w:drawing>
          <wp:inline distT="0" distB="0" distL="0" distR="0" wp14:anchorId="171C7930" wp14:editId="5C103BB7">
            <wp:extent cx="6730365" cy="3182620"/>
            <wp:effectExtent l="0" t="0" r="0" b="0"/>
            <wp:docPr id="575" name="Picture 575" descr="This figure presents data under the 'Measure 12.12 – Proportion of patients receiving specialist palliative care within 12 months prior to death'.  &#10;The data for this figure for the study period 2014 to 2016  and by Integrated Cancer Service is available in this section - refer to Table 12.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730365" cy="3182620"/>
                    </a:xfrm>
                    <a:prstGeom prst="rect">
                      <a:avLst/>
                    </a:prstGeom>
                    <a:noFill/>
                  </pic:spPr>
                </pic:pic>
              </a:graphicData>
            </a:graphic>
          </wp:inline>
        </w:drawing>
      </w:r>
    </w:p>
    <w:p w14:paraId="083291D7" w14:textId="1576138D" w:rsidR="00986CB2" w:rsidRDefault="00257E75" w:rsidP="000E507A">
      <w:pPr>
        <w:pStyle w:val="DHHStablecaption"/>
      </w:pPr>
      <w:bookmarkStart w:id="777" w:name="_Toc18908742"/>
      <w:bookmarkStart w:id="778" w:name="_Toc27414422"/>
      <w:r w:rsidRPr="00867A76">
        <w:t>Table 12.12</w:t>
      </w:r>
      <w:r w:rsidR="009D0E1A" w:rsidRPr="00867A76">
        <w:t>:</w:t>
      </w:r>
      <w:r w:rsidR="00B572F6" w:rsidRPr="00867A76">
        <w:t xml:space="preserve"> Proportion and number of patients receiving specialist palliative care with 12 months prior </w:t>
      </w:r>
      <w:r w:rsidR="001D4982" w:rsidRPr="00867A76">
        <w:t>t</w:t>
      </w:r>
      <w:r w:rsidR="00B572F6" w:rsidRPr="00867A76">
        <w:t>o death</w:t>
      </w:r>
      <w:r w:rsidR="00F11BAC" w:rsidRPr="00867A76">
        <w:t>,</w:t>
      </w:r>
      <w:r w:rsidR="00B572F6" w:rsidRPr="00867A76">
        <w:t xml:space="preserve"> by ICS, 2014</w:t>
      </w:r>
      <w:r w:rsidR="009D0E1A" w:rsidRPr="00867A76">
        <w:t>–</w:t>
      </w:r>
      <w:r w:rsidR="00B572F6" w:rsidRPr="00867A76">
        <w:t>2016</w:t>
      </w:r>
      <w:bookmarkStart w:id="779" w:name="_Hlk521261"/>
      <w:bookmarkEnd w:id="777"/>
      <w:bookmarkEnd w:id="778"/>
    </w:p>
    <w:tbl>
      <w:tblPr>
        <w:tblStyle w:val="TableGrid"/>
        <w:tblW w:w="10420" w:type="dxa"/>
        <w:tblInd w:w="5"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ook w:val="04A0" w:firstRow="1" w:lastRow="0" w:firstColumn="1" w:lastColumn="0" w:noHBand="0" w:noVBand="1"/>
      </w:tblPr>
      <w:tblGrid>
        <w:gridCol w:w="2276"/>
        <w:gridCol w:w="2858"/>
        <w:gridCol w:w="2715"/>
        <w:gridCol w:w="2571"/>
      </w:tblGrid>
      <w:tr w:rsidR="00DC249B" w:rsidRPr="009C7CAC" w14:paraId="107E7D1C" w14:textId="77777777" w:rsidTr="00445260">
        <w:trPr>
          <w:trHeight w:val="634"/>
        </w:trPr>
        <w:tc>
          <w:tcPr>
            <w:tcW w:w="2276" w:type="dxa"/>
            <w:shd w:val="clear" w:color="auto" w:fill="EDCDCF"/>
          </w:tcPr>
          <w:p w14:paraId="26109CE7" w14:textId="77777777" w:rsidR="00DC249B" w:rsidRPr="009C7CAC" w:rsidRDefault="00DC249B" w:rsidP="00DC249B">
            <w:pPr>
              <w:pStyle w:val="DHHStablecolhead"/>
            </w:pPr>
            <w:r>
              <w:t>ICS</w:t>
            </w:r>
          </w:p>
        </w:tc>
        <w:tc>
          <w:tcPr>
            <w:tcW w:w="2858" w:type="dxa"/>
            <w:shd w:val="clear" w:color="auto" w:fill="EDCDCF"/>
          </w:tcPr>
          <w:p w14:paraId="66600FD3" w14:textId="77777777" w:rsidR="00DC249B" w:rsidRPr="009C7CAC" w:rsidRDefault="00DC249B" w:rsidP="00DC249B">
            <w:pPr>
              <w:pStyle w:val="DHHStablecolhead"/>
            </w:pPr>
            <w:r w:rsidRPr="009C7CAC">
              <w:t>2014</w:t>
            </w:r>
            <w:r>
              <w:t xml:space="preserve"> (Year of death)</w:t>
            </w:r>
          </w:p>
          <w:p w14:paraId="0E4BFD8D" w14:textId="77777777" w:rsidR="00DC249B" w:rsidRPr="009C7CAC" w:rsidRDefault="00DC249B" w:rsidP="00DC249B">
            <w:pPr>
              <w:pStyle w:val="DHHStablecolhead"/>
            </w:pPr>
            <w:r w:rsidRPr="009C7CAC">
              <w:t>(%) [n/No.]</w:t>
            </w:r>
          </w:p>
        </w:tc>
        <w:tc>
          <w:tcPr>
            <w:tcW w:w="2715" w:type="dxa"/>
            <w:shd w:val="clear" w:color="auto" w:fill="EDCDCF"/>
          </w:tcPr>
          <w:p w14:paraId="144AD348" w14:textId="77777777" w:rsidR="00DC249B" w:rsidRPr="009C7CAC" w:rsidRDefault="00DC249B" w:rsidP="00DC249B">
            <w:pPr>
              <w:pStyle w:val="DHHStablecolhead"/>
            </w:pPr>
            <w:r w:rsidRPr="009C7CAC">
              <w:t>2015</w:t>
            </w:r>
            <w:r>
              <w:t xml:space="preserve"> (Year of death)</w:t>
            </w:r>
          </w:p>
          <w:p w14:paraId="15982875" w14:textId="77777777" w:rsidR="00DC249B" w:rsidRPr="009C7CAC" w:rsidRDefault="00DC249B" w:rsidP="00DC249B">
            <w:pPr>
              <w:pStyle w:val="DHHStablecolhead"/>
            </w:pPr>
            <w:r w:rsidRPr="009C7CAC">
              <w:t>(%) [n/No.]</w:t>
            </w:r>
          </w:p>
        </w:tc>
        <w:tc>
          <w:tcPr>
            <w:tcW w:w="2571" w:type="dxa"/>
            <w:shd w:val="clear" w:color="auto" w:fill="EDCDCF"/>
          </w:tcPr>
          <w:p w14:paraId="0954C5EE" w14:textId="77777777" w:rsidR="00DC249B" w:rsidRPr="009C7CAC" w:rsidRDefault="00DC249B" w:rsidP="00DC249B">
            <w:pPr>
              <w:pStyle w:val="DHHStablecolhead"/>
            </w:pPr>
            <w:r w:rsidRPr="009C7CAC">
              <w:t>2016</w:t>
            </w:r>
            <w:r>
              <w:t xml:space="preserve"> (Year of death)</w:t>
            </w:r>
          </w:p>
          <w:p w14:paraId="143A027F" w14:textId="77777777" w:rsidR="00DC249B" w:rsidRPr="009C7CAC" w:rsidRDefault="00DC249B" w:rsidP="00DC249B">
            <w:pPr>
              <w:pStyle w:val="DHHStablecolhead"/>
            </w:pPr>
            <w:r w:rsidRPr="009C7CAC">
              <w:t>(%) [n/No.]</w:t>
            </w:r>
          </w:p>
        </w:tc>
      </w:tr>
      <w:tr w:rsidR="001D4B45" w:rsidRPr="00336E00" w14:paraId="16764600" w14:textId="77777777" w:rsidTr="00445260">
        <w:trPr>
          <w:trHeight w:val="349"/>
        </w:trPr>
        <w:tc>
          <w:tcPr>
            <w:tcW w:w="2276" w:type="dxa"/>
          </w:tcPr>
          <w:p w14:paraId="5F924CC6" w14:textId="77777777" w:rsidR="001D4B45" w:rsidRPr="00336E00" w:rsidRDefault="001D4B45" w:rsidP="001D4B45">
            <w:pPr>
              <w:pStyle w:val="DHHStabletext"/>
              <w:rPr>
                <w:rFonts w:cs="Arial"/>
              </w:rPr>
            </w:pPr>
            <w:r w:rsidRPr="00336E00">
              <w:t>NEMICS</w:t>
            </w:r>
          </w:p>
        </w:tc>
        <w:tc>
          <w:tcPr>
            <w:tcW w:w="2858" w:type="dxa"/>
            <w:vAlign w:val="center"/>
          </w:tcPr>
          <w:p w14:paraId="0A982B37" w14:textId="3197B5A1" w:rsidR="001D4B45" w:rsidRPr="00336E00" w:rsidRDefault="001D4B45" w:rsidP="001D4B45">
            <w:pPr>
              <w:pStyle w:val="DHHStabletext"/>
            </w:pPr>
            <w:r w:rsidRPr="00E0299B">
              <w:rPr>
                <w:rFonts w:cs="Arial"/>
              </w:rPr>
              <w:t>(72) [1</w:t>
            </w:r>
            <w:r>
              <w:rPr>
                <w:rFonts w:cs="Arial"/>
              </w:rPr>
              <w:t>,451/2,016</w:t>
            </w:r>
            <w:r w:rsidRPr="00E0299B">
              <w:rPr>
                <w:rFonts w:cs="Arial"/>
              </w:rPr>
              <w:t>]</w:t>
            </w:r>
          </w:p>
        </w:tc>
        <w:tc>
          <w:tcPr>
            <w:tcW w:w="2715" w:type="dxa"/>
            <w:vAlign w:val="center"/>
          </w:tcPr>
          <w:p w14:paraId="0ABE83F2" w14:textId="241FA35A" w:rsidR="001D4B45" w:rsidRPr="00336E00" w:rsidRDefault="001D4B45" w:rsidP="001D4B45">
            <w:pPr>
              <w:pStyle w:val="DHHStabletext"/>
            </w:pPr>
            <w:r w:rsidRPr="00E0299B">
              <w:rPr>
                <w:rFonts w:cs="Arial"/>
              </w:rPr>
              <w:t>(72) [1</w:t>
            </w:r>
            <w:r>
              <w:rPr>
                <w:rFonts w:cs="Arial"/>
              </w:rPr>
              <w:t>,480/2,057</w:t>
            </w:r>
            <w:r w:rsidRPr="00E0299B">
              <w:rPr>
                <w:rFonts w:cs="Arial"/>
              </w:rPr>
              <w:t>]</w:t>
            </w:r>
          </w:p>
        </w:tc>
        <w:tc>
          <w:tcPr>
            <w:tcW w:w="2571" w:type="dxa"/>
            <w:vAlign w:val="center"/>
          </w:tcPr>
          <w:p w14:paraId="49D89FC6" w14:textId="6CCA8092" w:rsidR="001D4B45" w:rsidRPr="00336E00" w:rsidRDefault="001D4B45" w:rsidP="001D4B45">
            <w:pPr>
              <w:pStyle w:val="DHHStabletext"/>
            </w:pPr>
            <w:r w:rsidRPr="00E0299B">
              <w:rPr>
                <w:rFonts w:cs="Arial"/>
              </w:rPr>
              <w:t>(7</w:t>
            </w:r>
            <w:r>
              <w:rPr>
                <w:rFonts w:cs="Arial"/>
              </w:rPr>
              <w:t>2</w:t>
            </w:r>
            <w:r w:rsidRPr="00E0299B">
              <w:rPr>
                <w:rFonts w:cs="Arial"/>
              </w:rPr>
              <w:t>) [1</w:t>
            </w:r>
            <w:r>
              <w:rPr>
                <w:rFonts w:cs="Arial"/>
              </w:rPr>
              <w:t>,499/2,069</w:t>
            </w:r>
            <w:r w:rsidRPr="00E0299B">
              <w:rPr>
                <w:rFonts w:cs="Arial"/>
              </w:rPr>
              <w:t>]</w:t>
            </w:r>
          </w:p>
        </w:tc>
      </w:tr>
      <w:tr w:rsidR="001D4B45" w:rsidRPr="00336E00" w14:paraId="0A6C623C" w14:textId="77777777" w:rsidTr="00445260">
        <w:trPr>
          <w:trHeight w:val="336"/>
        </w:trPr>
        <w:tc>
          <w:tcPr>
            <w:tcW w:w="2276" w:type="dxa"/>
          </w:tcPr>
          <w:p w14:paraId="52682406" w14:textId="77777777" w:rsidR="001D4B45" w:rsidRPr="00336E00" w:rsidRDefault="001D4B45" w:rsidP="001D4B45">
            <w:pPr>
              <w:pStyle w:val="DHHStabletext"/>
              <w:rPr>
                <w:rFonts w:cs="Arial"/>
              </w:rPr>
            </w:pPr>
            <w:r w:rsidRPr="00336E00">
              <w:t>SMICS</w:t>
            </w:r>
          </w:p>
        </w:tc>
        <w:tc>
          <w:tcPr>
            <w:tcW w:w="2858" w:type="dxa"/>
          </w:tcPr>
          <w:p w14:paraId="003AD299" w14:textId="2FB348D1" w:rsidR="001D4B45" w:rsidRPr="00336E00" w:rsidRDefault="001D4B45" w:rsidP="001D4B45">
            <w:pPr>
              <w:pStyle w:val="DHHStabletext"/>
            </w:pPr>
            <w:r w:rsidRPr="00E0299B">
              <w:rPr>
                <w:rFonts w:cs="Arial"/>
              </w:rPr>
              <w:t>(71) [1</w:t>
            </w:r>
            <w:r>
              <w:rPr>
                <w:rFonts w:cs="Arial"/>
              </w:rPr>
              <w:t>,671/2,365</w:t>
            </w:r>
            <w:r w:rsidRPr="00E0299B">
              <w:rPr>
                <w:rFonts w:cs="Arial"/>
              </w:rPr>
              <w:t>]</w:t>
            </w:r>
          </w:p>
        </w:tc>
        <w:tc>
          <w:tcPr>
            <w:tcW w:w="2715" w:type="dxa"/>
          </w:tcPr>
          <w:p w14:paraId="6BADF7F1" w14:textId="0BFD436F" w:rsidR="001D4B45" w:rsidRPr="00336E00" w:rsidRDefault="001D4B45" w:rsidP="001D4B45">
            <w:pPr>
              <w:pStyle w:val="DHHStabletext"/>
            </w:pPr>
            <w:r w:rsidRPr="00E0299B">
              <w:rPr>
                <w:rFonts w:cs="Arial"/>
              </w:rPr>
              <w:t>(7</w:t>
            </w:r>
            <w:r>
              <w:rPr>
                <w:rFonts w:cs="Arial"/>
              </w:rPr>
              <w:t>1</w:t>
            </w:r>
            <w:r w:rsidRPr="00E0299B">
              <w:rPr>
                <w:rFonts w:cs="Arial"/>
              </w:rPr>
              <w:t>) [1</w:t>
            </w:r>
            <w:r>
              <w:rPr>
                <w:rFonts w:cs="Arial"/>
              </w:rPr>
              <w:t>,763/2,488</w:t>
            </w:r>
            <w:r w:rsidRPr="00E0299B">
              <w:rPr>
                <w:rFonts w:cs="Arial"/>
              </w:rPr>
              <w:t>]</w:t>
            </w:r>
          </w:p>
        </w:tc>
        <w:tc>
          <w:tcPr>
            <w:tcW w:w="2571" w:type="dxa"/>
          </w:tcPr>
          <w:p w14:paraId="0C0DD9E2" w14:textId="0E10B412" w:rsidR="001D4B45" w:rsidRPr="00336E00" w:rsidRDefault="001D4B45" w:rsidP="001D4B45">
            <w:pPr>
              <w:pStyle w:val="DHHStabletext"/>
            </w:pPr>
            <w:r w:rsidRPr="00E0299B">
              <w:rPr>
                <w:rFonts w:cs="Arial"/>
              </w:rPr>
              <w:t>(71) [1</w:t>
            </w:r>
            <w:r>
              <w:rPr>
                <w:rFonts w:cs="Arial"/>
              </w:rPr>
              <w:t>,753/2,455</w:t>
            </w:r>
            <w:r w:rsidRPr="00E0299B">
              <w:rPr>
                <w:rFonts w:cs="Arial"/>
              </w:rPr>
              <w:t>]</w:t>
            </w:r>
          </w:p>
        </w:tc>
      </w:tr>
      <w:tr w:rsidR="001D4B45" w:rsidRPr="00336E00" w14:paraId="72C1BD48" w14:textId="77777777" w:rsidTr="00445260">
        <w:trPr>
          <w:trHeight w:val="336"/>
        </w:trPr>
        <w:tc>
          <w:tcPr>
            <w:tcW w:w="2276" w:type="dxa"/>
          </w:tcPr>
          <w:p w14:paraId="7B0154EF" w14:textId="77777777" w:rsidR="001D4B45" w:rsidRPr="00336E00" w:rsidRDefault="001D4B45" w:rsidP="001D4B45">
            <w:pPr>
              <w:pStyle w:val="DHHStabletext"/>
              <w:rPr>
                <w:rFonts w:cs="Arial"/>
              </w:rPr>
            </w:pPr>
            <w:r w:rsidRPr="00336E00">
              <w:t>WCMICS</w:t>
            </w:r>
          </w:p>
        </w:tc>
        <w:tc>
          <w:tcPr>
            <w:tcW w:w="2858" w:type="dxa"/>
          </w:tcPr>
          <w:p w14:paraId="7D245D6A" w14:textId="31D8D99A" w:rsidR="001D4B45" w:rsidRPr="00336E00" w:rsidRDefault="001D4B45" w:rsidP="001D4B45">
            <w:pPr>
              <w:pStyle w:val="DHHStabletext"/>
            </w:pPr>
            <w:r w:rsidRPr="00E0299B">
              <w:rPr>
                <w:rFonts w:cs="Arial"/>
              </w:rPr>
              <w:t>(79) [1</w:t>
            </w:r>
            <w:r>
              <w:rPr>
                <w:rFonts w:cs="Arial"/>
              </w:rPr>
              <w:t>,</w:t>
            </w:r>
            <w:r w:rsidRPr="00E0299B">
              <w:rPr>
                <w:rFonts w:cs="Arial"/>
              </w:rPr>
              <w:t>3</w:t>
            </w:r>
            <w:r>
              <w:rPr>
                <w:rFonts w:cs="Arial"/>
              </w:rPr>
              <w:t>21/1,668</w:t>
            </w:r>
            <w:r w:rsidRPr="00E0299B">
              <w:rPr>
                <w:rFonts w:cs="Arial"/>
              </w:rPr>
              <w:t>]</w:t>
            </w:r>
          </w:p>
        </w:tc>
        <w:tc>
          <w:tcPr>
            <w:tcW w:w="2715" w:type="dxa"/>
          </w:tcPr>
          <w:p w14:paraId="7720B0CD" w14:textId="6720B239" w:rsidR="001D4B45" w:rsidRPr="00336E00" w:rsidRDefault="001D4B45" w:rsidP="001D4B45">
            <w:pPr>
              <w:pStyle w:val="DHHStabletext"/>
            </w:pPr>
            <w:r w:rsidRPr="00E0299B">
              <w:rPr>
                <w:rFonts w:cs="Arial"/>
              </w:rPr>
              <w:t>(79) [1</w:t>
            </w:r>
            <w:r>
              <w:rPr>
                <w:rFonts w:cs="Arial"/>
              </w:rPr>
              <w:t>,342/1,692</w:t>
            </w:r>
            <w:r w:rsidRPr="00E0299B">
              <w:rPr>
                <w:rFonts w:cs="Arial"/>
              </w:rPr>
              <w:t>]</w:t>
            </w:r>
          </w:p>
        </w:tc>
        <w:tc>
          <w:tcPr>
            <w:tcW w:w="2571" w:type="dxa"/>
          </w:tcPr>
          <w:p w14:paraId="3C2BAE12" w14:textId="6C622745" w:rsidR="001D4B45" w:rsidRPr="00336E00" w:rsidRDefault="001D4B45" w:rsidP="001D4B45">
            <w:pPr>
              <w:pStyle w:val="DHHStabletext"/>
            </w:pPr>
            <w:r w:rsidRPr="00E0299B">
              <w:rPr>
                <w:rFonts w:cs="Arial"/>
              </w:rPr>
              <w:t>(8</w:t>
            </w:r>
            <w:r>
              <w:rPr>
                <w:rFonts w:cs="Arial"/>
              </w:rPr>
              <w:t>2</w:t>
            </w:r>
            <w:r w:rsidRPr="00E0299B">
              <w:rPr>
                <w:rFonts w:cs="Arial"/>
              </w:rPr>
              <w:t>) [1</w:t>
            </w:r>
            <w:r>
              <w:rPr>
                <w:rFonts w:cs="Arial"/>
              </w:rPr>
              <w:t>,412/1,714</w:t>
            </w:r>
            <w:r w:rsidRPr="00E0299B">
              <w:rPr>
                <w:rFonts w:cs="Arial"/>
              </w:rPr>
              <w:t>]</w:t>
            </w:r>
          </w:p>
        </w:tc>
      </w:tr>
      <w:tr w:rsidR="001D4B45" w:rsidRPr="00336E00" w14:paraId="6FD8FF92" w14:textId="77777777" w:rsidTr="00445260">
        <w:trPr>
          <w:trHeight w:val="349"/>
        </w:trPr>
        <w:tc>
          <w:tcPr>
            <w:tcW w:w="2276" w:type="dxa"/>
          </w:tcPr>
          <w:p w14:paraId="0D875DB5" w14:textId="77777777" w:rsidR="001D4B45" w:rsidRPr="00336E00" w:rsidRDefault="001D4B45" w:rsidP="001D4B45">
            <w:pPr>
              <w:pStyle w:val="DHHStabletext"/>
              <w:rPr>
                <w:rFonts w:cs="Arial"/>
              </w:rPr>
            </w:pPr>
            <w:r w:rsidRPr="00336E00">
              <w:t>BSWRICS</w:t>
            </w:r>
          </w:p>
        </w:tc>
        <w:tc>
          <w:tcPr>
            <w:tcW w:w="2858" w:type="dxa"/>
          </w:tcPr>
          <w:p w14:paraId="1D22A79F" w14:textId="0C8977DB" w:rsidR="001D4B45" w:rsidRPr="00336E00" w:rsidRDefault="001D4B45" w:rsidP="001D4B45">
            <w:pPr>
              <w:pStyle w:val="DHHStabletext"/>
            </w:pPr>
            <w:r w:rsidRPr="00E0299B">
              <w:rPr>
                <w:rFonts w:cs="Arial"/>
              </w:rPr>
              <w:t>(8</w:t>
            </w:r>
            <w:r>
              <w:rPr>
                <w:rFonts w:cs="Arial"/>
              </w:rPr>
              <w:t>1</w:t>
            </w:r>
            <w:r w:rsidRPr="00E0299B">
              <w:rPr>
                <w:rFonts w:cs="Arial"/>
              </w:rPr>
              <w:t>) [</w:t>
            </w:r>
            <w:r>
              <w:rPr>
                <w:rFonts w:cs="Arial"/>
              </w:rPr>
              <w:t>574/713</w:t>
            </w:r>
            <w:r w:rsidRPr="00E0299B">
              <w:rPr>
                <w:rFonts w:cs="Arial"/>
              </w:rPr>
              <w:t>]</w:t>
            </w:r>
          </w:p>
        </w:tc>
        <w:tc>
          <w:tcPr>
            <w:tcW w:w="2715" w:type="dxa"/>
          </w:tcPr>
          <w:p w14:paraId="55854172" w14:textId="10C7D4B8" w:rsidR="001D4B45" w:rsidRPr="00336E00" w:rsidRDefault="001D4B45" w:rsidP="001D4B45">
            <w:pPr>
              <w:pStyle w:val="DHHStabletext"/>
            </w:pPr>
            <w:r w:rsidRPr="00E0299B">
              <w:rPr>
                <w:rFonts w:cs="Arial"/>
              </w:rPr>
              <w:t>(83) [</w:t>
            </w:r>
            <w:r>
              <w:rPr>
                <w:rFonts w:cs="Arial"/>
              </w:rPr>
              <w:t>671/804</w:t>
            </w:r>
            <w:r w:rsidRPr="00E0299B">
              <w:rPr>
                <w:rFonts w:cs="Arial"/>
              </w:rPr>
              <w:t>]</w:t>
            </w:r>
          </w:p>
        </w:tc>
        <w:tc>
          <w:tcPr>
            <w:tcW w:w="2571" w:type="dxa"/>
          </w:tcPr>
          <w:p w14:paraId="742CA593" w14:textId="5D38473F" w:rsidR="001D4B45" w:rsidRPr="00336E00" w:rsidRDefault="001D4B45" w:rsidP="001D4B45">
            <w:pPr>
              <w:pStyle w:val="DHHStabletext"/>
            </w:pPr>
            <w:r w:rsidRPr="00E0299B">
              <w:rPr>
                <w:rFonts w:cs="Arial"/>
              </w:rPr>
              <w:t>(87) [</w:t>
            </w:r>
            <w:r>
              <w:rPr>
                <w:rFonts w:cs="Arial"/>
              </w:rPr>
              <w:t>684/784</w:t>
            </w:r>
            <w:r w:rsidRPr="00E0299B">
              <w:rPr>
                <w:rFonts w:cs="Arial"/>
              </w:rPr>
              <w:t>]</w:t>
            </w:r>
          </w:p>
        </w:tc>
      </w:tr>
      <w:tr w:rsidR="001D4B45" w:rsidRPr="00336E00" w14:paraId="52DEF8E4" w14:textId="77777777" w:rsidTr="00445260">
        <w:trPr>
          <w:trHeight w:val="336"/>
        </w:trPr>
        <w:tc>
          <w:tcPr>
            <w:tcW w:w="2276" w:type="dxa"/>
          </w:tcPr>
          <w:p w14:paraId="72D177F3" w14:textId="77777777" w:rsidR="001D4B45" w:rsidRPr="00336E00" w:rsidRDefault="001D4B45" w:rsidP="001D4B45">
            <w:pPr>
              <w:pStyle w:val="DHHStabletext"/>
              <w:rPr>
                <w:rFonts w:cs="Arial"/>
              </w:rPr>
            </w:pPr>
            <w:r w:rsidRPr="00336E00">
              <w:t>GRICS</w:t>
            </w:r>
          </w:p>
        </w:tc>
        <w:tc>
          <w:tcPr>
            <w:tcW w:w="2858" w:type="dxa"/>
          </w:tcPr>
          <w:p w14:paraId="68F3A57A" w14:textId="531222C3" w:rsidR="001D4B45" w:rsidRPr="00336E00" w:rsidRDefault="001D4B45" w:rsidP="001D4B45">
            <w:pPr>
              <w:pStyle w:val="DHHStabletext"/>
            </w:pPr>
            <w:r w:rsidRPr="00E0299B">
              <w:rPr>
                <w:rFonts w:cs="Arial"/>
              </w:rPr>
              <w:t>(74) [4</w:t>
            </w:r>
            <w:r>
              <w:rPr>
                <w:rFonts w:cs="Arial"/>
              </w:rPr>
              <w:t>14/561</w:t>
            </w:r>
            <w:r w:rsidRPr="00E0299B">
              <w:rPr>
                <w:rFonts w:cs="Arial"/>
              </w:rPr>
              <w:t>]</w:t>
            </w:r>
          </w:p>
        </w:tc>
        <w:tc>
          <w:tcPr>
            <w:tcW w:w="2715" w:type="dxa"/>
          </w:tcPr>
          <w:p w14:paraId="6620316E" w14:textId="79CC7BBC" w:rsidR="001D4B45" w:rsidRPr="00336E00" w:rsidRDefault="001D4B45" w:rsidP="001D4B45">
            <w:pPr>
              <w:pStyle w:val="DHHStabletext"/>
            </w:pPr>
            <w:r w:rsidRPr="00E0299B">
              <w:rPr>
                <w:rFonts w:cs="Arial"/>
              </w:rPr>
              <w:t>(7</w:t>
            </w:r>
            <w:r>
              <w:rPr>
                <w:rFonts w:cs="Arial"/>
              </w:rPr>
              <w:t>2</w:t>
            </w:r>
            <w:r w:rsidRPr="00E0299B">
              <w:rPr>
                <w:rFonts w:cs="Arial"/>
              </w:rPr>
              <w:t>) [4</w:t>
            </w:r>
            <w:r>
              <w:rPr>
                <w:rFonts w:cs="Arial"/>
              </w:rPr>
              <w:t>64/648</w:t>
            </w:r>
            <w:r w:rsidRPr="00E0299B">
              <w:rPr>
                <w:rFonts w:cs="Arial"/>
              </w:rPr>
              <w:t>]</w:t>
            </w:r>
          </w:p>
        </w:tc>
        <w:tc>
          <w:tcPr>
            <w:tcW w:w="2571" w:type="dxa"/>
          </w:tcPr>
          <w:p w14:paraId="7C152951" w14:textId="34B3E6E4" w:rsidR="001D4B45" w:rsidRPr="00336E00" w:rsidRDefault="001D4B45" w:rsidP="001D4B45">
            <w:pPr>
              <w:pStyle w:val="DHHStabletext"/>
            </w:pPr>
            <w:r w:rsidRPr="00E0299B">
              <w:rPr>
                <w:rFonts w:cs="Arial"/>
              </w:rPr>
              <w:t>(73) [</w:t>
            </w:r>
            <w:r>
              <w:rPr>
                <w:rFonts w:cs="Arial"/>
              </w:rPr>
              <w:t>473/649</w:t>
            </w:r>
            <w:r w:rsidRPr="00E0299B">
              <w:rPr>
                <w:rFonts w:cs="Arial"/>
              </w:rPr>
              <w:t>]</w:t>
            </w:r>
          </w:p>
        </w:tc>
      </w:tr>
      <w:tr w:rsidR="001D4B45" w:rsidRPr="00336E00" w14:paraId="41592312" w14:textId="77777777" w:rsidTr="00445260">
        <w:trPr>
          <w:trHeight w:val="349"/>
        </w:trPr>
        <w:tc>
          <w:tcPr>
            <w:tcW w:w="2276" w:type="dxa"/>
          </w:tcPr>
          <w:p w14:paraId="4EFF3565" w14:textId="77777777" w:rsidR="001D4B45" w:rsidRPr="00336E00" w:rsidRDefault="001D4B45" w:rsidP="001D4B45">
            <w:pPr>
              <w:pStyle w:val="DHHStabletext"/>
              <w:rPr>
                <w:rFonts w:cs="Arial"/>
              </w:rPr>
            </w:pPr>
            <w:r w:rsidRPr="00336E00">
              <w:t>HRICS</w:t>
            </w:r>
          </w:p>
        </w:tc>
        <w:tc>
          <w:tcPr>
            <w:tcW w:w="2858" w:type="dxa"/>
          </w:tcPr>
          <w:p w14:paraId="2FB0331E" w14:textId="74AD7B96" w:rsidR="001D4B45" w:rsidRPr="00336E00" w:rsidRDefault="001D4B45" w:rsidP="001D4B45">
            <w:pPr>
              <w:pStyle w:val="DHHStabletext"/>
            </w:pPr>
            <w:r w:rsidRPr="00E0299B">
              <w:rPr>
                <w:rFonts w:cs="Arial"/>
              </w:rPr>
              <w:t>(6</w:t>
            </w:r>
            <w:r>
              <w:rPr>
                <w:rFonts w:cs="Arial"/>
              </w:rPr>
              <w:t>1</w:t>
            </w:r>
            <w:r w:rsidRPr="00E0299B">
              <w:rPr>
                <w:rFonts w:cs="Arial"/>
              </w:rPr>
              <w:t>) [3</w:t>
            </w:r>
            <w:r>
              <w:rPr>
                <w:rFonts w:cs="Arial"/>
              </w:rPr>
              <w:t>12/508</w:t>
            </w:r>
            <w:r w:rsidRPr="00E0299B">
              <w:rPr>
                <w:rFonts w:cs="Arial"/>
              </w:rPr>
              <w:t>]</w:t>
            </w:r>
          </w:p>
        </w:tc>
        <w:tc>
          <w:tcPr>
            <w:tcW w:w="2715" w:type="dxa"/>
          </w:tcPr>
          <w:p w14:paraId="15A5CE0F" w14:textId="3E6B23A0" w:rsidR="001D4B45" w:rsidRPr="00336E00" w:rsidRDefault="001D4B45" w:rsidP="001D4B45">
            <w:pPr>
              <w:pStyle w:val="DHHStabletext"/>
            </w:pPr>
            <w:r w:rsidRPr="00E0299B">
              <w:rPr>
                <w:rFonts w:cs="Arial"/>
              </w:rPr>
              <w:t>(68) [</w:t>
            </w:r>
            <w:r>
              <w:rPr>
                <w:rFonts w:cs="Arial"/>
              </w:rPr>
              <w:t>373/551</w:t>
            </w:r>
            <w:r w:rsidRPr="00E0299B">
              <w:rPr>
                <w:rFonts w:cs="Arial"/>
              </w:rPr>
              <w:t>]</w:t>
            </w:r>
          </w:p>
        </w:tc>
        <w:tc>
          <w:tcPr>
            <w:tcW w:w="2571" w:type="dxa"/>
          </w:tcPr>
          <w:p w14:paraId="14DEC5DB" w14:textId="2F428DF6" w:rsidR="001D4B45" w:rsidRPr="00336E00" w:rsidRDefault="001D4B45" w:rsidP="001D4B45">
            <w:pPr>
              <w:pStyle w:val="DHHStabletext"/>
            </w:pPr>
            <w:r w:rsidRPr="00E0299B">
              <w:rPr>
                <w:rFonts w:cs="Arial"/>
              </w:rPr>
              <w:t>(73) [</w:t>
            </w:r>
            <w:r>
              <w:rPr>
                <w:rFonts w:cs="Arial"/>
              </w:rPr>
              <w:t>386/526</w:t>
            </w:r>
            <w:r w:rsidRPr="00E0299B">
              <w:rPr>
                <w:rFonts w:cs="Arial"/>
              </w:rPr>
              <w:t>]</w:t>
            </w:r>
          </w:p>
        </w:tc>
      </w:tr>
      <w:tr w:rsidR="001D4B45" w:rsidRPr="00336E00" w14:paraId="41A930CD" w14:textId="77777777" w:rsidTr="00445260">
        <w:trPr>
          <w:trHeight w:val="336"/>
        </w:trPr>
        <w:tc>
          <w:tcPr>
            <w:tcW w:w="2276" w:type="dxa"/>
          </w:tcPr>
          <w:p w14:paraId="13A35271" w14:textId="77777777" w:rsidR="001D4B45" w:rsidRPr="00336E00" w:rsidRDefault="001D4B45" w:rsidP="001D4B45">
            <w:pPr>
              <w:pStyle w:val="DHHStabletext"/>
              <w:rPr>
                <w:rFonts w:cs="Arial"/>
              </w:rPr>
            </w:pPr>
            <w:r w:rsidRPr="00336E00">
              <w:t>LMICS</w:t>
            </w:r>
          </w:p>
        </w:tc>
        <w:tc>
          <w:tcPr>
            <w:tcW w:w="2858" w:type="dxa"/>
          </w:tcPr>
          <w:p w14:paraId="7B9E77EA" w14:textId="274CF23B" w:rsidR="001D4B45" w:rsidRPr="00336E00" w:rsidRDefault="001D4B45" w:rsidP="001D4B45">
            <w:pPr>
              <w:pStyle w:val="DHHStabletext"/>
            </w:pPr>
            <w:r w:rsidRPr="00E0299B">
              <w:rPr>
                <w:rFonts w:cs="Arial"/>
              </w:rPr>
              <w:t>(74) [</w:t>
            </w:r>
            <w:r>
              <w:rPr>
                <w:rFonts w:cs="Arial"/>
              </w:rPr>
              <w:t>478/642</w:t>
            </w:r>
            <w:r w:rsidRPr="00E0299B">
              <w:rPr>
                <w:rFonts w:cs="Arial"/>
              </w:rPr>
              <w:t>]</w:t>
            </w:r>
          </w:p>
        </w:tc>
        <w:tc>
          <w:tcPr>
            <w:tcW w:w="2715" w:type="dxa"/>
          </w:tcPr>
          <w:p w14:paraId="096B3510" w14:textId="4DF58F6F" w:rsidR="001D4B45" w:rsidRPr="00336E00" w:rsidRDefault="001D4B45" w:rsidP="001D4B45">
            <w:pPr>
              <w:pStyle w:val="DHHStabletext"/>
            </w:pPr>
            <w:r w:rsidRPr="00E0299B">
              <w:rPr>
                <w:rFonts w:cs="Arial"/>
              </w:rPr>
              <w:t>(78) [5</w:t>
            </w:r>
            <w:r>
              <w:rPr>
                <w:rFonts w:cs="Arial"/>
              </w:rPr>
              <w:t>25/670</w:t>
            </w:r>
            <w:r w:rsidRPr="00E0299B">
              <w:rPr>
                <w:rFonts w:cs="Arial"/>
              </w:rPr>
              <w:t>]</w:t>
            </w:r>
          </w:p>
        </w:tc>
        <w:tc>
          <w:tcPr>
            <w:tcW w:w="2571" w:type="dxa"/>
          </w:tcPr>
          <w:p w14:paraId="70DF4D66" w14:textId="608C7289" w:rsidR="001D4B45" w:rsidRPr="00336E00" w:rsidRDefault="001D4B45" w:rsidP="001D4B45">
            <w:pPr>
              <w:pStyle w:val="DHHStabletext"/>
            </w:pPr>
            <w:r w:rsidRPr="00E0299B">
              <w:rPr>
                <w:rFonts w:cs="Arial"/>
              </w:rPr>
              <w:t>(8</w:t>
            </w:r>
            <w:r>
              <w:rPr>
                <w:rFonts w:cs="Arial"/>
              </w:rPr>
              <w:t>2</w:t>
            </w:r>
            <w:r w:rsidRPr="00E0299B">
              <w:rPr>
                <w:rFonts w:cs="Arial"/>
              </w:rPr>
              <w:t>) [</w:t>
            </w:r>
            <w:r>
              <w:rPr>
                <w:rFonts w:cs="Arial"/>
              </w:rPr>
              <w:t>570/694</w:t>
            </w:r>
            <w:r w:rsidRPr="00E0299B">
              <w:rPr>
                <w:rFonts w:cs="Arial"/>
              </w:rPr>
              <w:t>]</w:t>
            </w:r>
          </w:p>
        </w:tc>
      </w:tr>
      <w:tr w:rsidR="001D4B45" w:rsidRPr="00336E00" w14:paraId="66C18DA4" w14:textId="77777777" w:rsidTr="00445260">
        <w:trPr>
          <w:trHeight w:val="349"/>
        </w:trPr>
        <w:tc>
          <w:tcPr>
            <w:tcW w:w="2276" w:type="dxa"/>
          </w:tcPr>
          <w:p w14:paraId="12C1EDEF" w14:textId="77777777" w:rsidR="001D4B45" w:rsidRPr="00336E00" w:rsidRDefault="001D4B45" w:rsidP="001D4B45">
            <w:pPr>
              <w:pStyle w:val="DHHStabletext"/>
              <w:rPr>
                <w:rFonts w:cs="Arial"/>
              </w:rPr>
            </w:pPr>
            <w:r w:rsidRPr="00336E00">
              <w:t>GICS</w:t>
            </w:r>
          </w:p>
        </w:tc>
        <w:tc>
          <w:tcPr>
            <w:tcW w:w="2858" w:type="dxa"/>
          </w:tcPr>
          <w:p w14:paraId="34D1ABE9" w14:textId="0712CA1D" w:rsidR="001D4B45" w:rsidRPr="00336E00" w:rsidRDefault="001D4B45" w:rsidP="001D4B45">
            <w:pPr>
              <w:pStyle w:val="DHHStabletext"/>
            </w:pPr>
            <w:r w:rsidRPr="00E0299B">
              <w:rPr>
                <w:rFonts w:cs="Arial"/>
              </w:rPr>
              <w:t>(75) [3</w:t>
            </w:r>
            <w:r>
              <w:rPr>
                <w:rFonts w:cs="Arial"/>
              </w:rPr>
              <w:t>38/451</w:t>
            </w:r>
            <w:r w:rsidRPr="00E0299B">
              <w:rPr>
                <w:rFonts w:cs="Arial"/>
              </w:rPr>
              <w:t>]</w:t>
            </w:r>
          </w:p>
        </w:tc>
        <w:tc>
          <w:tcPr>
            <w:tcW w:w="2715" w:type="dxa"/>
          </w:tcPr>
          <w:p w14:paraId="6ABCEB6C" w14:textId="76E073ED" w:rsidR="001D4B45" w:rsidRPr="00336E00" w:rsidRDefault="001D4B45" w:rsidP="001D4B45">
            <w:pPr>
              <w:pStyle w:val="DHHStabletext"/>
            </w:pPr>
            <w:r w:rsidRPr="00E0299B">
              <w:rPr>
                <w:rFonts w:cs="Arial"/>
              </w:rPr>
              <w:t>(78) [3</w:t>
            </w:r>
            <w:r>
              <w:rPr>
                <w:rFonts w:cs="Arial"/>
              </w:rPr>
              <w:t>68/472</w:t>
            </w:r>
            <w:r w:rsidRPr="00E0299B">
              <w:rPr>
                <w:rFonts w:cs="Arial"/>
              </w:rPr>
              <w:t>]</w:t>
            </w:r>
          </w:p>
        </w:tc>
        <w:tc>
          <w:tcPr>
            <w:tcW w:w="2571" w:type="dxa"/>
          </w:tcPr>
          <w:p w14:paraId="6CA09002" w14:textId="1BCC508C" w:rsidR="001D4B45" w:rsidRPr="00336E00" w:rsidRDefault="001D4B45" w:rsidP="001D4B45">
            <w:pPr>
              <w:pStyle w:val="DHHStabletext"/>
            </w:pPr>
            <w:r w:rsidRPr="00E0299B">
              <w:rPr>
                <w:rFonts w:cs="Arial"/>
              </w:rPr>
              <w:t>(8</w:t>
            </w:r>
            <w:r>
              <w:rPr>
                <w:rFonts w:cs="Arial"/>
              </w:rPr>
              <w:t>3</w:t>
            </w:r>
            <w:r w:rsidRPr="00E0299B">
              <w:rPr>
                <w:rFonts w:cs="Arial"/>
              </w:rPr>
              <w:t>) [</w:t>
            </w:r>
            <w:r>
              <w:rPr>
                <w:rFonts w:cs="Arial"/>
              </w:rPr>
              <w:t>395/474</w:t>
            </w:r>
            <w:r w:rsidRPr="00E0299B">
              <w:rPr>
                <w:rFonts w:cs="Arial"/>
              </w:rPr>
              <w:t>]</w:t>
            </w:r>
          </w:p>
        </w:tc>
      </w:tr>
      <w:tr w:rsidR="001D4B45" w:rsidRPr="00D23DF3" w14:paraId="004371AE" w14:textId="77777777" w:rsidTr="00445260">
        <w:trPr>
          <w:trHeight w:val="349"/>
        </w:trPr>
        <w:tc>
          <w:tcPr>
            <w:tcW w:w="2276" w:type="dxa"/>
            <w:tcBorders>
              <w:top w:val="nil"/>
            </w:tcBorders>
          </w:tcPr>
          <w:p w14:paraId="67BFDEE2" w14:textId="77777777" w:rsidR="001D4B45" w:rsidRPr="001D4B45" w:rsidRDefault="001D4B45" w:rsidP="001D4B45">
            <w:pPr>
              <w:pStyle w:val="DHHStabletext"/>
              <w:rPr>
                <w:rFonts w:cs="Arial"/>
                <w:b/>
                <w:bCs/>
              </w:rPr>
            </w:pPr>
            <w:r w:rsidRPr="001D4B45">
              <w:rPr>
                <w:b/>
                <w:bCs/>
              </w:rPr>
              <w:t>Victoria</w:t>
            </w:r>
          </w:p>
        </w:tc>
        <w:tc>
          <w:tcPr>
            <w:tcW w:w="2858" w:type="dxa"/>
            <w:tcBorders>
              <w:top w:val="nil"/>
            </w:tcBorders>
          </w:tcPr>
          <w:p w14:paraId="46D672C5" w14:textId="1CC0AAEA" w:rsidR="001D4B45" w:rsidRPr="001D4B45" w:rsidRDefault="001D4B45" w:rsidP="001D4B45">
            <w:pPr>
              <w:pStyle w:val="DHHStabletext"/>
              <w:rPr>
                <w:b/>
                <w:bCs/>
              </w:rPr>
            </w:pPr>
            <w:r w:rsidRPr="001D4B45">
              <w:rPr>
                <w:rFonts w:cs="Arial"/>
                <w:b/>
              </w:rPr>
              <w:t>(73) [6,559/8,926]</w:t>
            </w:r>
          </w:p>
        </w:tc>
        <w:tc>
          <w:tcPr>
            <w:tcW w:w="2715" w:type="dxa"/>
            <w:tcBorders>
              <w:top w:val="nil"/>
            </w:tcBorders>
          </w:tcPr>
          <w:p w14:paraId="2BFDD446" w14:textId="2669A50E" w:rsidR="001D4B45" w:rsidRPr="001D4B45" w:rsidRDefault="001D4B45" w:rsidP="001D4B45">
            <w:pPr>
              <w:pStyle w:val="DHHStabletext"/>
              <w:rPr>
                <w:b/>
                <w:bCs/>
              </w:rPr>
            </w:pPr>
            <w:r w:rsidRPr="001D4B45">
              <w:rPr>
                <w:rFonts w:cs="Arial"/>
                <w:b/>
              </w:rPr>
              <w:t>(74) [7,027/9,435]</w:t>
            </w:r>
          </w:p>
        </w:tc>
        <w:tc>
          <w:tcPr>
            <w:tcW w:w="2571" w:type="dxa"/>
            <w:tcBorders>
              <w:top w:val="nil"/>
            </w:tcBorders>
          </w:tcPr>
          <w:p w14:paraId="43C539B3" w14:textId="3DEDDFF4" w:rsidR="001D4B45" w:rsidRPr="001D4B45" w:rsidRDefault="001D4B45" w:rsidP="001D4B45">
            <w:pPr>
              <w:pStyle w:val="DHHStabletext"/>
              <w:rPr>
                <w:b/>
                <w:bCs/>
              </w:rPr>
            </w:pPr>
            <w:r w:rsidRPr="001D4B45">
              <w:rPr>
                <w:rFonts w:cs="Arial"/>
                <w:b/>
              </w:rPr>
              <w:t>(77) [7,346/9,575]</w:t>
            </w:r>
          </w:p>
        </w:tc>
      </w:tr>
    </w:tbl>
    <w:bookmarkEnd w:id="779"/>
    <w:p w14:paraId="63E0DDDE" w14:textId="77777777" w:rsidR="006638EB" w:rsidRPr="008C7E48" w:rsidRDefault="005C1C59" w:rsidP="00795504">
      <w:pPr>
        <w:pStyle w:val="DHHStablefigurenote"/>
        <w:rPr>
          <w:noProof/>
        </w:rPr>
      </w:pPr>
      <w:r w:rsidRPr="008C7E48">
        <w:rPr>
          <w:noProof/>
        </w:rPr>
        <w:t>Note</w:t>
      </w:r>
      <w:r w:rsidR="00ED6488" w:rsidRPr="008C7E48">
        <w:rPr>
          <w:noProof/>
        </w:rPr>
        <w:t>s</w:t>
      </w:r>
      <w:r w:rsidRPr="008C7E48">
        <w:rPr>
          <w:noProof/>
        </w:rPr>
        <w:t>:</w:t>
      </w:r>
      <w:r w:rsidR="00ED6488" w:rsidRPr="008C7E48">
        <w:rPr>
          <w:noProof/>
        </w:rPr>
        <w:t xml:space="preserve"> </w:t>
      </w:r>
    </w:p>
    <w:p w14:paraId="44AC713A" w14:textId="77777777" w:rsidR="00ED6488" w:rsidRPr="00811D05" w:rsidRDefault="00ED6488" w:rsidP="00795504">
      <w:pPr>
        <w:pStyle w:val="DHHStablefigurenote"/>
      </w:pPr>
      <w:r w:rsidRPr="00811D05">
        <w:t>Cases</w:t>
      </w:r>
    </w:p>
    <w:p w14:paraId="64DB8990" w14:textId="209AB1CC" w:rsidR="00ED6488" w:rsidRPr="00A5376B" w:rsidRDefault="00ED6488" w:rsidP="00160602">
      <w:pPr>
        <w:pStyle w:val="DHHStablefigurenote"/>
        <w:numPr>
          <w:ilvl w:val="0"/>
          <w:numId w:val="58"/>
        </w:numPr>
      </w:pPr>
      <w:r w:rsidRPr="00676EB9">
        <w:t>Those whose notification of cancer to the VCR was by death certificate only (DCO) have been excluded (~5.5</w:t>
      </w:r>
      <w:r w:rsidR="005142EA" w:rsidRPr="00676EB9">
        <w:t xml:space="preserve"> per cent</w:t>
      </w:r>
      <w:r w:rsidRPr="00676EB9">
        <w:t xml:space="preserve"> of cancer deaths </w:t>
      </w:r>
      <w:r w:rsidRPr="00A5376B">
        <w:t>are DCO).</w:t>
      </w:r>
    </w:p>
    <w:p w14:paraId="55394788" w14:textId="77777777" w:rsidR="005C1C59" w:rsidRPr="00811D05" w:rsidRDefault="005C1C59" w:rsidP="00795504">
      <w:pPr>
        <w:pStyle w:val="DHHStablefigurenote"/>
        <w:rPr>
          <w:noProof/>
        </w:rPr>
      </w:pPr>
      <w:r w:rsidRPr="00811D05">
        <w:t>Palliative care (in the year prior to death)</w:t>
      </w:r>
    </w:p>
    <w:p w14:paraId="117A0DAB" w14:textId="77777777" w:rsidR="005C1C59" w:rsidRPr="008C7E48" w:rsidRDefault="005C1C59" w:rsidP="00160602">
      <w:pPr>
        <w:pStyle w:val="DHHStablefigurenote"/>
        <w:numPr>
          <w:ilvl w:val="0"/>
          <w:numId w:val="58"/>
        </w:numPr>
        <w:rPr>
          <w:noProof/>
        </w:rPr>
      </w:pPr>
      <w:r w:rsidRPr="008C7E48">
        <w:t>VAED – episodes with care type 8 or ‘Z515’ diagnosis code</w:t>
      </w:r>
    </w:p>
    <w:p w14:paraId="5247B993" w14:textId="5775FE77" w:rsidR="003F4F2E" w:rsidRPr="001D4B45" w:rsidRDefault="005C1C59" w:rsidP="00160602">
      <w:pPr>
        <w:pStyle w:val="DHHStablefigurenote"/>
        <w:numPr>
          <w:ilvl w:val="0"/>
          <w:numId w:val="58"/>
        </w:numPr>
        <w:rPr>
          <w:noProof/>
        </w:rPr>
      </w:pPr>
      <w:r w:rsidRPr="008C7E48">
        <w:t xml:space="preserve">VINAH (public palliative care) </w:t>
      </w:r>
      <w:r w:rsidR="00F11BAC">
        <w:t>– e</w:t>
      </w:r>
      <w:r w:rsidRPr="008C7E48">
        <w:t>pisodes in the community palliative care or hospital</w:t>
      </w:r>
      <w:r w:rsidR="00F11BAC">
        <w:t>-</w:t>
      </w:r>
      <w:r w:rsidRPr="008C7E48">
        <w:t>based palliative care consultancy team streams. Note</w:t>
      </w:r>
      <w:r w:rsidR="00F11BAC">
        <w:t>:</w:t>
      </w:r>
      <w:r w:rsidR="005F4DE2" w:rsidRPr="008C7E48">
        <w:t xml:space="preserve"> </w:t>
      </w:r>
      <w:r w:rsidR="00F11BAC">
        <w:t>A</w:t>
      </w:r>
      <w:r w:rsidRPr="008C7E48">
        <w:t>ll palliative care contacts included even if the care provided was indirect care, care provided to carer/relative only or a scheduled appointment where patient did not attend.</w:t>
      </w:r>
      <w:r w:rsidR="003F4F2E" w:rsidRPr="001D4B45">
        <w:rPr>
          <w:b/>
        </w:rPr>
        <w:br w:type="page"/>
      </w:r>
    </w:p>
    <w:p w14:paraId="62E096E7" w14:textId="43BD5A8D" w:rsidR="008F1A2B" w:rsidRPr="00671C7A" w:rsidRDefault="008F1A2B" w:rsidP="00E827C0">
      <w:pPr>
        <w:pStyle w:val="Heading4"/>
        <w:spacing w:before="0" w:line="270" w:lineRule="atLeast"/>
      </w:pPr>
      <w:r w:rsidRPr="00DE6E66">
        <w:lastRenderedPageBreak/>
        <w:t>Measure assessment</w:t>
      </w:r>
    </w:p>
    <w:p w14:paraId="5D0A0AA9" w14:textId="1A59C469" w:rsidR="008F1A2B" w:rsidRPr="00061321" w:rsidRDefault="008F1A2B" w:rsidP="00E827C0">
      <w:pPr>
        <w:spacing w:after="120" w:line="270" w:lineRule="atLeast"/>
        <w:rPr>
          <w:rFonts w:ascii="Arial" w:hAnsi="Arial" w:cs="Arial"/>
          <w:color w:val="00B050"/>
        </w:rPr>
      </w:pPr>
      <w:r w:rsidRPr="00AA5C60">
        <w:rPr>
          <w:rFonts w:ascii="Arial" w:hAnsi="Arial" w:cs="Arial"/>
        </w:rPr>
        <w:t xml:space="preserve">Traffic light rating: </w:t>
      </w:r>
      <w:r w:rsidR="001D4982" w:rsidRPr="00061321">
        <w:rPr>
          <w:rFonts w:ascii="Arial" w:hAnsi="Arial" w:cs="Arial"/>
          <w:b/>
          <w:color w:val="007B4B"/>
        </w:rPr>
        <w:t>Green</w:t>
      </w:r>
      <w:r w:rsidR="00061321">
        <w:rPr>
          <w:rFonts w:ascii="Arial" w:hAnsi="Arial" w:cs="Arial"/>
          <w:color w:val="007B4B"/>
        </w:rPr>
        <w:t xml:space="preserve"> (satisfactory result)</w:t>
      </w:r>
    </w:p>
    <w:p w14:paraId="6547E111" w14:textId="77777777" w:rsidR="008F1A2B" w:rsidRPr="00AC5428" w:rsidRDefault="008F1A2B" w:rsidP="00E827C0">
      <w:pPr>
        <w:spacing w:after="120" w:line="270" w:lineRule="atLeast"/>
        <w:rPr>
          <w:rFonts w:ascii="Arial" w:hAnsi="Arial" w:cs="Arial"/>
        </w:rPr>
      </w:pPr>
      <w:r w:rsidRPr="00AC5428">
        <w:rPr>
          <w:rFonts w:ascii="Arial" w:hAnsi="Arial" w:cs="Arial"/>
        </w:rPr>
        <w:t xml:space="preserve">Overall trend: </w:t>
      </w:r>
      <w:r w:rsidR="00AA5C60" w:rsidRPr="00AC5428">
        <w:rPr>
          <w:rFonts w:ascii="Arial" w:hAnsi="Arial" w:cs="Arial"/>
        </w:rPr>
        <w:t>Moving in the right direction</w:t>
      </w:r>
    </w:p>
    <w:p w14:paraId="2E7000F6" w14:textId="5670E158" w:rsidR="00FC74A4" w:rsidRPr="008218F3" w:rsidRDefault="008F1A2B" w:rsidP="00E827C0">
      <w:pPr>
        <w:pStyle w:val="DHHSbody"/>
      </w:pPr>
      <w:r w:rsidRPr="008218F3">
        <w:rPr>
          <w:lang w:eastAsia="en-AU"/>
        </w:rPr>
        <w:t xml:space="preserve">Commentary: For the purposes of this measure the term </w:t>
      </w:r>
      <w:r w:rsidR="00FA4F8B" w:rsidRPr="008218F3">
        <w:t>‘</w:t>
      </w:r>
      <w:r w:rsidR="00F11BAC">
        <w:t>s</w:t>
      </w:r>
      <w:r w:rsidR="00FA4F8B" w:rsidRPr="008218F3">
        <w:t>pecialist palliative care’</w:t>
      </w:r>
      <w:r w:rsidR="00FA4F8B" w:rsidRPr="009D0E1A">
        <w:t xml:space="preserve"> </w:t>
      </w:r>
      <w:r w:rsidR="00FA4F8B" w:rsidRPr="00811D05">
        <w:t>refers to clinicians who have specialist qualifications in palliative care and the designated specialist palliative care sector funded to provide care for those with the most complex end</w:t>
      </w:r>
      <w:r w:rsidR="00F11BAC">
        <w:t>-</w:t>
      </w:r>
      <w:r w:rsidR="00FA4F8B" w:rsidRPr="00811D05">
        <w:t>of</w:t>
      </w:r>
      <w:r w:rsidR="00F11BAC">
        <w:t>-</w:t>
      </w:r>
      <w:r w:rsidR="00FA4F8B" w:rsidRPr="00811D05">
        <w:t>life and palliative care needs</w:t>
      </w:r>
      <w:r w:rsidR="00FA4F8B" w:rsidRPr="009D0E1A">
        <w:t>.</w:t>
      </w:r>
      <w:r w:rsidR="00FA4F8B" w:rsidRPr="009D0E1A">
        <w:rPr>
          <w:rStyle w:val="FootnoteReference"/>
        </w:rPr>
        <w:footnoteReference w:id="140"/>
      </w:r>
      <w:r w:rsidR="00AC5428" w:rsidRPr="008218F3">
        <w:t xml:space="preserve"> In Victoria</w:t>
      </w:r>
      <w:r w:rsidR="006E2C2B">
        <w:t>,</w:t>
      </w:r>
      <w:r w:rsidR="00366B83" w:rsidRPr="008218F3">
        <w:t xml:space="preserve"> </w:t>
      </w:r>
      <w:r w:rsidR="00AC5428" w:rsidRPr="008218F3">
        <w:t>p</w:t>
      </w:r>
      <w:r w:rsidR="00366B83" w:rsidRPr="008218F3">
        <w:t>alliative care is delivered through community, inpatient and consultancy services administered by public, private and non-government providers</w:t>
      </w:r>
      <w:r w:rsidR="003C4DD1" w:rsidRPr="008218F3">
        <w:t>.</w:t>
      </w:r>
    </w:p>
    <w:p w14:paraId="594B4EB3" w14:textId="77777777" w:rsidR="001B5858" w:rsidRDefault="008F1A2B" w:rsidP="001A2A05">
      <w:pPr>
        <w:pStyle w:val="DHHSbody"/>
        <w:rPr>
          <w:lang w:eastAsia="en-AU"/>
        </w:rPr>
      </w:pPr>
      <w:r w:rsidRPr="008218F3">
        <w:rPr>
          <w:lang w:eastAsia="en-AU"/>
        </w:rPr>
        <w:t>While no target has been set</w:t>
      </w:r>
      <w:r w:rsidR="00EA76CC">
        <w:rPr>
          <w:lang w:eastAsia="en-AU"/>
        </w:rPr>
        <w:t>,</w:t>
      </w:r>
      <w:r w:rsidR="00F4118B" w:rsidRPr="008218F3">
        <w:rPr>
          <w:lang w:eastAsia="en-AU"/>
        </w:rPr>
        <w:t xml:space="preserve"> this outcome measure</w:t>
      </w:r>
      <w:r w:rsidR="005B785F" w:rsidRPr="008218F3">
        <w:rPr>
          <w:lang w:eastAsia="en-AU"/>
        </w:rPr>
        <w:t xml:space="preserve"> reports responsiveness of palliative care services to patient needs between 2014 and 2016.</w:t>
      </w:r>
      <w:r w:rsidR="00952FC7">
        <w:rPr>
          <w:lang w:eastAsia="en-AU"/>
        </w:rPr>
        <w:t xml:space="preserve"> </w:t>
      </w:r>
      <w:r w:rsidR="0075500B" w:rsidRPr="008218F3">
        <w:rPr>
          <w:lang w:eastAsia="en-AU"/>
        </w:rPr>
        <w:t>Overall</w:t>
      </w:r>
      <w:r w:rsidR="00F11BAC">
        <w:rPr>
          <w:lang w:eastAsia="en-AU"/>
        </w:rPr>
        <w:t>,</w:t>
      </w:r>
      <w:r w:rsidR="0075500B" w:rsidRPr="008218F3">
        <w:rPr>
          <w:lang w:eastAsia="en-AU"/>
        </w:rPr>
        <w:t xml:space="preserve"> </w:t>
      </w:r>
      <w:r w:rsidR="006E2DDE" w:rsidRPr="008218F3">
        <w:rPr>
          <w:lang w:eastAsia="en-AU"/>
        </w:rPr>
        <w:t>Figure 12.12</w:t>
      </w:r>
      <w:r w:rsidR="007F175A">
        <w:rPr>
          <w:lang w:eastAsia="en-AU"/>
        </w:rPr>
        <w:t xml:space="preserve"> and Table 12.12</w:t>
      </w:r>
      <w:r w:rsidR="0075500B" w:rsidRPr="008218F3">
        <w:rPr>
          <w:lang w:eastAsia="en-AU"/>
        </w:rPr>
        <w:t xml:space="preserve"> show that</w:t>
      </w:r>
      <w:r w:rsidR="00F11BAC">
        <w:rPr>
          <w:lang w:eastAsia="en-AU"/>
        </w:rPr>
        <w:t>,</w:t>
      </w:r>
      <w:r w:rsidR="00875840" w:rsidRPr="008218F3">
        <w:rPr>
          <w:lang w:eastAsia="en-AU"/>
        </w:rPr>
        <w:t xml:space="preserve"> at </w:t>
      </w:r>
      <w:r w:rsidR="00F11BAC">
        <w:rPr>
          <w:lang w:eastAsia="en-AU"/>
        </w:rPr>
        <w:t>the</w:t>
      </w:r>
      <w:r w:rsidR="00875840" w:rsidRPr="008218F3">
        <w:rPr>
          <w:lang w:eastAsia="en-AU"/>
        </w:rPr>
        <w:t xml:space="preserve"> statewide level</w:t>
      </w:r>
      <w:r w:rsidR="0075500B" w:rsidRPr="008218F3">
        <w:rPr>
          <w:lang w:eastAsia="en-AU"/>
        </w:rPr>
        <w:t>,</w:t>
      </w:r>
      <w:r w:rsidR="008218F3">
        <w:rPr>
          <w:lang w:eastAsia="en-AU"/>
        </w:rPr>
        <w:t xml:space="preserve"> all</w:t>
      </w:r>
      <w:r w:rsidR="0075500B" w:rsidRPr="008218F3">
        <w:rPr>
          <w:lang w:eastAsia="en-AU"/>
        </w:rPr>
        <w:t xml:space="preserve"> the ICS</w:t>
      </w:r>
      <w:r w:rsidR="007F175A">
        <w:rPr>
          <w:lang w:eastAsia="en-AU"/>
        </w:rPr>
        <w:t>s</w:t>
      </w:r>
      <w:r w:rsidR="0075500B" w:rsidRPr="008218F3">
        <w:rPr>
          <w:lang w:eastAsia="en-AU"/>
        </w:rPr>
        <w:t xml:space="preserve"> have focused on improving the effectiveness of </w:t>
      </w:r>
      <w:r w:rsidR="00875840" w:rsidRPr="008218F3">
        <w:rPr>
          <w:lang w:eastAsia="en-AU"/>
        </w:rPr>
        <w:t>services</w:t>
      </w:r>
      <w:r w:rsidR="00F11BAC">
        <w:rPr>
          <w:lang w:eastAsia="en-AU"/>
        </w:rPr>
        <w:t>. This is</w:t>
      </w:r>
      <w:r w:rsidR="00875840" w:rsidRPr="008218F3">
        <w:rPr>
          <w:lang w:eastAsia="en-AU"/>
        </w:rPr>
        <w:t xml:space="preserve"> shown by the </w:t>
      </w:r>
      <w:r w:rsidR="0095310B" w:rsidRPr="008218F3">
        <w:rPr>
          <w:lang w:eastAsia="en-AU"/>
        </w:rPr>
        <w:t>proportion of patients receiving specialist palliative care with</w:t>
      </w:r>
      <w:r w:rsidR="00F11BAC">
        <w:rPr>
          <w:lang w:eastAsia="en-AU"/>
        </w:rPr>
        <w:t>in</w:t>
      </w:r>
      <w:r w:rsidR="0095310B" w:rsidRPr="008218F3">
        <w:rPr>
          <w:lang w:eastAsia="en-AU"/>
        </w:rPr>
        <w:t xml:space="preserve"> 12 months prior to death</w:t>
      </w:r>
      <w:r w:rsidR="005B785F" w:rsidRPr="008218F3">
        <w:rPr>
          <w:lang w:eastAsia="en-AU"/>
        </w:rPr>
        <w:t xml:space="preserve"> hav</w:t>
      </w:r>
      <w:r w:rsidR="00F11BAC">
        <w:rPr>
          <w:lang w:eastAsia="en-AU"/>
        </w:rPr>
        <w:t>ing</w:t>
      </w:r>
      <w:r w:rsidR="005B785F" w:rsidRPr="008218F3">
        <w:rPr>
          <w:lang w:eastAsia="en-AU"/>
        </w:rPr>
        <w:t xml:space="preserve"> improved from 73</w:t>
      </w:r>
      <w:r w:rsidR="00BF0E37" w:rsidRPr="008218F3">
        <w:rPr>
          <w:lang w:eastAsia="en-AU"/>
        </w:rPr>
        <w:t xml:space="preserve"> per cent</w:t>
      </w:r>
      <w:r w:rsidR="005B785F" w:rsidRPr="008218F3">
        <w:rPr>
          <w:lang w:eastAsia="en-AU"/>
        </w:rPr>
        <w:t xml:space="preserve"> to 77</w:t>
      </w:r>
      <w:r w:rsidR="00BF0E37" w:rsidRPr="008218F3">
        <w:rPr>
          <w:lang w:eastAsia="en-AU"/>
        </w:rPr>
        <w:t xml:space="preserve"> per cent</w:t>
      </w:r>
      <w:r w:rsidR="005B785F" w:rsidRPr="008218F3">
        <w:rPr>
          <w:lang w:eastAsia="en-AU"/>
        </w:rPr>
        <w:t xml:space="preserve"> over the three-year period.</w:t>
      </w:r>
      <w:r w:rsidR="00952FC7">
        <w:rPr>
          <w:lang w:eastAsia="en-AU"/>
        </w:rPr>
        <w:t xml:space="preserve"> </w:t>
      </w:r>
      <w:r w:rsidR="000D26CA">
        <w:rPr>
          <w:lang w:eastAsia="en-AU"/>
        </w:rPr>
        <w:t>Despite t</w:t>
      </w:r>
      <w:r w:rsidR="002F4C90" w:rsidRPr="008218F3">
        <w:rPr>
          <w:lang w:eastAsia="en-AU"/>
        </w:rPr>
        <w:t>his</w:t>
      </w:r>
      <w:r w:rsidR="00875840" w:rsidRPr="008218F3">
        <w:rPr>
          <w:lang w:eastAsia="en-AU"/>
        </w:rPr>
        <w:t xml:space="preserve"> upward trend</w:t>
      </w:r>
      <w:r w:rsidR="00C60A76">
        <w:rPr>
          <w:lang w:eastAsia="en-AU"/>
        </w:rPr>
        <w:t xml:space="preserve"> </w:t>
      </w:r>
      <w:r w:rsidR="00875840" w:rsidRPr="008218F3">
        <w:rPr>
          <w:lang w:eastAsia="en-AU"/>
        </w:rPr>
        <w:t xml:space="preserve">the results should be interpreted with caution </w:t>
      </w:r>
      <w:r w:rsidR="00F11BAC">
        <w:rPr>
          <w:lang w:eastAsia="en-AU"/>
        </w:rPr>
        <w:t>because</w:t>
      </w:r>
      <w:r w:rsidR="00F11BAC" w:rsidRPr="008218F3">
        <w:rPr>
          <w:lang w:eastAsia="en-AU"/>
        </w:rPr>
        <w:t xml:space="preserve"> </w:t>
      </w:r>
      <w:r w:rsidR="00A07B63" w:rsidRPr="008218F3">
        <w:rPr>
          <w:lang w:eastAsia="en-AU"/>
        </w:rPr>
        <w:t xml:space="preserve">palliative care provided by private hospitals in a community setting is not captured in the linked dataset </w:t>
      </w:r>
      <w:r w:rsidR="00912423" w:rsidRPr="008218F3">
        <w:rPr>
          <w:lang w:eastAsia="en-AU"/>
        </w:rPr>
        <w:t>because</w:t>
      </w:r>
      <w:r w:rsidR="00A07B63" w:rsidRPr="008218F3">
        <w:rPr>
          <w:lang w:eastAsia="en-AU"/>
        </w:rPr>
        <w:t xml:space="preserve"> VINAH is specific to public institutions only.</w:t>
      </w:r>
    </w:p>
    <w:p w14:paraId="43994787" w14:textId="77777777" w:rsidR="001B5858" w:rsidRDefault="001B5858">
      <w:pPr>
        <w:rPr>
          <w:rFonts w:ascii="Arial" w:eastAsia="Times" w:hAnsi="Arial"/>
        </w:rPr>
      </w:pPr>
      <w:r>
        <w:br w:type="page"/>
      </w:r>
    </w:p>
    <w:p w14:paraId="4FFE9488" w14:textId="391707F6" w:rsidR="00DF376C" w:rsidRPr="001B5858" w:rsidRDefault="00DF376C" w:rsidP="001B5858">
      <w:pPr>
        <w:pStyle w:val="Heading3"/>
        <w:rPr>
          <w:rStyle w:val="Heading3Char"/>
          <w:b/>
          <w:bCs/>
        </w:rPr>
      </w:pPr>
      <w:bookmarkStart w:id="780" w:name="_Measure_12.13_–"/>
      <w:bookmarkEnd w:id="780"/>
      <w:r w:rsidRPr="001B5858">
        <w:rPr>
          <w:rStyle w:val="Heading3Char"/>
          <w:b/>
          <w:bCs/>
        </w:rPr>
        <w:lastRenderedPageBreak/>
        <w:t>Measure 12.</w:t>
      </w:r>
      <w:r w:rsidR="00CD1B31" w:rsidRPr="001B5858">
        <w:rPr>
          <w:rStyle w:val="Heading3Char"/>
          <w:b/>
          <w:bCs/>
        </w:rPr>
        <w:t>13</w:t>
      </w:r>
      <w:r w:rsidR="00CD1B31" w:rsidRPr="001B5858">
        <w:t xml:space="preserve"> </w:t>
      </w:r>
      <w:r w:rsidR="00CD1B31" w:rsidRPr="001B5858">
        <w:rPr>
          <w:rStyle w:val="Heading3Char"/>
          <w:b/>
          <w:bCs/>
        </w:rPr>
        <w:t>– Proportion of patients receiving aggressive interventions within 30 days prior to death</w:t>
      </w:r>
    </w:p>
    <w:p w14:paraId="01145E76" w14:textId="7D5C58AB" w:rsidR="001E1F58" w:rsidRDefault="001E1F58" w:rsidP="00867A76">
      <w:pPr>
        <w:pStyle w:val="DHHSfigurecaption"/>
      </w:pPr>
      <w:bookmarkStart w:id="781" w:name="_Toc19008150"/>
      <w:bookmarkStart w:id="782" w:name="_Toc19008360"/>
      <w:bookmarkStart w:id="783" w:name="_Toc19008507"/>
      <w:bookmarkStart w:id="784" w:name="_Toc19008654"/>
      <w:bookmarkStart w:id="785" w:name="_Toc27414362"/>
      <w:r w:rsidRPr="001E1F58">
        <w:t>Figure 12.13</w:t>
      </w:r>
      <w:r w:rsidR="009D0E1A">
        <w:t>:</w:t>
      </w:r>
      <w:r w:rsidRPr="001E1F58">
        <w:t xml:space="preserve"> Proportion of patients receiving aggressive interventions (SACT, radical radiation, ICU) within 30 days prior to death</w:t>
      </w:r>
      <w:r w:rsidR="001F7B7B">
        <w:t>, by year</w:t>
      </w:r>
      <w:r w:rsidR="00F11BAC">
        <w:t>,</w:t>
      </w:r>
      <w:r w:rsidR="001F7B7B">
        <w:t xml:space="preserve"> 2014</w:t>
      </w:r>
      <w:r w:rsidR="009D0E1A">
        <w:t>–</w:t>
      </w:r>
      <w:r w:rsidR="001F7B7B">
        <w:t>2016</w:t>
      </w:r>
      <w:bookmarkEnd w:id="781"/>
      <w:bookmarkEnd w:id="782"/>
      <w:bookmarkEnd w:id="783"/>
      <w:bookmarkEnd w:id="784"/>
      <w:bookmarkEnd w:id="785"/>
    </w:p>
    <w:p w14:paraId="30BE033C" w14:textId="5266B1D4" w:rsidR="001C366C" w:rsidRDefault="008A7FCE" w:rsidP="008A7FCE">
      <w:pPr>
        <w:pStyle w:val="DHHSbody"/>
        <w:rPr>
          <w:b/>
          <w:lang w:eastAsia="en-AU"/>
        </w:rPr>
      </w:pPr>
      <w:r>
        <w:rPr>
          <w:b/>
          <w:noProof/>
          <w:lang w:eastAsia="en-AU"/>
        </w:rPr>
        <w:drawing>
          <wp:inline distT="0" distB="0" distL="0" distR="0" wp14:anchorId="5A2848FF" wp14:editId="0CAC497D">
            <wp:extent cx="6748780" cy="3639820"/>
            <wp:effectExtent l="0" t="0" r="0" b="0"/>
            <wp:docPr id="576" name="Picture 576" descr="This figure shows a data summary of 'Measure 12.13 – Proportion of patients receiving aggressive interventions within 30 days prior to death'. Specially this figure focuses on&#10;the proportion of patients receiving aggressive interventions (SACT, radical radiation, ICU) within 30 days prior to death, by year, 2014–2016. The data set is available under 'Measure 12.13 – Proportion of patients receiving aggressive interventions within 30 days prior to death'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748780" cy="3639820"/>
                    </a:xfrm>
                    <a:prstGeom prst="rect">
                      <a:avLst/>
                    </a:prstGeom>
                    <a:noFill/>
                  </pic:spPr>
                </pic:pic>
              </a:graphicData>
            </a:graphic>
          </wp:inline>
        </w:drawing>
      </w:r>
    </w:p>
    <w:p w14:paraId="54BBAFC3" w14:textId="648B7BBE" w:rsidR="003B7D1B" w:rsidRPr="003B7D1B" w:rsidRDefault="003B7D1B" w:rsidP="00811D05">
      <w:pPr>
        <w:pStyle w:val="DHHStablefigurenote"/>
      </w:pPr>
      <w:r w:rsidRPr="003B7D1B">
        <w:t>Note: Appendix 2 provides the dataset</w:t>
      </w:r>
      <w:r w:rsidR="00A5376B">
        <w:t>.</w:t>
      </w:r>
    </w:p>
    <w:p w14:paraId="14F2156D" w14:textId="29F91C34" w:rsidR="0068548D" w:rsidRPr="0068548D" w:rsidRDefault="0068548D" w:rsidP="00E827C0">
      <w:pPr>
        <w:pStyle w:val="Heading4"/>
        <w:spacing w:before="0" w:line="270" w:lineRule="atLeast"/>
      </w:pPr>
      <w:r w:rsidRPr="00E43803">
        <w:t>Measure assessment</w:t>
      </w:r>
    </w:p>
    <w:p w14:paraId="1CF5A48B" w14:textId="55A660E8" w:rsidR="00026CF2" w:rsidRPr="00026CF2" w:rsidRDefault="009F62F3" w:rsidP="00E827C0">
      <w:pPr>
        <w:autoSpaceDE w:val="0"/>
        <w:autoSpaceDN w:val="0"/>
        <w:adjustRightInd w:val="0"/>
        <w:spacing w:after="120" w:line="270" w:lineRule="atLeast"/>
        <w:rPr>
          <w:rFonts w:ascii="Arial" w:hAnsi="Arial" w:cs="Arial"/>
          <w:color w:val="C5511A"/>
        </w:rPr>
      </w:pPr>
      <w:r w:rsidRPr="00AA5C60">
        <w:rPr>
          <w:rFonts w:ascii="Arial" w:hAnsi="Arial" w:cs="Arial"/>
        </w:rPr>
        <w:t xml:space="preserve">Traffic light rating: </w:t>
      </w:r>
      <w:r w:rsidR="001D4982"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1F8952CE" w14:textId="7F92A6EA" w:rsidR="009F62F3" w:rsidRPr="00D737AB" w:rsidRDefault="009F62F3" w:rsidP="00E827C0">
      <w:pPr>
        <w:spacing w:after="120" w:line="270" w:lineRule="atLeast"/>
        <w:rPr>
          <w:rFonts w:ascii="Arial" w:hAnsi="Arial" w:cs="Arial"/>
        </w:rPr>
      </w:pPr>
      <w:r w:rsidRPr="00D737AB">
        <w:rPr>
          <w:rFonts w:ascii="Arial" w:hAnsi="Arial" w:cs="Arial"/>
        </w:rPr>
        <w:t xml:space="preserve">Overall trend: </w:t>
      </w:r>
      <w:r w:rsidR="001D4982" w:rsidRPr="00D737AB">
        <w:rPr>
          <w:rFonts w:ascii="Arial" w:hAnsi="Arial" w:cs="Arial"/>
        </w:rPr>
        <w:t>Static or unchanging</w:t>
      </w:r>
    </w:p>
    <w:p w14:paraId="1796B26B" w14:textId="0B67ED1E" w:rsidR="005B6AB6" w:rsidRDefault="009F62F3" w:rsidP="00E827C0">
      <w:pPr>
        <w:spacing w:after="120" w:line="270" w:lineRule="atLeast"/>
        <w:rPr>
          <w:rFonts w:ascii="Arial" w:hAnsi="Arial" w:cs="Arial"/>
          <w:lang w:val="en"/>
        </w:rPr>
      </w:pPr>
      <w:r w:rsidRPr="00AA35AF">
        <w:rPr>
          <w:rFonts w:ascii="Arial" w:hAnsi="Arial" w:cs="Arial"/>
        </w:rPr>
        <w:t>Commentary:</w:t>
      </w:r>
      <w:r w:rsidR="00B033FB" w:rsidRPr="00AA35AF">
        <w:rPr>
          <w:rFonts w:ascii="Arial" w:hAnsi="Arial" w:cs="Arial"/>
        </w:rPr>
        <w:t xml:space="preserve"> </w:t>
      </w:r>
      <w:r w:rsidR="00864DA1" w:rsidRPr="00811D05">
        <w:rPr>
          <w:rFonts w:ascii="Arial" w:hAnsi="Arial" w:cs="Arial"/>
          <w:lang w:val="en"/>
        </w:rPr>
        <w:t xml:space="preserve">Aggressive care near death for patients with incurable cancers is </w:t>
      </w:r>
      <w:r w:rsidR="007833AF" w:rsidRPr="00811D05">
        <w:rPr>
          <w:rFonts w:ascii="Arial" w:hAnsi="Arial" w:cs="Arial"/>
          <w:lang w:val="en"/>
        </w:rPr>
        <w:t xml:space="preserve">recognised as </w:t>
      </w:r>
      <w:r w:rsidR="00864DA1" w:rsidRPr="00811D05">
        <w:rPr>
          <w:rFonts w:ascii="Arial" w:hAnsi="Arial" w:cs="Arial"/>
          <w:lang w:val="en"/>
        </w:rPr>
        <w:t>an important end-of-</w:t>
      </w:r>
      <w:r w:rsidR="00253677" w:rsidRPr="00811D05">
        <w:rPr>
          <w:rFonts w:ascii="Arial" w:hAnsi="Arial" w:cs="Arial"/>
          <w:lang w:val="en"/>
        </w:rPr>
        <w:t>life care</w:t>
      </w:r>
      <w:r w:rsidR="00864DA1" w:rsidRPr="00811D05">
        <w:rPr>
          <w:rFonts w:ascii="Arial" w:hAnsi="Arial" w:cs="Arial"/>
          <w:lang w:val="en"/>
        </w:rPr>
        <w:t xml:space="preserve"> quality indicator</w:t>
      </w:r>
      <w:r w:rsidR="00411912" w:rsidRPr="00811D05">
        <w:rPr>
          <w:rFonts w:ascii="Arial" w:hAnsi="Arial" w:cs="Arial"/>
          <w:lang w:val="en"/>
        </w:rPr>
        <w:t>,</w:t>
      </w:r>
      <w:r w:rsidR="00253677" w:rsidRPr="00811D05">
        <w:rPr>
          <w:rStyle w:val="FootnoteReference"/>
          <w:rFonts w:cs="Arial"/>
          <w:lang w:val="en"/>
        </w:rPr>
        <w:footnoteReference w:id="141"/>
      </w:r>
      <w:r w:rsidR="00B5676D" w:rsidRPr="00811D05">
        <w:rPr>
          <w:rFonts w:ascii="Arial" w:hAnsi="Arial" w:cs="Arial"/>
          <w:vertAlign w:val="superscript"/>
          <w:lang w:val="en"/>
        </w:rPr>
        <w:t>,</w:t>
      </w:r>
      <w:r w:rsidR="005F2F8D" w:rsidRPr="00811D05">
        <w:rPr>
          <w:rStyle w:val="FootnoteReference"/>
          <w:rFonts w:cs="Arial"/>
          <w:lang w:val="en"/>
        </w:rPr>
        <w:footnoteReference w:id="142"/>
      </w:r>
      <w:r w:rsidR="00864DA1" w:rsidRPr="00811D05">
        <w:rPr>
          <w:rFonts w:ascii="Arial" w:hAnsi="Arial" w:cs="Arial"/>
          <w:lang w:val="en"/>
        </w:rPr>
        <w:t xml:space="preserve"> </w:t>
      </w:r>
      <w:r w:rsidR="00F55896">
        <w:rPr>
          <w:rFonts w:ascii="Arial" w:hAnsi="Arial" w:cs="Arial"/>
          <w:lang w:val="en"/>
        </w:rPr>
        <w:t>because</w:t>
      </w:r>
      <w:r w:rsidR="00F55896" w:rsidRPr="00811D05">
        <w:rPr>
          <w:rFonts w:ascii="Arial" w:hAnsi="Arial" w:cs="Arial"/>
          <w:lang w:val="en"/>
        </w:rPr>
        <w:t xml:space="preserve"> </w:t>
      </w:r>
      <w:r w:rsidR="00864DA1" w:rsidRPr="00811D05">
        <w:rPr>
          <w:rFonts w:ascii="Arial" w:hAnsi="Arial" w:cs="Arial"/>
          <w:lang w:val="en"/>
        </w:rPr>
        <w:t>aggressive care has been linked with worse quality of life for the patient and worse bereavement adjustment for their caregivers</w:t>
      </w:r>
      <w:r w:rsidR="007E5179" w:rsidRPr="00811D05">
        <w:rPr>
          <w:rFonts w:ascii="Arial" w:hAnsi="Arial" w:cs="Arial"/>
          <w:lang w:val="en"/>
        </w:rPr>
        <w:t>.</w:t>
      </w:r>
      <w:r w:rsidR="005F2F8D" w:rsidRPr="00811D05">
        <w:rPr>
          <w:rStyle w:val="FootnoteReference"/>
          <w:rFonts w:cs="Arial"/>
          <w:lang w:val="en"/>
        </w:rPr>
        <w:footnoteReference w:id="143"/>
      </w:r>
      <w:r w:rsidR="00952FC7" w:rsidRPr="00811D05">
        <w:rPr>
          <w:rFonts w:ascii="Arial" w:hAnsi="Arial" w:cs="Arial"/>
          <w:lang w:val="en"/>
        </w:rPr>
        <w:t xml:space="preserve"> </w:t>
      </w:r>
      <w:r w:rsidR="007833AF" w:rsidRPr="00811D05">
        <w:rPr>
          <w:rFonts w:ascii="Arial" w:hAnsi="Arial" w:cs="Arial"/>
          <w:lang w:val="en"/>
        </w:rPr>
        <w:t xml:space="preserve">For the purpose of this measure key indicators of aggressive care </w:t>
      </w:r>
      <w:r w:rsidR="007833AF" w:rsidRPr="00AA35AF">
        <w:rPr>
          <w:rFonts w:ascii="Arial" w:hAnsi="Arial" w:cs="Arial"/>
          <w:lang w:val="en"/>
        </w:rPr>
        <w:t xml:space="preserve">(interventions) </w:t>
      </w:r>
      <w:r w:rsidR="00D64915" w:rsidRPr="008218F3">
        <w:rPr>
          <w:rFonts w:ascii="Arial" w:hAnsi="Arial" w:cs="Arial"/>
          <w:lang w:val="en"/>
        </w:rPr>
        <w:t xml:space="preserve">in the last 30 days of life that were examined by ICS </w:t>
      </w:r>
      <w:r w:rsidR="007833AF" w:rsidRPr="008218F3">
        <w:rPr>
          <w:rFonts w:ascii="Arial" w:hAnsi="Arial" w:cs="Arial"/>
          <w:lang w:val="en"/>
        </w:rPr>
        <w:t xml:space="preserve">were </w:t>
      </w:r>
      <w:r w:rsidR="00A212E9" w:rsidRPr="008218F3">
        <w:rPr>
          <w:rFonts w:ascii="Arial" w:hAnsi="Arial" w:cs="Arial"/>
          <w:lang w:val="en"/>
        </w:rPr>
        <w:t xml:space="preserve">patients receiving </w:t>
      </w:r>
      <w:r w:rsidR="00F55896">
        <w:rPr>
          <w:rFonts w:ascii="Arial" w:hAnsi="Arial" w:cs="Arial"/>
          <w:lang w:val="en"/>
        </w:rPr>
        <w:t>SACT</w:t>
      </w:r>
      <w:r w:rsidR="00D64915" w:rsidRPr="008218F3">
        <w:rPr>
          <w:rFonts w:ascii="Arial" w:hAnsi="Arial" w:cs="Arial"/>
          <w:lang w:val="en"/>
        </w:rPr>
        <w:t>, radi</w:t>
      </w:r>
      <w:r w:rsidR="00837D4B">
        <w:rPr>
          <w:rFonts w:ascii="Arial" w:hAnsi="Arial" w:cs="Arial"/>
          <w:lang w:val="en"/>
        </w:rPr>
        <w:t>c</w:t>
      </w:r>
      <w:r w:rsidR="00D64915" w:rsidRPr="008218F3">
        <w:rPr>
          <w:rFonts w:ascii="Arial" w:hAnsi="Arial" w:cs="Arial"/>
          <w:lang w:val="en"/>
        </w:rPr>
        <w:t>al radiotherapy</w:t>
      </w:r>
      <w:r w:rsidR="00ED5EC8" w:rsidRPr="008218F3">
        <w:rPr>
          <w:rFonts w:ascii="Arial" w:hAnsi="Arial" w:cs="Arial"/>
          <w:lang w:val="en"/>
        </w:rPr>
        <w:t xml:space="preserve"> (curative intent)</w:t>
      </w:r>
      <w:r w:rsidR="00D64915" w:rsidRPr="008218F3">
        <w:rPr>
          <w:rFonts w:ascii="Arial" w:hAnsi="Arial" w:cs="Arial"/>
          <w:lang w:val="en"/>
        </w:rPr>
        <w:t xml:space="preserve"> and acute inpatient</w:t>
      </w:r>
      <w:r w:rsidR="00C17816" w:rsidRPr="008218F3">
        <w:rPr>
          <w:rFonts w:ascii="Arial" w:hAnsi="Arial" w:cs="Arial"/>
          <w:lang w:val="en"/>
        </w:rPr>
        <w:t>/</w:t>
      </w:r>
      <w:r w:rsidR="00D64915" w:rsidRPr="008218F3">
        <w:rPr>
          <w:rFonts w:ascii="Arial" w:hAnsi="Arial" w:cs="Arial"/>
          <w:lang w:val="en"/>
        </w:rPr>
        <w:t>intensive care unit (ICU) admissions.</w:t>
      </w:r>
      <w:r w:rsidR="006B1496" w:rsidRPr="008218F3">
        <w:rPr>
          <w:rFonts w:ascii="Arial" w:hAnsi="Arial" w:cs="Arial"/>
          <w:lang w:val="en"/>
        </w:rPr>
        <w:t xml:space="preserve"> </w:t>
      </w:r>
      <w:r w:rsidR="00D737AB" w:rsidRPr="008218F3">
        <w:rPr>
          <w:rFonts w:ascii="Arial" w:hAnsi="Arial" w:cs="Arial"/>
        </w:rPr>
        <w:t xml:space="preserve">Figure 12.5 shows that the proportion of patients still receiving chemotherapy within the last 30 days of life was high across </w:t>
      </w:r>
      <w:r w:rsidR="00FC04BC" w:rsidRPr="008218F3">
        <w:rPr>
          <w:rFonts w:ascii="Arial" w:hAnsi="Arial" w:cs="Arial"/>
        </w:rPr>
        <w:t>all</w:t>
      </w:r>
      <w:r w:rsidR="00D737AB" w:rsidRPr="008218F3">
        <w:rPr>
          <w:rFonts w:ascii="Arial" w:hAnsi="Arial" w:cs="Arial"/>
        </w:rPr>
        <w:t xml:space="preserve"> the ICSs</w:t>
      </w:r>
      <w:r w:rsidR="00F55896">
        <w:rPr>
          <w:rFonts w:ascii="Arial" w:hAnsi="Arial" w:cs="Arial"/>
        </w:rPr>
        <w:t>,</w:t>
      </w:r>
      <w:r w:rsidR="00D737AB" w:rsidRPr="008218F3">
        <w:rPr>
          <w:rFonts w:ascii="Arial" w:hAnsi="Arial" w:cs="Arial"/>
        </w:rPr>
        <w:t xml:space="preserve"> ranging from </w:t>
      </w:r>
      <w:r w:rsidR="00D23036">
        <w:rPr>
          <w:rFonts w:ascii="Arial" w:hAnsi="Arial" w:cs="Arial"/>
        </w:rPr>
        <w:t>five</w:t>
      </w:r>
      <w:r w:rsidR="00D737AB" w:rsidRPr="008218F3">
        <w:rPr>
          <w:rFonts w:ascii="Arial" w:hAnsi="Arial" w:cs="Arial"/>
        </w:rPr>
        <w:t xml:space="preserve"> to 12 per cent between 2014 and 2016.</w:t>
      </w:r>
      <w:r w:rsidR="00952FC7">
        <w:rPr>
          <w:rFonts w:ascii="Arial" w:hAnsi="Arial" w:cs="Arial"/>
        </w:rPr>
        <w:t xml:space="preserve"> </w:t>
      </w:r>
      <w:r w:rsidR="003E0089" w:rsidRPr="008218F3">
        <w:rPr>
          <w:rFonts w:ascii="Arial" w:hAnsi="Arial" w:cs="Arial"/>
        </w:rPr>
        <w:t xml:space="preserve">This is despite evidence that </w:t>
      </w:r>
      <w:r w:rsidR="003E0089" w:rsidRPr="008218F3">
        <w:rPr>
          <w:rFonts w:ascii="Arial" w:hAnsi="Arial" w:cs="Arial"/>
          <w:lang w:val="en"/>
        </w:rPr>
        <w:t>the use of chemotherapy near the end of life is not related to its likelihood of providing benefit</w:t>
      </w:r>
      <w:r w:rsidR="005B6AB6">
        <w:rPr>
          <w:rFonts w:ascii="Arial" w:hAnsi="Arial" w:cs="Arial"/>
          <w:lang w:val="en"/>
        </w:rPr>
        <w:t>.</w:t>
      </w:r>
      <w:r w:rsidR="003E0089" w:rsidRPr="008218F3">
        <w:rPr>
          <w:rStyle w:val="FootnoteReference"/>
          <w:rFonts w:cs="Arial"/>
          <w:lang w:val="en"/>
        </w:rPr>
        <w:footnoteReference w:id="144"/>
      </w:r>
      <w:r w:rsidR="003E0089" w:rsidRPr="008218F3">
        <w:rPr>
          <w:rFonts w:ascii="Arial" w:hAnsi="Arial" w:cs="Arial"/>
        </w:rPr>
        <w:t xml:space="preserve"> </w:t>
      </w:r>
      <w:r w:rsidR="005B6AB6" w:rsidRPr="005B6AB6">
        <w:rPr>
          <w:rFonts w:ascii="Arial" w:hAnsi="Arial" w:cs="Arial"/>
        </w:rPr>
        <w:t>However, it cannot be excluded</w:t>
      </w:r>
      <w:r w:rsidR="00F55896">
        <w:rPr>
          <w:rFonts w:ascii="Arial" w:hAnsi="Arial" w:cs="Arial"/>
        </w:rPr>
        <w:t>,</w:t>
      </w:r>
      <w:r w:rsidR="005B6AB6" w:rsidRPr="005B6AB6">
        <w:rPr>
          <w:rFonts w:ascii="Arial" w:hAnsi="Arial" w:cs="Arial"/>
        </w:rPr>
        <w:t xml:space="preserve"> since setting an</w:t>
      </w:r>
      <w:r w:rsidR="005B6AB6" w:rsidRPr="005B6AB6">
        <w:rPr>
          <w:rFonts w:ascii="Arial" w:hAnsi="Arial" w:cs="Arial"/>
          <w:lang w:val="en"/>
        </w:rPr>
        <w:t xml:space="preserve"> </w:t>
      </w:r>
      <w:r w:rsidR="005B6AB6" w:rsidRPr="005B6AB6">
        <w:rPr>
          <w:rFonts w:ascii="Arial" w:hAnsi="Arial" w:cs="Arial"/>
          <w:i/>
          <w:iCs/>
          <w:lang w:val="en"/>
        </w:rPr>
        <w:t>a priori</w:t>
      </w:r>
      <w:r w:rsidR="005B6AB6" w:rsidRPr="005B6AB6">
        <w:rPr>
          <w:rFonts w:ascii="Arial" w:hAnsi="Arial" w:cs="Arial"/>
          <w:lang w:val="en"/>
        </w:rPr>
        <w:t xml:space="preserve"> level of appropriate and inappropriate rate of chemotherapy near the end of life may hinder the aim of palliative care in </w:t>
      </w:r>
      <w:r w:rsidR="005B6AB6" w:rsidRPr="005B6AB6">
        <w:rPr>
          <w:rFonts w:ascii="Arial" w:hAnsi="Arial" w:cs="Arial"/>
          <w:lang w:val="en"/>
        </w:rPr>
        <w:lastRenderedPageBreak/>
        <w:t xml:space="preserve">oncology, </w:t>
      </w:r>
      <w:r w:rsidR="00F55896">
        <w:rPr>
          <w:rFonts w:ascii="Arial" w:hAnsi="Arial" w:cs="Arial"/>
          <w:lang w:val="en"/>
        </w:rPr>
        <w:t>which</w:t>
      </w:r>
      <w:r w:rsidR="008869C1">
        <w:rPr>
          <w:rFonts w:ascii="Arial" w:hAnsi="Arial" w:cs="Arial"/>
          <w:lang w:val="en"/>
        </w:rPr>
        <w:t xml:space="preserve"> is</w:t>
      </w:r>
      <w:r w:rsidR="005B6AB6" w:rsidRPr="005B6AB6">
        <w:rPr>
          <w:rFonts w:ascii="Arial" w:hAnsi="Arial" w:cs="Arial"/>
          <w:lang w:val="en"/>
        </w:rPr>
        <w:t xml:space="preserve"> to address the specific needs of each individual patient based not only on their illness trajectory or physical symptoms but also on their personal preferences and goals of care</w:t>
      </w:r>
      <w:r w:rsidR="005B6AB6">
        <w:rPr>
          <w:rFonts w:ascii="Arial" w:hAnsi="Arial" w:cs="Arial"/>
          <w:lang w:val="en"/>
        </w:rPr>
        <w:t>.</w:t>
      </w:r>
      <w:r w:rsidR="005B6AB6">
        <w:rPr>
          <w:rStyle w:val="FootnoteReference"/>
          <w:rFonts w:cs="Arial"/>
          <w:lang w:val="en"/>
        </w:rPr>
        <w:footnoteReference w:id="145"/>
      </w:r>
    </w:p>
    <w:p w14:paraId="785CF4BF" w14:textId="033756E9" w:rsidR="002F1EB3" w:rsidRDefault="00D12D58" w:rsidP="00D737AB">
      <w:pPr>
        <w:spacing w:after="120" w:line="270" w:lineRule="atLeast"/>
        <w:rPr>
          <w:rFonts w:ascii="Arial" w:hAnsi="Arial" w:cs="Arial"/>
        </w:rPr>
      </w:pPr>
      <w:r w:rsidRPr="00E23DB6">
        <w:rPr>
          <w:rFonts w:ascii="Arial" w:hAnsi="Arial" w:cs="Arial"/>
        </w:rPr>
        <w:t>The proportion of patients admitted to intensive care within 30 days prior to death was similar across the ICSs</w:t>
      </w:r>
      <w:r>
        <w:rPr>
          <w:rFonts w:ascii="Arial" w:hAnsi="Arial" w:cs="Arial"/>
        </w:rPr>
        <w:t xml:space="preserve"> (Figure 12.13 and Table 12.13.2) and was </w:t>
      </w:r>
      <w:r w:rsidR="002F1EB3">
        <w:rPr>
          <w:rFonts w:ascii="Arial" w:hAnsi="Arial" w:cs="Arial"/>
        </w:rPr>
        <w:t>ranked the second highest in terms of key indicators of aggressive care reported via this measure.</w:t>
      </w:r>
    </w:p>
    <w:p w14:paraId="34D7CF8E" w14:textId="1DF103E4" w:rsidR="00F87464" w:rsidRPr="00F87464" w:rsidRDefault="00CE5093" w:rsidP="001A2A05">
      <w:pPr>
        <w:spacing w:after="120" w:line="270" w:lineRule="atLeast"/>
        <w:rPr>
          <w:rFonts w:ascii="Arial" w:hAnsi="Arial" w:cs="Arial"/>
        </w:rPr>
      </w:pPr>
      <w:r w:rsidRPr="007D284E">
        <w:rPr>
          <w:rFonts w:ascii="Arial" w:hAnsi="Arial" w:cs="Arial"/>
          <w:color w:val="000000" w:themeColor="text1"/>
        </w:rPr>
        <w:t>Radiotherapy</w:t>
      </w:r>
      <w:r w:rsidR="00F55896" w:rsidRPr="007D284E">
        <w:rPr>
          <w:rFonts w:ascii="Arial" w:hAnsi="Arial" w:cs="Arial"/>
          <w:color w:val="000000" w:themeColor="text1"/>
        </w:rPr>
        <w:t xml:space="preserve"> </w:t>
      </w:r>
      <w:r w:rsidRPr="007D284E">
        <w:rPr>
          <w:rFonts w:ascii="Arial" w:hAnsi="Arial" w:cs="Arial"/>
          <w:color w:val="000000" w:themeColor="text1"/>
        </w:rPr>
        <w:t>is an indispensable modality for cancer treatment</w:t>
      </w:r>
      <w:r w:rsidR="007D284E" w:rsidRPr="007D284E">
        <w:rPr>
          <w:rFonts w:ascii="Arial" w:hAnsi="Arial" w:cs="Arial"/>
          <w:color w:val="000000" w:themeColor="text1"/>
        </w:rPr>
        <w:t xml:space="preserve"> as it </w:t>
      </w:r>
      <w:r w:rsidR="007D284E" w:rsidRPr="007D284E">
        <w:rPr>
          <w:rFonts w:ascii="Arial" w:hAnsi="Arial" w:cs="Arial"/>
          <w:lang w:val="en"/>
        </w:rPr>
        <w:t>can be an effective tool for palliation of symptoms arising from cancer, such as pain from bone metastases or neurologic compromise from brain or spinal metastases.</w:t>
      </w:r>
      <w:r w:rsidR="007D284E" w:rsidRPr="007D284E">
        <w:rPr>
          <w:rStyle w:val="FootnoteReference"/>
          <w:rFonts w:cs="Arial"/>
          <w:lang w:val="en"/>
        </w:rPr>
        <w:footnoteReference w:id="146"/>
      </w:r>
      <w:r w:rsidR="007D284E">
        <w:rPr>
          <w:rFonts w:ascii="Arial" w:hAnsi="Arial" w:cs="Arial"/>
          <w:color w:val="000000" w:themeColor="text1"/>
        </w:rPr>
        <w:t xml:space="preserve"> </w:t>
      </w:r>
      <w:r w:rsidR="00F87464" w:rsidRPr="00F87464">
        <w:rPr>
          <w:rFonts w:ascii="Arial" w:hAnsi="Arial" w:cs="Arial"/>
        </w:rPr>
        <w:t>Figure 12.13 and Table 12.13.1 show that r</w:t>
      </w:r>
      <w:r w:rsidR="00F55896" w:rsidRPr="00F87464">
        <w:rPr>
          <w:rFonts w:ascii="Arial" w:hAnsi="Arial" w:cs="Arial"/>
          <w:color w:val="000000" w:themeColor="text1"/>
        </w:rPr>
        <w:t xml:space="preserve">adiotherapy use </w:t>
      </w:r>
      <w:r w:rsidR="00D737AB" w:rsidRPr="00F87464">
        <w:rPr>
          <w:rFonts w:ascii="Arial" w:hAnsi="Arial" w:cs="Arial"/>
        </w:rPr>
        <w:t>remained low across all ICS</w:t>
      </w:r>
      <w:r w:rsidR="00EA5012" w:rsidRPr="00F87464">
        <w:rPr>
          <w:rFonts w:ascii="Arial" w:hAnsi="Arial" w:cs="Arial"/>
        </w:rPr>
        <w:t>s</w:t>
      </w:r>
      <w:r w:rsidR="00D737AB" w:rsidRPr="00F87464">
        <w:rPr>
          <w:rFonts w:ascii="Arial" w:hAnsi="Arial" w:cs="Arial"/>
        </w:rPr>
        <w:t xml:space="preserve"> within the last month of life in this analysi</w:t>
      </w:r>
      <w:r w:rsidR="001263A2">
        <w:rPr>
          <w:rFonts w:ascii="Arial" w:hAnsi="Arial" w:cs="Arial"/>
        </w:rPr>
        <w:t>s</w:t>
      </w:r>
      <w:r w:rsidR="00F87464" w:rsidRPr="00F87464">
        <w:rPr>
          <w:rFonts w:ascii="Arial" w:hAnsi="Arial" w:cs="Arial"/>
        </w:rPr>
        <w:t>.  Explanation for why the use of radiotherapy was low is beyond the scope of these data.</w:t>
      </w:r>
    </w:p>
    <w:p w14:paraId="54AE9C88" w14:textId="5DA62F56" w:rsidR="00D737AB" w:rsidRPr="007D284E" w:rsidRDefault="00390F53" w:rsidP="001A2A05">
      <w:pPr>
        <w:spacing w:after="120" w:line="270" w:lineRule="atLeast"/>
        <w:rPr>
          <w:rFonts w:ascii="Arial" w:hAnsi="Arial" w:cs="Arial"/>
          <w:color w:val="000000" w:themeColor="text1"/>
        </w:rPr>
      </w:pPr>
      <w:r w:rsidRPr="00E23DB6">
        <w:rPr>
          <w:rFonts w:ascii="Arial" w:hAnsi="Arial" w:cs="Arial"/>
        </w:rPr>
        <w:t xml:space="preserve">While no target has been set for this measure </w:t>
      </w:r>
      <w:r w:rsidR="00E23DB6" w:rsidRPr="00E23DB6">
        <w:rPr>
          <w:rFonts w:ascii="Arial" w:hAnsi="Arial" w:cs="Arial"/>
          <w:color w:val="000000" w:themeColor="text1"/>
        </w:rPr>
        <w:t>understanding</w:t>
      </w:r>
      <w:r w:rsidR="0065615F">
        <w:rPr>
          <w:rFonts w:ascii="Arial" w:hAnsi="Arial" w:cs="Arial"/>
          <w:color w:val="000000" w:themeColor="text1"/>
        </w:rPr>
        <w:t xml:space="preserve"> </w:t>
      </w:r>
      <w:r w:rsidR="00E23DB6" w:rsidRPr="00E23DB6">
        <w:rPr>
          <w:rFonts w:ascii="Arial" w:hAnsi="Arial" w:cs="Arial"/>
          <w:color w:val="000000" w:themeColor="text1"/>
        </w:rPr>
        <w:t>this quality of care measure is the first and crucial step in identifying any shortcomings or variations of Victoria-wide current practice, which will then allow for opportunities for improvement in aggressive care delivery.</w:t>
      </w:r>
      <w:r w:rsidR="00D737AB">
        <w:br w:type="page"/>
      </w:r>
    </w:p>
    <w:p w14:paraId="74950AEE" w14:textId="6AEB01BD" w:rsidR="00DF376C" w:rsidRDefault="00DF376C" w:rsidP="00DF376C">
      <w:pPr>
        <w:pStyle w:val="Heading3"/>
        <w:rPr>
          <w:lang w:eastAsia="en-AU"/>
        </w:rPr>
      </w:pPr>
      <w:bookmarkStart w:id="786" w:name="_Measure_12.14_–"/>
      <w:bookmarkStart w:id="787" w:name="_Toc19008151"/>
      <w:bookmarkEnd w:id="786"/>
      <w:r>
        <w:rPr>
          <w:lang w:eastAsia="en-AU"/>
        </w:rPr>
        <w:lastRenderedPageBreak/>
        <w:t>Measure 12.14 –</w:t>
      </w:r>
      <w:r w:rsidR="00430845">
        <w:rPr>
          <w:lang w:eastAsia="en-AU"/>
        </w:rPr>
        <w:t xml:space="preserve"> Proportion of deaths due to cancer that occur in hospitals</w:t>
      </w:r>
      <w:bookmarkEnd w:id="787"/>
    </w:p>
    <w:p w14:paraId="14D15163" w14:textId="3EE02E79" w:rsidR="000C63D4" w:rsidRDefault="001A7DD7" w:rsidP="00867A76">
      <w:pPr>
        <w:pStyle w:val="DHHSfigurecaption"/>
      </w:pPr>
      <w:bookmarkStart w:id="788" w:name="_Toc19008152"/>
      <w:bookmarkStart w:id="789" w:name="_Toc19008361"/>
      <w:bookmarkStart w:id="790" w:name="_Toc19008508"/>
      <w:bookmarkStart w:id="791" w:name="_Toc19008655"/>
      <w:bookmarkStart w:id="792" w:name="_Toc27414363"/>
      <w:r w:rsidRPr="001A7DD7">
        <w:t>Figure</w:t>
      </w:r>
      <w:r w:rsidR="00B8748A" w:rsidRPr="001A7DD7">
        <w:t xml:space="preserve"> 12.14</w:t>
      </w:r>
      <w:r w:rsidR="009D0E1A">
        <w:t>:</w:t>
      </w:r>
      <w:r w:rsidR="00B8748A" w:rsidRPr="001A7DD7">
        <w:t xml:space="preserve"> </w:t>
      </w:r>
      <w:r w:rsidR="00E74E76" w:rsidRPr="001A7DD7">
        <w:t>P</w:t>
      </w:r>
      <w:r w:rsidR="00B8748A" w:rsidRPr="001A7DD7">
        <w:t>roportion of deaths due to cancer that occur in hospitals</w:t>
      </w:r>
      <w:r w:rsidR="00F55896">
        <w:t>,</w:t>
      </w:r>
      <w:r w:rsidR="00B8748A" w:rsidRPr="001A7DD7">
        <w:t xml:space="preserve"> by </w:t>
      </w:r>
      <w:r w:rsidR="008439C8">
        <w:t>ICS</w:t>
      </w:r>
      <w:r w:rsidR="00B8748A" w:rsidRPr="001A7DD7">
        <w:t xml:space="preserve"> </w:t>
      </w:r>
      <w:r w:rsidR="00064C5E">
        <w:t xml:space="preserve">and </w:t>
      </w:r>
      <w:r w:rsidR="009D0E1A">
        <w:t>s</w:t>
      </w:r>
      <w:r w:rsidR="00064C5E">
        <w:t>tate</w:t>
      </w:r>
      <w:r w:rsidR="00B8748A" w:rsidRPr="001A7DD7">
        <w:t>, 2014</w:t>
      </w:r>
      <w:r w:rsidR="009D0E1A">
        <w:t>–</w:t>
      </w:r>
      <w:r w:rsidR="00B8748A" w:rsidRPr="001A7DD7">
        <w:t>2016</w:t>
      </w:r>
      <w:bookmarkEnd w:id="788"/>
      <w:bookmarkEnd w:id="789"/>
      <w:bookmarkEnd w:id="790"/>
      <w:bookmarkEnd w:id="791"/>
      <w:bookmarkEnd w:id="792"/>
    </w:p>
    <w:p w14:paraId="460A490F" w14:textId="340634F9" w:rsidR="005102AD" w:rsidRDefault="008A7FCE" w:rsidP="008D79A8">
      <w:pPr>
        <w:pStyle w:val="DHHSbody"/>
        <w:rPr>
          <w:b/>
          <w:lang w:eastAsia="en-AU"/>
        </w:rPr>
      </w:pPr>
      <w:r>
        <w:rPr>
          <w:b/>
          <w:noProof/>
          <w:lang w:eastAsia="en-AU"/>
        </w:rPr>
        <w:drawing>
          <wp:inline distT="0" distB="0" distL="0" distR="0" wp14:anchorId="30917DA9" wp14:editId="52B06348">
            <wp:extent cx="6730365" cy="3797935"/>
            <wp:effectExtent l="0" t="0" r="0" b="0"/>
            <wp:docPr id="577" name="Picture 577" descr="This figure presents data under the 'Measure 12.14 – Proportion of deaths due to cancer that occur in hospitals'.  The data for this figure for the study period 2014 to 2016 and by Integrated Cancer Service is available in this section - refer to Table 12.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730365" cy="3797935"/>
                    </a:xfrm>
                    <a:prstGeom prst="rect">
                      <a:avLst/>
                    </a:prstGeom>
                    <a:noFill/>
                  </pic:spPr>
                </pic:pic>
              </a:graphicData>
            </a:graphic>
          </wp:inline>
        </w:drawing>
      </w:r>
    </w:p>
    <w:p w14:paraId="5BF30F34" w14:textId="53CE1FF9" w:rsidR="008F3D73" w:rsidRDefault="00257E75" w:rsidP="00867A76">
      <w:pPr>
        <w:pStyle w:val="DHHStablecaption"/>
      </w:pPr>
      <w:bookmarkStart w:id="793" w:name="_Toc18908743"/>
      <w:bookmarkStart w:id="794" w:name="_Toc27414423"/>
      <w:r w:rsidRPr="00867A76">
        <w:t>Table 12.</w:t>
      </w:r>
      <w:r w:rsidR="001161B8" w:rsidRPr="00867A76">
        <w:t>1</w:t>
      </w:r>
      <w:r w:rsidRPr="00867A76">
        <w:t>4</w:t>
      </w:r>
      <w:r w:rsidR="009D0E1A" w:rsidRPr="00867A76">
        <w:t>:</w:t>
      </w:r>
      <w:r w:rsidRPr="00867A76">
        <w:t xml:space="preserve"> Proportion</w:t>
      </w:r>
      <w:r w:rsidR="000C63D4" w:rsidRPr="00867A76">
        <w:t>/</w:t>
      </w:r>
      <w:r w:rsidRPr="00867A76">
        <w:t xml:space="preserve">number of deaths </w:t>
      </w:r>
      <w:r w:rsidR="00B572F6" w:rsidRPr="00867A76">
        <w:t>due to cancer that occur in hospitals</w:t>
      </w:r>
      <w:r w:rsidR="00F55896" w:rsidRPr="00867A76">
        <w:t>,</w:t>
      </w:r>
      <w:r w:rsidR="00B572F6" w:rsidRPr="00867A76">
        <w:t xml:space="preserve"> by </w:t>
      </w:r>
      <w:r w:rsidR="008439C8" w:rsidRPr="00867A76">
        <w:t>ICS</w:t>
      </w:r>
      <w:r w:rsidR="00B572F6" w:rsidRPr="00867A76">
        <w:t>, 2014</w:t>
      </w:r>
      <w:r w:rsidR="009D0E1A" w:rsidRPr="00867A76">
        <w:t>–</w:t>
      </w:r>
      <w:r w:rsidR="00B572F6" w:rsidRPr="00867A76">
        <w:t>2016</w:t>
      </w:r>
      <w:bookmarkEnd w:id="793"/>
      <w:bookmarkEnd w:id="794"/>
    </w:p>
    <w:tbl>
      <w:tblPr>
        <w:tblStyle w:val="TableGrid"/>
        <w:tblW w:w="10206" w:type="dxa"/>
        <w:tblInd w:w="-10" w:type="dxa"/>
        <w:tblBorders>
          <w:top w:val="none" w:sz="0" w:space="0" w:color="auto"/>
          <w:left w:val="none" w:sz="0" w:space="0" w:color="auto"/>
          <w:bottom w:val="single" w:sz="4" w:space="0" w:color="C00000"/>
          <w:right w:val="none" w:sz="0" w:space="0" w:color="auto"/>
          <w:insideH w:val="single" w:sz="4" w:space="0" w:color="C00000"/>
          <w:insideV w:val="none" w:sz="0" w:space="0" w:color="auto"/>
        </w:tblBorders>
        <w:tblLook w:val="04A0" w:firstRow="1" w:lastRow="0" w:firstColumn="1" w:lastColumn="0" w:noHBand="0" w:noVBand="1"/>
      </w:tblPr>
      <w:tblGrid>
        <w:gridCol w:w="3544"/>
        <w:gridCol w:w="2436"/>
        <w:gridCol w:w="2242"/>
        <w:gridCol w:w="1984"/>
      </w:tblGrid>
      <w:tr w:rsidR="00922A0F" w:rsidRPr="009C7CAC" w14:paraId="595B99E3" w14:textId="77777777" w:rsidTr="000A3FA4">
        <w:tc>
          <w:tcPr>
            <w:tcW w:w="3544" w:type="dxa"/>
            <w:shd w:val="clear" w:color="auto" w:fill="EDCDCF"/>
          </w:tcPr>
          <w:p w14:paraId="1FE28DDC" w14:textId="77777777" w:rsidR="00922A0F" w:rsidRPr="009C7CAC" w:rsidRDefault="00922A0F" w:rsidP="00DC249B">
            <w:pPr>
              <w:pStyle w:val="DHHStablecolhead"/>
            </w:pPr>
            <w:r>
              <w:t>ICS</w:t>
            </w:r>
          </w:p>
        </w:tc>
        <w:tc>
          <w:tcPr>
            <w:tcW w:w="2436" w:type="dxa"/>
            <w:shd w:val="clear" w:color="auto" w:fill="EDCDCF"/>
          </w:tcPr>
          <w:p w14:paraId="5168F5B5" w14:textId="77777777" w:rsidR="00922A0F" w:rsidRPr="009C7CAC" w:rsidRDefault="00922A0F" w:rsidP="00DC249B">
            <w:pPr>
              <w:pStyle w:val="DHHStablecolhead"/>
            </w:pPr>
            <w:r w:rsidRPr="009C7CAC">
              <w:t>2014</w:t>
            </w:r>
            <w:r>
              <w:t xml:space="preserve"> (Year of death)</w:t>
            </w:r>
          </w:p>
          <w:p w14:paraId="42A6F0DA" w14:textId="77777777" w:rsidR="00922A0F" w:rsidRPr="009C7CAC" w:rsidRDefault="00922A0F" w:rsidP="00DC249B">
            <w:pPr>
              <w:pStyle w:val="DHHStablecolhead"/>
            </w:pPr>
            <w:r w:rsidRPr="009C7CAC">
              <w:t>(%) [n/No.]</w:t>
            </w:r>
          </w:p>
        </w:tc>
        <w:tc>
          <w:tcPr>
            <w:tcW w:w="2242" w:type="dxa"/>
            <w:shd w:val="clear" w:color="auto" w:fill="EDCDCF"/>
          </w:tcPr>
          <w:p w14:paraId="1972BBB5" w14:textId="77777777" w:rsidR="00922A0F" w:rsidRPr="009C7CAC" w:rsidRDefault="00922A0F" w:rsidP="00DC249B">
            <w:pPr>
              <w:pStyle w:val="DHHStablecolhead"/>
            </w:pPr>
            <w:r w:rsidRPr="009C7CAC">
              <w:t>2015</w:t>
            </w:r>
            <w:r>
              <w:t xml:space="preserve"> (Year of death)</w:t>
            </w:r>
          </w:p>
          <w:p w14:paraId="6197C06E" w14:textId="77777777" w:rsidR="00922A0F" w:rsidRPr="009C7CAC" w:rsidRDefault="00922A0F" w:rsidP="00DC249B">
            <w:pPr>
              <w:pStyle w:val="DHHStablecolhead"/>
            </w:pPr>
            <w:r w:rsidRPr="009C7CAC">
              <w:t>(%) [n/No.]</w:t>
            </w:r>
          </w:p>
        </w:tc>
        <w:tc>
          <w:tcPr>
            <w:tcW w:w="1984" w:type="dxa"/>
            <w:shd w:val="clear" w:color="auto" w:fill="EDCDCF"/>
          </w:tcPr>
          <w:p w14:paraId="15BE2636" w14:textId="77777777" w:rsidR="00922A0F" w:rsidRPr="009C7CAC" w:rsidRDefault="00922A0F" w:rsidP="00DC249B">
            <w:pPr>
              <w:pStyle w:val="DHHStablecolhead"/>
            </w:pPr>
            <w:r w:rsidRPr="009C7CAC">
              <w:t>2016</w:t>
            </w:r>
            <w:r>
              <w:t xml:space="preserve"> (Year of death)</w:t>
            </w:r>
          </w:p>
          <w:p w14:paraId="3ACCAED3" w14:textId="77777777" w:rsidR="00922A0F" w:rsidRPr="009C7CAC" w:rsidRDefault="00922A0F" w:rsidP="00DC249B">
            <w:pPr>
              <w:pStyle w:val="DHHStablecolhead"/>
            </w:pPr>
            <w:r w:rsidRPr="009C7CAC">
              <w:t>(%) [n/No.]</w:t>
            </w:r>
          </w:p>
        </w:tc>
      </w:tr>
      <w:tr w:rsidR="00922A0F" w:rsidRPr="00336E00" w14:paraId="3D2B2862" w14:textId="77777777" w:rsidTr="000A3FA4">
        <w:tc>
          <w:tcPr>
            <w:tcW w:w="3544" w:type="dxa"/>
          </w:tcPr>
          <w:p w14:paraId="2A2B6D03" w14:textId="77777777" w:rsidR="00922A0F" w:rsidRPr="00336E00" w:rsidRDefault="00922A0F" w:rsidP="000A3FA4">
            <w:pPr>
              <w:pStyle w:val="DHHStabletext"/>
              <w:rPr>
                <w:rFonts w:cs="Arial"/>
              </w:rPr>
            </w:pPr>
            <w:r w:rsidRPr="00336E00">
              <w:t>NEMICS</w:t>
            </w:r>
          </w:p>
        </w:tc>
        <w:tc>
          <w:tcPr>
            <w:tcW w:w="2436" w:type="dxa"/>
            <w:vAlign w:val="center"/>
          </w:tcPr>
          <w:p w14:paraId="5F01D3DF" w14:textId="0D0B3432" w:rsidR="00922A0F" w:rsidRPr="00336E00" w:rsidRDefault="00922A0F" w:rsidP="000A3FA4">
            <w:pPr>
              <w:pStyle w:val="DHHStabletext"/>
            </w:pPr>
            <w:r>
              <w:t>(75) [1,512/2,016]</w:t>
            </w:r>
          </w:p>
        </w:tc>
        <w:tc>
          <w:tcPr>
            <w:tcW w:w="2242" w:type="dxa"/>
            <w:vAlign w:val="center"/>
          </w:tcPr>
          <w:p w14:paraId="6429EC4C" w14:textId="01DE096E" w:rsidR="00922A0F" w:rsidRPr="00336E00" w:rsidRDefault="00922A0F" w:rsidP="000A3FA4">
            <w:pPr>
              <w:pStyle w:val="DHHStabletext"/>
            </w:pPr>
            <w:r>
              <w:t>(74) [1,525/2,057]</w:t>
            </w:r>
          </w:p>
        </w:tc>
        <w:tc>
          <w:tcPr>
            <w:tcW w:w="1984" w:type="dxa"/>
            <w:vAlign w:val="center"/>
          </w:tcPr>
          <w:p w14:paraId="375B1B18" w14:textId="3E1C7B55" w:rsidR="00922A0F" w:rsidRPr="00336E00" w:rsidRDefault="00922A0F" w:rsidP="000A3FA4">
            <w:pPr>
              <w:pStyle w:val="DHHStabletext"/>
            </w:pPr>
            <w:r>
              <w:t>(75) [1,542/2,069]</w:t>
            </w:r>
          </w:p>
        </w:tc>
      </w:tr>
      <w:tr w:rsidR="00922A0F" w:rsidRPr="00336E00" w14:paraId="1A86D9D4" w14:textId="77777777" w:rsidTr="000A3FA4">
        <w:tc>
          <w:tcPr>
            <w:tcW w:w="3544" w:type="dxa"/>
          </w:tcPr>
          <w:p w14:paraId="3BB90813" w14:textId="77777777" w:rsidR="00922A0F" w:rsidRPr="00336E00" w:rsidRDefault="00922A0F" w:rsidP="000A3FA4">
            <w:pPr>
              <w:pStyle w:val="DHHStabletext"/>
              <w:rPr>
                <w:rFonts w:cs="Arial"/>
              </w:rPr>
            </w:pPr>
            <w:r w:rsidRPr="00336E00">
              <w:t>SMICS</w:t>
            </w:r>
          </w:p>
        </w:tc>
        <w:tc>
          <w:tcPr>
            <w:tcW w:w="2436" w:type="dxa"/>
          </w:tcPr>
          <w:p w14:paraId="44779DE3" w14:textId="65B43276" w:rsidR="00922A0F" w:rsidRPr="00336E00" w:rsidRDefault="00922A0F" w:rsidP="000A3FA4">
            <w:pPr>
              <w:pStyle w:val="DHHStabletext"/>
            </w:pPr>
            <w:r>
              <w:t>(73) [1,716/2,365]</w:t>
            </w:r>
          </w:p>
        </w:tc>
        <w:tc>
          <w:tcPr>
            <w:tcW w:w="2242" w:type="dxa"/>
          </w:tcPr>
          <w:p w14:paraId="3BF0F744" w14:textId="4D00CDC1" w:rsidR="00922A0F" w:rsidRPr="00336E00" w:rsidRDefault="00922A0F" w:rsidP="000A3FA4">
            <w:pPr>
              <w:pStyle w:val="DHHStabletext"/>
            </w:pPr>
            <w:r>
              <w:t>(74) [1,833/2,488]</w:t>
            </w:r>
          </w:p>
        </w:tc>
        <w:tc>
          <w:tcPr>
            <w:tcW w:w="1984" w:type="dxa"/>
          </w:tcPr>
          <w:p w14:paraId="264AB177" w14:textId="32E24CBD" w:rsidR="00922A0F" w:rsidRPr="00336E00" w:rsidRDefault="00922A0F" w:rsidP="000A3FA4">
            <w:pPr>
              <w:pStyle w:val="DHHStabletext"/>
            </w:pPr>
            <w:r>
              <w:t>(70) [1,707/2,455]]</w:t>
            </w:r>
          </w:p>
        </w:tc>
      </w:tr>
      <w:tr w:rsidR="00922A0F" w:rsidRPr="00336E00" w14:paraId="351F196D" w14:textId="77777777" w:rsidTr="000A3FA4">
        <w:tc>
          <w:tcPr>
            <w:tcW w:w="3544" w:type="dxa"/>
          </w:tcPr>
          <w:p w14:paraId="425F6B50" w14:textId="77777777" w:rsidR="00922A0F" w:rsidRPr="00336E00" w:rsidRDefault="00922A0F" w:rsidP="000A3FA4">
            <w:pPr>
              <w:pStyle w:val="DHHStabletext"/>
              <w:rPr>
                <w:rFonts w:cs="Arial"/>
              </w:rPr>
            </w:pPr>
            <w:r w:rsidRPr="00336E00">
              <w:t>WCMICS</w:t>
            </w:r>
          </w:p>
        </w:tc>
        <w:tc>
          <w:tcPr>
            <w:tcW w:w="2436" w:type="dxa"/>
          </w:tcPr>
          <w:p w14:paraId="61A4B8F9" w14:textId="2EA6D085" w:rsidR="00922A0F" w:rsidRPr="00336E00" w:rsidRDefault="00922A0F" w:rsidP="000A3FA4">
            <w:pPr>
              <w:pStyle w:val="DHHStabletext"/>
            </w:pPr>
            <w:r>
              <w:t>(76) [1,264/1,668]</w:t>
            </w:r>
          </w:p>
        </w:tc>
        <w:tc>
          <w:tcPr>
            <w:tcW w:w="2242" w:type="dxa"/>
          </w:tcPr>
          <w:p w14:paraId="07590B4B" w14:textId="509A3A55" w:rsidR="00922A0F" w:rsidRPr="00336E00" w:rsidRDefault="00922A0F" w:rsidP="000A3FA4">
            <w:pPr>
              <w:pStyle w:val="DHHStabletext"/>
            </w:pPr>
            <w:r>
              <w:t>(76) [1,289/1,692]</w:t>
            </w:r>
          </w:p>
        </w:tc>
        <w:tc>
          <w:tcPr>
            <w:tcW w:w="1984" w:type="dxa"/>
          </w:tcPr>
          <w:p w14:paraId="7E12DFC2" w14:textId="47BCBBAD" w:rsidR="00922A0F" w:rsidRPr="00336E00" w:rsidRDefault="00922A0F" w:rsidP="000A3FA4">
            <w:pPr>
              <w:pStyle w:val="DHHStabletext"/>
            </w:pPr>
            <w:r>
              <w:t>(75) [1,281/1,714]</w:t>
            </w:r>
          </w:p>
        </w:tc>
      </w:tr>
      <w:tr w:rsidR="00922A0F" w:rsidRPr="00336E00" w14:paraId="73ECB7C7" w14:textId="77777777" w:rsidTr="000A3FA4">
        <w:tc>
          <w:tcPr>
            <w:tcW w:w="3544" w:type="dxa"/>
          </w:tcPr>
          <w:p w14:paraId="051F3F7F" w14:textId="77777777" w:rsidR="00922A0F" w:rsidRPr="00336E00" w:rsidRDefault="00922A0F" w:rsidP="000A3FA4">
            <w:pPr>
              <w:pStyle w:val="DHHStabletext"/>
              <w:rPr>
                <w:rFonts w:cs="Arial"/>
              </w:rPr>
            </w:pPr>
            <w:r w:rsidRPr="00336E00">
              <w:t>BSWRICS</w:t>
            </w:r>
          </w:p>
        </w:tc>
        <w:tc>
          <w:tcPr>
            <w:tcW w:w="2436" w:type="dxa"/>
          </w:tcPr>
          <w:p w14:paraId="1AD396E6" w14:textId="2E78ABCC" w:rsidR="00922A0F" w:rsidRPr="00336E00" w:rsidRDefault="00922A0F" w:rsidP="000A3FA4">
            <w:pPr>
              <w:pStyle w:val="DHHStabletext"/>
            </w:pPr>
            <w:r>
              <w:t>(68) [482/713]</w:t>
            </w:r>
          </w:p>
        </w:tc>
        <w:tc>
          <w:tcPr>
            <w:tcW w:w="2242" w:type="dxa"/>
          </w:tcPr>
          <w:p w14:paraId="4250AC07" w14:textId="666383AE" w:rsidR="00922A0F" w:rsidRPr="00336E00" w:rsidRDefault="00922A0F" w:rsidP="000A3FA4">
            <w:pPr>
              <w:pStyle w:val="DHHStabletext"/>
            </w:pPr>
            <w:r>
              <w:t>(67) [538/804]</w:t>
            </w:r>
          </w:p>
        </w:tc>
        <w:tc>
          <w:tcPr>
            <w:tcW w:w="1984" w:type="dxa"/>
          </w:tcPr>
          <w:p w14:paraId="2BE46468" w14:textId="12BF8A7F" w:rsidR="00922A0F" w:rsidRPr="00336E00" w:rsidRDefault="00922A0F" w:rsidP="000A3FA4">
            <w:pPr>
              <w:pStyle w:val="DHHStabletext"/>
            </w:pPr>
            <w:r>
              <w:t>(69) [538/784]</w:t>
            </w:r>
          </w:p>
        </w:tc>
      </w:tr>
      <w:tr w:rsidR="00922A0F" w:rsidRPr="00336E00" w14:paraId="352A87FD" w14:textId="77777777" w:rsidTr="000A3FA4">
        <w:tc>
          <w:tcPr>
            <w:tcW w:w="3544" w:type="dxa"/>
          </w:tcPr>
          <w:p w14:paraId="5B5350DE" w14:textId="77777777" w:rsidR="00922A0F" w:rsidRPr="00336E00" w:rsidRDefault="00922A0F" w:rsidP="000A3FA4">
            <w:pPr>
              <w:pStyle w:val="DHHStabletext"/>
              <w:rPr>
                <w:rFonts w:cs="Arial"/>
              </w:rPr>
            </w:pPr>
            <w:r w:rsidRPr="00336E00">
              <w:t>GRICS</w:t>
            </w:r>
          </w:p>
        </w:tc>
        <w:tc>
          <w:tcPr>
            <w:tcW w:w="2436" w:type="dxa"/>
          </w:tcPr>
          <w:p w14:paraId="26522CFE" w14:textId="5930ED45" w:rsidR="00922A0F" w:rsidRPr="00336E00" w:rsidRDefault="00922A0F" w:rsidP="000A3FA4">
            <w:pPr>
              <w:pStyle w:val="DHHStabletext"/>
            </w:pPr>
            <w:r>
              <w:t>(64) [361/561]</w:t>
            </w:r>
          </w:p>
        </w:tc>
        <w:tc>
          <w:tcPr>
            <w:tcW w:w="2242" w:type="dxa"/>
          </w:tcPr>
          <w:p w14:paraId="3994C5AB" w14:textId="450B66AE" w:rsidR="00922A0F" w:rsidRPr="00336E00" w:rsidRDefault="00922A0F" w:rsidP="000A3FA4">
            <w:pPr>
              <w:pStyle w:val="DHHStabletext"/>
            </w:pPr>
            <w:r>
              <w:t>(62) [404/648]</w:t>
            </w:r>
          </w:p>
        </w:tc>
        <w:tc>
          <w:tcPr>
            <w:tcW w:w="1984" w:type="dxa"/>
          </w:tcPr>
          <w:p w14:paraId="1B701035" w14:textId="616EE94A" w:rsidR="00922A0F" w:rsidRPr="00336E00" w:rsidRDefault="00922A0F" w:rsidP="000A3FA4">
            <w:pPr>
              <w:pStyle w:val="DHHStabletext"/>
            </w:pPr>
            <w:r>
              <w:t>(62) [400/649]</w:t>
            </w:r>
          </w:p>
        </w:tc>
      </w:tr>
      <w:tr w:rsidR="00922A0F" w:rsidRPr="00336E00" w14:paraId="44268515" w14:textId="77777777" w:rsidTr="000A3FA4">
        <w:tc>
          <w:tcPr>
            <w:tcW w:w="3544" w:type="dxa"/>
          </w:tcPr>
          <w:p w14:paraId="3BAFBA5F" w14:textId="77777777" w:rsidR="00922A0F" w:rsidRPr="00336E00" w:rsidRDefault="00922A0F" w:rsidP="000A3FA4">
            <w:pPr>
              <w:pStyle w:val="DHHStabletext"/>
              <w:rPr>
                <w:rFonts w:cs="Arial"/>
              </w:rPr>
            </w:pPr>
            <w:r w:rsidRPr="00336E00">
              <w:t>HRICS</w:t>
            </w:r>
          </w:p>
        </w:tc>
        <w:tc>
          <w:tcPr>
            <w:tcW w:w="2436" w:type="dxa"/>
          </w:tcPr>
          <w:p w14:paraId="5F8D9099" w14:textId="76F8B20B" w:rsidR="00922A0F" w:rsidRPr="00336E00" w:rsidRDefault="00922A0F" w:rsidP="000A3FA4">
            <w:pPr>
              <w:pStyle w:val="DHHStabletext"/>
            </w:pPr>
            <w:r>
              <w:t>(59) [298/508]</w:t>
            </w:r>
          </w:p>
        </w:tc>
        <w:tc>
          <w:tcPr>
            <w:tcW w:w="2242" w:type="dxa"/>
          </w:tcPr>
          <w:p w14:paraId="54F11F5D" w14:textId="3DD33AFF" w:rsidR="00922A0F" w:rsidRPr="00336E00" w:rsidRDefault="00922A0F" w:rsidP="000A3FA4">
            <w:pPr>
              <w:pStyle w:val="DHHStabletext"/>
            </w:pPr>
            <w:r>
              <w:t>(61) [334/551]</w:t>
            </w:r>
          </w:p>
        </w:tc>
        <w:tc>
          <w:tcPr>
            <w:tcW w:w="1984" w:type="dxa"/>
          </w:tcPr>
          <w:p w14:paraId="414D0E33" w14:textId="6B8B0ACC" w:rsidR="00922A0F" w:rsidRPr="00336E00" w:rsidRDefault="00922A0F" w:rsidP="000A3FA4">
            <w:pPr>
              <w:pStyle w:val="DHHStabletext"/>
            </w:pPr>
            <w:r>
              <w:t>(61) [320/526]</w:t>
            </w:r>
          </w:p>
        </w:tc>
      </w:tr>
      <w:tr w:rsidR="00922A0F" w:rsidRPr="00336E00" w14:paraId="4E6F071D" w14:textId="77777777" w:rsidTr="000A3FA4">
        <w:tc>
          <w:tcPr>
            <w:tcW w:w="3544" w:type="dxa"/>
          </w:tcPr>
          <w:p w14:paraId="14CC4635" w14:textId="77777777" w:rsidR="00922A0F" w:rsidRPr="00336E00" w:rsidRDefault="00922A0F" w:rsidP="000A3FA4">
            <w:pPr>
              <w:pStyle w:val="DHHStabletext"/>
              <w:rPr>
                <w:rFonts w:cs="Arial"/>
              </w:rPr>
            </w:pPr>
            <w:r w:rsidRPr="00336E00">
              <w:t>LMICS</w:t>
            </w:r>
          </w:p>
        </w:tc>
        <w:tc>
          <w:tcPr>
            <w:tcW w:w="2436" w:type="dxa"/>
          </w:tcPr>
          <w:p w14:paraId="7BAE0EFB" w14:textId="502A1CDC" w:rsidR="00922A0F" w:rsidRPr="00336E00" w:rsidRDefault="00922A0F" w:rsidP="000A3FA4">
            <w:pPr>
              <w:pStyle w:val="DHHStabletext"/>
            </w:pPr>
            <w:r>
              <w:t>(73) [466/642]</w:t>
            </w:r>
          </w:p>
        </w:tc>
        <w:tc>
          <w:tcPr>
            <w:tcW w:w="2242" w:type="dxa"/>
          </w:tcPr>
          <w:p w14:paraId="5F81A812" w14:textId="7AA1FB5C" w:rsidR="00922A0F" w:rsidRPr="00336E00" w:rsidRDefault="00922A0F" w:rsidP="000A3FA4">
            <w:pPr>
              <w:pStyle w:val="DHHStabletext"/>
            </w:pPr>
            <w:r>
              <w:t>(71) [477/670]</w:t>
            </w:r>
          </w:p>
        </w:tc>
        <w:tc>
          <w:tcPr>
            <w:tcW w:w="1984" w:type="dxa"/>
          </w:tcPr>
          <w:p w14:paraId="0C19A22B" w14:textId="3334F7A7" w:rsidR="00922A0F" w:rsidRPr="00336E00" w:rsidRDefault="00922A0F" w:rsidP="000A3FA4">
            <w:pPr>
              <w:pStyle w:val="DHHStabletext"/>
            </w:pPr>
            <w:r>
              <w:t>(72) [502/694]</w:t>
            </w:r>
          </w:p>
        </w:tc>
      </w:tr>
      <w:tr w:rsidR="00922A0F" w:rsidRPr="00336E00" w14:paraId="7C307223" w14:textId="77777777" w:rsidTr="000A3FA4">
        <w:tc>
          <w:tcPr>
            <w:tcW w:w="3544" w:type="dxa"/>
          </w:tcPr>
          <w:p w14:paraId="1470C5EB" w14:textId="77777777" w:rsidR="00922A0F" w:rsidRPr="00336E00" w:rsidRDefault="00922A0F" w:rsidP="000A3FA4">
            <w:pPr>
              <w:pStyle w:val="DHHStabletext"/>
              <w:rPr>
                <w:rFonts w:cs="Arial"/>
              </w:rPr>
            </w:pPr>
            <w:r w:rsidRPr="00336E00">
              <w:t>GICS</w:t>
            </w:r>
          </w:p>
        </w:tc>
        <w:tc>
          <w:tcPr>
            <w:tcW w:w="2436" w:type="dxa"/>
          </w:tcPr>
          <w:p w14:paraId="45658ECE" w14:textId="120D85A2" w:rsidR="00922A0F" w:rsidRPr="00336E00" w:rsidRDefault="00922A0F" w:rsidP="000A3FA4">
            <w:pPr>
              <w:pStyle w:val="DHHStabletext"/>
            </w:pPr>
            <w:r>
              <w:t>(74) [335/451]</w:t>
            </w:r>
          </w:p>
        </w:tc>
        <w:tc>
          <w:tcPr>
            <w:tcW w:w="2242" w:type="dxa"/>
          </w:tcPr>
          <w:p w14:paraId="642444C8" w14:textId="2BCC41AA" w:rsidR="00922A0F" w:rsidRPr="00336E00" w:rsidRDefault="00922A0F" w:rsidP="000A3FA4">
            <w:pPr>
              <w:pStyle w:val="DHHStabletext"/>
            </w:pPr>
            <w:r>
              <w:t>(72) [338/472]</w:t>
            </w:r>
          </w:p>
        </w:tc>
        <w:tc>
          <w:tcPr>
            <w:tcW w:w="1984" w:type="dxa"/>
          </w:tcPr>
          <w:p w14:paraId="5E6FA597" w14:textId="55FFD7DF" w:rsidR="00922A0F" w:rsidRPr="00336E00" w:rsidRDefault="00922A0F" w:rsidP="000A3FA4">
            <w:pPr>
              <w:pStyle w:val="DHHStabletext"/>
            </w:pPr>
            <w:r>
              <w:t>(76) [360/474]</w:t>
            </w:r>
          </w:p>
        </w:tc>
      </w:tr>
      <w:tr w:rsidR="00922A0F" w:rsidRPr="009C7CAC" w14:paraId="1CA29A7E" w14:textId="77777777" w:rsidTr="000A3FA4">
        <w:tc>
          <w:tcPr>
            <w:tcW w:w="3544" w:type="dxa"/>
            <w:tcBorders>
              <w:bottom w:val="nil"/>
            </w:tcBorders>
          </w:tcPr>
          <w:p w14:paraId="69979236" w14:textId="77777777" w:rsidR="00922A0F" w:rsidRPr="00336E00" w:rsidRDefault="00922A0F" w:rsidP="000A3FA4">
            <w:pPr>
              <w:pStyle w:val="DHHStabletext"/>
              <w:rPr>
                <w:rFonts w:cs="Arial"/>
              </w:rPr>
            </w:pPr>
          </w:p>
        </w:tc>
        <w:tc>
          <w:tcPr>
            <w:tcW w:w="2436" w:type="dxa"/>
            <w:tcBorders>
              <w:bottom w:val="nil"/>
            </w:tcBorders>
          </w:tcPr>
          <w:p w14:paraId="76D1183A" w14:textId="77777777" w:rsidR="00922A0F" w:rsidRPr="009C7CAC" w:rsidRDefault="00922A0F" w:rsidP="000A3FA4">
            <w:pPr>
              <w:pStyle w:val="DHHStabletext"/>
            </w:pPr>
          </w:p>
        </w:tc>
        <w:tc>
          <w:tcPr>
            <w:tcW w:w="2242" w:type="dxa"/>
            <w:tcBorders>
              <w:bottom w:val="nil"/>
            </w:tcBorders>
          </w:tcPr>
          <w:p w14:paraId="4E9B5784" w14:textId="77777777" w:rsidR="00922A0F" w:rsidRPr="009C7CAC" w:rsidRDefault="00922A0F" w:rsidP="000A3FA4">
            <w:pPr>
              <w:pStyle w:val="DHHStabletext"/>
            </w:pPr>
          </w:p>
        </w:tc>
        <w:tc>
          <w:tcPr>
            <w:tcW w:w="1984" w:type="dxa"/>
            <w:tcBorders>
              <w:bottom w:val="nil"/>
            </w:tcBorders>
          </w:tcPr>
          <w:p w14:paraId="387932E7" w14:textId="77777777" w:rsidR="00922A0F" w:rsidRPr="009C7CAC" w:rsidRDefault="00922A0F" w:rsidP="000A3FA4">
            <w:pPr>
              <w:pStyle w:val="DHHStabletext"/>
            </w:pPr>
          </w:p>
        </w:tc>
      </w:tr>
      <w:tr w:rsidR="00922A0F" w:rsidRPr="00D23DF3" w14:paraId="13D2D3AF" w14:textId="77777777" w:rsidTr="000A3FA4">
        <w:tc>
          <w:tcPr>
            <w:tcW w:w="3544" w:type="dxa"/>
            <w:tcBorders>
              <w:top w:val="nil"/>
            </w:tcBorders>
          </w:tcPr>
          <w:p w14:paraId="250D8DB2" w14:textId="77777777" w:rsidR="00922A0F" w:rsidRPr="00887511" w:rsidRDefault="00922A0F" w:rsidP="000A3FA4">
            <w:pPr>
              <w:pStyle w:val="DHHStabletext"/>
              <w:rPr>
                <w:rFonts w:cs="Arial"/>
                <w:b/>
                <w:bCs/>
              </w:rPr>
            </w:pPr>
            <w:r w:rsidRPr="00887511">
              <w:rPr>
                <w:b/>
                <w:bCs/>
              </w:rPr>
              <w:t>Victoria</w:t>
            </w:r>
          </w:p>
        </w:tc>
        <w:tc>
          <w:tcPr>
            <w:tcW w:w="2436" w:type="dxa"/>
            <w:tcBorders>
              <w:top w:val="nil"/>
            </w:tcBorders>
            <w:vAlign w:val="center"/>
          </w:tcPr>
          <w:p w14:paraId="1401A8CE" w14:textId="36EC9EAA" w:rsidR="00922A0F" w:rsidRPr="000A3FA4" w:rsidRDefault="00922A0F" w:rsidP="000A3FA4">
            <w:pPr>
              <w:pStyle w:val="DHHStabletext"/>
              <w:rPr>
                <w:b/>
                <w:bCs/>
              </w:rPr>
            </w:pPr>
            <w:r w:rsidRPr="000A3FA4">
              <w:rPr>
                <w:b/>
                <w:bCs/>
              </w:rPr>
              <w:t>(72) [6,435/8,926]</w:t>
            </w:r>
          </w:p>
        </w:tc>
        <w:tc>
          <w:tcPr>
            <w:tcW w:w="2242" w:type="dxa"/>
            <w:tcBorders>
              <w:top w:val="nil"/>
            </w:tcBorders>
            <w:vAlign w:val="center"/>
          </w:tcPr>
          <w:p w14:paraId="1EB590B9" w14:textId="2E8FB6FA" w:rsidR="00922A0F" w:rsidRPr="000A3FA4" w:rsidRDefault="00922A0F" w:rsidP="000A3FA4">
            <w:pPr>
              <w:pStyle w:val="DHHStabletext"/>
              <w:rPr>
                <w:b/>
                <w:bCs/>
              </w:rPr>
            </w:pPr>
            <w:r w:rsidRPr="000A3FA4">
              <w:rPr>
                <w:b/>
                <w:bCs/>
              </w:rPr>
              <w:t>(72) [6,784/9,435]</w:t>
            </w:r>
          </w:p>
        </w:tc>
        <w:tc>
          <w:tcPr>
            <w:tcW w:w="1984" w:type="dxa"/>
            <w:tcBorders>
              <w:top w:val="nil"/>
            </w:tcBorders>
            <w:vAlign w:val="center"/>
          </w:tcPr>
          <w:p w14:paraId="367DD14A" w14:textId="5A6B58C7" w:rsidR="00922A0F" w:rsidRPr="000A3FA4" w:rsidRDefault="00922A0F" w:rsidP="000A3FA4">
            <w:pPr>
              <w:pStyle w:val="DHHStabletext"/>
              <w:rPr>
                <w:b/>
                <w:bCs/>
              </w:rPr>
            </w:pPr>
            <w:r w:rsidRPr="000A3FA4">
              <w:rPr>
                <w:b/>
                <w:bCs/>
              </w:rPr>
              <w:t>(71) [6,804/9,575]</w:t>
            </w:r>
          </w:p>
        </w:tc>
      </w:tr>
    </w:tbl>
    <w:p w14:paraId="0B9465FA" w14:textId="6D855C98" w:rsidR="0068548D" w:rsidRPr="0068548D" w:rsidRDefault="0068548D" w:rsidP="00103099">
      <w:pPr>
        <w:pStyle w:val="Heading4"/>
      </w:pPr>
      <w:r w:rsidRPr="00E43803">
        <w:t>Measure assessment</w:t>
      </w:r>
    </w:p>
    <w:p w14:paraId="2B6EFA93" w14:textId="1A69A6C7" w:rsidR="00026CF2" w:rsidRPr="0097280A" w:rsidRDefault="00FA728B" w:rsidP="0097280A">
      <w:pPr>
        <w:autoSpaceDE w:val="0"/>
        <w:autoSpaceDN w:val="0"/>
        <w:adjustRightInd w:val="0"/>
        <w:spacing w:after="120" w:line="270" w:lineRule="atLeast"/>
        <w:rPr>
          <w:rFonts w:ascii="Arial" w:hAnsi="Arial" w:cs="Arial"/>
          <w:color w:val="C5511A"/>
        </w:rPr>
      </w:pPr>
      <w:r w:rsidRPr="00AA5C60">
        <w:rPr>
          <w:rFonts w:ascii="Arial" w:hAnsi="Arial" w:cs="Arial"/>
        </w:rPr>
        <w:t xml:space="preserve">Traffic light rating: </w:t>
      </w:r>
      <w:r w:rsidR="002B07A5"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65BB1C8F" w14:textId="6530FE78" w:rsidR="00FA728B" w:rsidRPr="00AC5428" w:rsidRDefault="00FA728B" w:rsidP="0097280A">
      <w:pPr>
        <w:spacing w:after="120" w:line="270" w:lineRule="atLeast"/>
        <w:rPr>
          <w:rFonts w:ascii="Arial" w:hAnsi="Arial" w:cs="Arial"/>
        </w:rPr>
      </w:pPr>
      <w:r w:rsidRPr="004A40F7">
        <w:rPr>
          <w:rFonts w:ascii="Arial" w:hAnsi="Arial" w:cs="Arial"/>
        </w:rPr>
        <w:t xml:space="preserve">Overall trend: </w:t>
      </w:r>
      <w:r w:rsidR="004A40F7" w:rsidRPr="004A40F7">
        <w:rPr>
          <w:rFonts w:ascii="Arial" w:hAnsi="Arial" w:cs="Arial"/>
        </w:rPr>
        <w:t>Static o</w:t>
      </w:r>
      <w:r w:rsidR="001D4982">
        <w:rPr>
          <w:rFonts w:ascii="Arial" w:hAnsi="Arial" w:cs="Arial"/>
        </w:rPr>
        <w:t>r</w:t>
      </w:r>
      <w:r w:rsidR="004A40F7" w:rsidRPr="004A40F7">
        <w:rPr>
          <w:rFonts w:ascii="Arial" w:hAnsi="Arial" w:cs="Arial"/>
        </w:rPr>
        <w:t xml:space="preserve"> unchanging</w:t>
      </w:r>
    </w:p>
    <w:p w14:paraId="21A477EA" w14:textId="59213EA2" w:rsidR="00656A1B" w:rsidRPr="00656A1B" w:rsidRDefault="00FA728B" w:rsidP="00656A1B">
      <w:pPr>
        <w:pStyle w:val="DHHSbody"/>
        <w:rPr>
          <w:lang w:eastAsia="en-AU"/>
        </w:rPr>
      </w:pPr>
      <w:r w:rsidRPr="004A40F7">
        <w:rPr>
          <w:rFonts w:cs="Arial"/>
          <w:lang w:eastAsia="en-AU"/>
        </w:rPr>
        <w:lastRenderedPageBreak/>
        <w:t>Commentary:</w:t>
      </w:r>
      <w:r w:rsidR="000D6E12" w:rsidRPr="004A40F7">
        <w:rPr>
          <w:rFonts w:cs="Arial"/>
          <w:lang w:eastAsia="en-AU"/>
        </w:rPr>
        <w:t xml:space="preserve"> </w:t>
      </w:r>
      <w:r w:rsidR="00656A1B" w:rsidRPr="00656A1B">
        <w:rPr>
          <w:lang w:eastAsia="en-AU"/>
        </w:rPr>
        <w:t xml:space="preserve">In 2016 the Victorian </w:t>
      </w:r>
      <w:r w:rsidR="00C67210">
        <w:rPr>
          <w:lang w:eastAsia="en-AU"/>
        </w:rPr>
        <w:t>G</w:t>
      </w:r>
      <w:r w:rsidR="00656A1B" w:rsidRPr="00656A1B">
        <w:rPr>
          <w:lang w:eastAsia="en-AU"/>
        </w:rPr>
        <w:t xml:space="preserve">overnment released the </w:t>
      </w:r>
      <w:r w:rsidR="00656A1B" w:rsidRPr="00656A1B">
        <w:rPr>
          <w:i/>
          <w:lang w:eastAsia="en-AU"/>
        </w:rPr>
        <w:t>Victoria’s end</w:t>
      </w:r>
      <w:r w:rsidR="00AF0F53">
        <w:rPr>
          <w:i/>
          <w:lang w:eastAsia="en-AU"/>
        </w:rPr>
        <w:t>-</w:t>
      </w:r>
      <w:r w:rsidR="00656A1B" w:rsidRPr="00656A1B">
        <w:rPr>
          <w:i/>
          <w:lang w:eastAsia="en-AU"/>
        </w:rPr>
        <w:t>of</w:t>
      </w:r>
      <w:r w:rsidR="00AF0F53">
        <w:rPr>
          <w:i/>
          <w:lang w:eastAsia="en-AU"/>
        </w:rPr>
        <w:t>-</w:t>
      </w:r>
      <w:r w:rsidR="00656A1B" w:rsidRPr="00656A1B">
        <w:rPr>
          <w:i/>
          <w:lang w:eastAsia="en-AU"/>
        </w:rPr>
        <w:t>life and palliative care framework</w:t>
      </w:r>
      <w:r w:rsidR="00C67210">
        <w:rPr>
          <w:lang w:eastAsia="en-AU"/>
        </w:rPr>
        <w:t xml:space="preserve">, </w:t>
      </w:r>
      <w:r w:rsidR="00656A1B" w:rsidRPr="00656A1B">
        <w:rPr>
          <w:lang w:eastAsia="en-AU"/>
        </w:rPr>
        <w:t xml:space="preserve">which aims to move towards the delivery of </w:t>
      </w:r>
      <w:r w:rsidR="00291990">
        <w:rPr>
          <w:lang w:eastAsia="en-AU"/>
        </w:rPr>
        <w:t xml:space="preserve">a more person-centred approach </w:t>
      </w:r>
      <w:r w:rsidR="00656A1B" w:rsidRPr="00656A1B">
        <w:rPr>
          <w:lang w:eastAsia="en-AU"/>
        </w:rPr>
        <w:t xml:space="preserve">that </w:t>
      </w:r>
      <w:r w:rsidR="00656A1B" w:rsidRPr="00656A1B">
        <w:t xml:space="preserve">respects people and their preferences, </w:t>
      </w:r>
      <w:r w:rsidR="00AD6D7E" w:rsidRPr="00656A1B">
        <w:t>considering</w:t>
      </w:r>
      <w:r w:rsidR="00656A1B" w:rsidRPr="00656A1B">
        <w:t xml:space="preserve"> the whole person and what they value as important.</w:t>
      </w:r>
      <w:r w:rsidR="00952FC7">
        <w:t xml:space="preserve"> </w:t>
      </w:r>
      <w:r w:rsidR="00656A1B" w:rsidRPr="00656A1B">
        <w:t xml:space="preserve">This includes </w:t>
      </w:r>
      <w:r w:rsidR="00656A1B" w:rsidRPr="00656A1B">
        <w:rPr>
          <w:lang w:val="en"/>
        </w:rPr>
        <w:t>consultancy to people who require symptom and pain management or end</w:t>
      </w:r>
      <w:r w:rsidR="00AF0F53">
        <w:rPr>
          <w:lang w:val="en"/>
        </w:rPr>
        <w:t>-</w:t>
      </w:r>
      <w:r w:rsidR="00656A1B" w:rsidRPr="00656A1B">
        <w:rPr>
          <w:lang w:val="en"/>
        </w:rPr>
        <w:t>of</w:t>
      </w:r>
      <w:r w:rsidR="00AF0F53">
        <w:rPr>
          <w:lang w:val="en"/>
        </w:rPr>
        <w:t>-</w:t>
      </w:r>
      <w:r w:rsidR="00656A1B" w:rsidRPr="00656A1B">
        <w:rPr>
          <w:lang w:val="en"/>
        </w:rPr>
        <w:t>life care within hospitals alongside other care.</w:t>
      </w:r>
    </w:p>
    <w:p w14:paraId="19329BC4" w14:textId="77777777" w:rsidR="00E2792D" w:rsidRDefault="000D6E12" w:rsidP="00E2792D">
      <w:pPr>
        <w:pStyle w:val="DHHSbody"/>
      </w:pPr>
      <w:r w:rsidRPr="00E16121">
        <w:t>Monitoring where people die due to cancer is key to ensuring that</w:t>
      </w:r>
      <w:r w:rsidR="00EB0E72" w:rsidRPr="00E16121">
        <w:t xml:space="preserve"> end-of-life care and </w:t>
      </w:r>
      <w:r w:rsidRPr="00E16121">
        <w:t xml:space="preserve">palliative care is provided in a responsive and integrated way. The need for </w:t>
      </w:r>
      <w:r w:rsidR="00EB0E72" w:rsidRPr="00E16121">
        <w:t xml:space="preserve">such </w:t>
      </w:r>
      <w:r w:rsidRPr="00E16121">
        <w:t>appropriate</w:t>
      </w:r>
      <w:r w:rsidR="00860701" w:rsidRPr="00E16121">
        <w:t xml:space="preserve"> care</w:t>
      </w:r>
      <w:r w:rsidRPr="00E16121">
        <w:t xml:space="preserve"> </w:t>
      </w:r>
      <w:r w:rsidR="00EB0E72" w:rsidRPr="00E16121">
        <w:t>is important given that Victoria’s population is both growing and ageing.</w:t>
      </w:r>
      <w:r w:rsidR="00952FC7">
        <w:t xml:space="preserve"> </w:t>
      </w:r>
      <w:r w:rsidR="006E2DDE" w:rsidRPr="00E16121">
        <w:t>Figure</w:t>
      </w:r>
      <w:r w:rsidR="00AE11E9" w:rsidRPr="00E16121">
        <w:t xml:space="preserve"> 12.</w:t>
      </w:r>
      <w:r w:rsidR="00F17F33" w:rsidRPr="00E16121">
        <w:t>1</w:t>
      </w:r>
      <w:r w:rsidR="00AE11E9" w:rsidRPr="00E16121">
        <w:t xml:space="preserve">4 shows </w:t>
      </w:r>
      <w:r w:rsidR="00D634A7" w:rsidRPr="00E16121">
        <w:t>that</w:t>
      </w:r>
      <w:r w:rsidR="00C67210">
        <w:t>,</w:t>
      </w:r>
      <w:r w:rsidR="00D634A7" w:rsidRPr="00E16121">
        <w:t xml:space="preserve"> </w:t>
      </w:r>
      <w:r w:rsidR="00D634A7" w:rsidRPr="00E16121">
        <w:rPr>
          <w:lang w:val="en"/>
        </w:rPr>
        <w:t xml:space="preserve">although </w:t>
      </w:r>
      <w:r w:rsidR="00B41AED" w:rsidRPr="00E16121">
        <w:rPr>
          <w:lang w:val="en"/>
        </w:rPr>
        <w:t xml:space="preserve">a </w:t>
      </w:r>
      <w:r w:rsidR="00D634A7" w:rsidRPr="00E16121">
        <w:rPr>
          <w:lang w:val="en"/>
        </w:rPr>
        <w:t>hospital is still the most common place of death due to cancer, the percentage of cancer patients who die</w:t>
      </w:r>
      <w:r w:rsidR="0010091F" w:rsidRPr="00E16121">
        <w:rPr>
          <w:lang w:val="en"/>
        </w:rPr>
        <w:t>d</w:t>
      </w:r>
      <w:r w:rsidR="00D634A7" w:rsidRPr="00E16121">
        <w:rPr>
          <w:lang w:val="en"/>
        </w:rPr>
        <w:t xml:space="preserve"> in hospital </w:t>
      </w:r>
      <w:r w:rsidR="006F7644" w:rsidRPr="00E16121">
        <w:rPr>
          <w:lang w:val="en"/>
        </w:rPr>
        <w:t xml:space="preserve">between 2014 and 2016 </w:t>
      </w:r>
      <w:r w:rsidR="00D634A7" w:rsidRPr="00E16121">
        <w:rPr>
          <w:lang w:val="en"/>
        </w:rPr>
        <w:t>reduc</w:t>
      </w:r>
      <w:r w:rsidR="006F7644" w:rsidRPr="00E16121">
        <w:rPr>
          <w:lang w:val="en"/>
        </w:rPr>
        <w:t>ed</w:t>
      </w:r>
      <w:r w:rsidR="00D634A7" w:rsidRPr="00E16121">
        <w:rPr>
          <w:lang w:val="en"/>
        </w:rPr>
        <w:t xml:space="preserve"> between </w:t>
      </w:r>
      <w:r w:rsidR="00DF28E7" w:rsidRPr="00E16121">
        <w:rPr>
          <w:lang w:val="en"/>
        </w:rPr>
        <w:t xml:space="preserve">most </w:t>
      </w:r>
      <w:r w:rsidR="00D634A7" w:rsidRPr="00E16121">
        <w:rPr>
          <w:lang w:val="en"/>
        </w:rPr>
        <w:t>regions of Victoria when compared b</w:t>
      </w:r>
      <w:r w:rsidR="00D023A7" w:rsidRPr="00E16121">
        <w:rPr>
          <w:lang w:val="en"/>
        </w:rPr>
        <w:t>y</w:t>
      </w:r>
      <w:r w:rsidR="00D634A7" w:rsidRPr="00E16121">
        <w:rPr>
          <w:lang w:val="en"/>
        </w:rPr>
        <w:t xml:space="preserve"> ICS regions and for Victoria as a whole.</w:t>
      </w:r>
      <w:r w:rsidR="00952FC7">
        <w:rPr>
          <w:lang w:val="en"/>
        </w:rPr>
        <w:t xml:space="preserve"> </w:t>
      </w:r>
      <w:r w:rsidR="000075DA" w:rsidRPr="00E16121">
        <w:rPr>
          <w:lang w:val="en"/>
        </w:rPr>
        <w:t>There were a couple of exceptions</w:t>
      </w:r>
      <w:r w:rsidR="00C67210">
        <w:rPr>
          <w:lang w:val="en"/>
        </w:rPr>
        <w:t>,</w:t>
      </w:r>
      <w:r w:rsidR="000075DA" w:rsidRPr="00E16121">
        <w:rPr>
          <w:lang w:val="en"/>
        </w:rPr>
        <w:t xml:space="preserve"> with </w:t>
      </w:r>
      <w:r w:rsidR="00CC75B6" w:rsidRPr="00E16121">
        <w:rPr>
          <w:lang w:val="en"/>
        </w:rPr>
        <w:t>G</w:t>
      </w:r>
      <w:r w:rsidR="00B16BB6" w:rsidRPr="00E16121">
        <w:rPr>
          <w:lang w:val="en"/>
        </w:rPr>
        <w:t>RICS</w:t>
      </w:r>
      <w:r w:rsidR="00CC75B6" w:rsidRPr="00E16121">
        <w:rPr>
          <w:lang w:val="en"/>
        </w:rPr>
        <w:t xml:space="preserve"> and </w:t>
      </w:r>
      <w:r w:rsidR="00CC75B6" w:rsidRPr="00E16121">
        <w:t>B</w:t>
      </w:r>
      <w:r w:rsidR="00B16BB6" w:rsidRPr="00E16121">
        <w:t>SWR</w:t>
      </w:r>
      <w:r w:rsidR="00CC75B6" w:rsidRPr="00E16121">
        <w:t>ICS showing a slight increase</w:t>
      </w:r>
      <w:r w:rsidR="00B66B47" w:rsidRPr="00E16121">
        <w:t>.</w:t>
      </w:r>
      <w:r w:rsidR="00F46D2B" w:rsidRPr="00E16121">
        <w:t xml:space="preserve"> </w:t>
      </w:r>
      <w:r w:rsidR="000863CA" w:rsidRPr="00E16121">
        <w:t xml:space="preserve">On the </w:t>
      </w:r>
      <w:r w:rsidR="00656A1B" w:rsidRPr="00E16121">
        <w:t>other hand,</w:t>
      </w:r>
      <w:r w:rsidR="000863CA" w:rsidRPr="00E16121">
        <w:t xml:space="preserve"> </w:t>
      </w:r>
      <w:r w:rsidR="002742C2" w:rsidRPr="00E16121">
        <w:t>SMICS</w:t>
      </w:r>
      <w:r w:rsidR="000863CA" w:rsidRPr="00E16121">
        <w:t xml:space="preserve"> show</w:t>
      </w:r>
      <w:r w:rsidR="002742C2" w:rsidRPr="00E16121">
        <w:t>ed</w:t>
      </w:r>
      <w:r w:rsidR="000863CA" w:rsidRPr="00E16121">
        <w:t xml:space="preserve"> a slight decrease</w:t>
      </w:r>
      <w:r w:rsidR="002742C2" w:rsidRPr="00E16121">
        <w:t xml:space="preserve"> between 2015 and 2016</w:t>
      </w:r>
      <w:r w:rsidR="000863CA" w:rsidRPr="00E16121">
        <w:t xml:space="preserve">. </w:t>
      </w:r>
      <w:r w:rsidR="00E12568" w:rsidRPr="00E16121">
        <w:t>These differences in proportion</w:t>
      </w:r>
      <w:r w:rsidR="003A5809">
        <w:t xml:space="preserve"> </w:t>
      </w:r>
      <w:r w:rsidR="003A5809" w:rsidRPr="003A5809">
        <w:t>of deaths due to cancer that occur in hospitals</w:t>
      </w:r>
      <w:r w:rsidR="003A5809">
        <w:t xml:space="preserve"> </w:t>
      </w:r>
      <w:r w:rsidR="000863CA" w:rsidRPr="00E16121">
        <w:t xml:space="preserve">between ICSs </w:t>
      </w:r>
      <w:r w:rsidR="00E12568" w:rsidRPr="00E16121">
        <w:t>may reflect variations in population composition</w:t>
      </w:r>
      <w:r w:rsidR="004855C5" w:rsidRPr="00E16121">
        <w:t xml:space="preserve"> and changes in palliative care </w:t>
      </w:r>
      <w:r w:rsidR="00C67210">
        <w:t xml:space="preserve">that </w:t>
      </w:r>
      <w:r w:rsidR="004855C5" w:rsidRPr="00E16121">
        <w:t>is meeting people’s wishes to die at home or in a more homelike environment</w:t>
      </w:r>
      <w:r w:rsidR="00360F8E" w:rsidRPr="00E16121">
        <w:t xml:space="preserve"> rather than in a hospital</w:t>
      </w:r>
      <w:r w:rsidR="004855C5" w:rsidRPr="00E16121">
        <w:t>.</w:t>
      </w:r>
      <w:r w:rsidR="00952FC7">
        <w:t xml:space="preserve"> </w:t>
      </w:r>
      <w:r w:rsidR="00A10536" w:rsidRPr="00E16121">
        <w:t xml:space="preserve">For </w:t>
      </w:r>
      <w:r w:rsidR="00DC7655">
        <w:t>A</w:t>
      </w:r>
      <w:r w:rsidR="00A10536" w:rsidRPr="00E16121">
        <w:t xml:space="preserve">boriginal </w:t>
      </w:r>
      <w:r w:rsidR="00AF0F53" w:rsidRPr="00E16121">
        <w:t>Victorian</w:t>
      </w:r>
      <w:r w:rsidR="00AF0F53">
        <w:t>s</w:t>
      </w:r>
      <w:r w:rsidR="00AF0F53" w:rsidRPr="00E16121">
        <w:t xml:space="preserve"> </w:t>
      </w:r>
      <w:r w:rsidR="00A10536" w:rsidRPr="00E16121">
        <w:t xml:space="preserve">in particular, the </w:t>
      </w:r>
      <w:r w:rsidR="00B27CA9" w:rsidRPr="00E16121">
        <w:rPr>
          <w:rFonts w:eastAsia="SimSun"/>
          <w:noProof/>
        </w:rPr>
        <w:t>need to ‘return to country’ before the end of life, or at the end of life</w:t>
      </w:r>
      <w:r w:rsidR="00C67210">
        <w:rPr>
          <w:rFonts w:eastAsia="SimSun"/>
          <w:noProof/>
        </w:rPr>
        <w:t>,</w:t>
      </w:r>
      <w:r w:rsidR="00B27CA9" w:rsidRPr="00E16121">
        <w:rPr>
          <w:rFonts w:eastAsia="SimSun"/>
          <w:noProof/>
        </w:rPr>
        <w:t xml:space="preserve"> can be both culturally and spiritually significant. </w:t>
      </w:r>
      <w:r w:rsidR="00E16121" w:rsidRPr="00E16121">
        <w:rPr>
          <w:rFonts w:eastAsia="SimSun"/>
          <w:noProof/>
        </w:rPr>
        <w:t xml:space="preserve">Nevertheless, </w:t>
      </w:r>
      <w:r w:rsidR="00E16121" w:rsidRPr="00E16121">
        <w:t>i</w:t>
      </w:r>
      <w:r w:rsidR="00265BAB" w:rsidRPr="00E16121">
        <w:t>t is also important to note that the low percentage attributed to H</w:t>
      </w:r>
      <w:r w:rsidR="00B16BB6" w:rsidRPr="00E16121">
        <w:t>R</w:t>
      </w:r>
      <w:r w:rsidR="00265BAB" w:rsidRPr="00E16121">
        <w:t>ICS could be due to inpatient data for Albury (New South Wales) not included in the VAED and thus could be underestimated.</w:t>
      </w:r>
    </w:p>
    <w:p w14:paraId="6D8D8F83" w14:textId="04CBCAE0" w:rsidR="005C15AA" w:rsidRPr="00B91C4A" w:rsidRDefault="00656A1B" w:rsidP="00E2792D">
      <w:pPr>
        <w:pStyle w:val="Heading2"/>
      </w:pPr>
      <w:r>
        <w:br w:type="page"/>
      </w:r>
      <w:bookmarkStart w:id="795" w:name="_Toc19008153"/>
      <w:bookmarkStart w:id="796" w:name="_Toc33457078"/>
      <w:r w:rsidR="005C15AA" w:rsidRPr="00B91C4A">
        <w:lastRenderedPageBreak/>
        <w:t>Key result: Increase one- and five-year survival</w:t>
      </w:r>
      <w:bookmarkEnd w:id="795"/>
      <w:bookmarkEnd w:id="796"/>
    </w:p>
    <w:p w14:paraId="31043101" w14:textId="77777777" w:rsidR="00E26C44" w:rsidRPr="00B0112C" w:rsidRDefault="00E26C44" w:rsidP="00E26C44">
      <w:pPr>
        <w:pStyle w:val="DHHSbody"/>
      </w:pPr>
      <w:r>
        <w:t>Survival from cancer is a key measure of cancer prognosis, control and treatment. It refers to the probability of being alive for a given amount of time after diagnosis and reflects the severity of a cancer diagnosis.</w:t>
      </w:r>
    </w:p>
    <w:p w14:paraId="6A083AB1" w14:textId="4E2853B0" w:rsidR="0090060B" w:rsidRPr="0090060B" w:rsidRDefault="00366E56" w:rsidP="004C6FE7">
      <w:pPr>
        <w:pStyle w:val="DHHSbody"/>
        <w:rPr>
          <w:lang w:val="en"/>
        </w:rPr>
      </w:pPr>
      <w:r w:rsidRPr="00366E56">
        <w:rPr>
          <w:lang w:val="en"/>
        </w:rPr>
        <w:t xml:space="preserve">Globally there are two commonly recognised measures of cancer survival: relative survival and observed survival. </w:t>
      </w:r>
      <w:r w:rsidR="001B66DD">
        <w:rPr>
          <w:lang w:val="en"/>
        </w:rPr>
        <w:t xml:space="preserve">For the purposes of </w:t>
      </w:r>
      <w:r w:rsidRPr="00366E56">
        <w:rPr>
          <w:lang w:val="en"/>
        </w:rPr>
        <w:t>this report,</w:t>
      </w:r>
      <w:r>
        <w:rPr>
          <w:lang w:val="en"/>
        </w:rPr>
        <w:t xml:space="preserve"> </w:t>
      </w:r>
      <w:r w:rsidRPr="00366E56">
        <w:rPr>
          <w:lang w:val="en"/>
        </w:rPr>
        <w:t>relative survival</w:t>
      </w:r>
      <w:r>
        <w:rPr>
          <w:lang w:val="en"/>
        </w:rPr>
        <w:t xml:space="preserve"> is used</w:t>
      </w:r>
      <w:r w:rsidRPr="00366E56">
        <w:rPr>
          <w:lang w:val="en"/>
        </w:rPr>
        <w:t>, which adjusts for normal life expectancy by comparing survival among cancer patients with that of the general population, controlling for age, sex</w:t>
      </w:r>
      <w:r w:rsidR="00265BAB">
        <w:rPr>
          <w:lang w:val="en"/>
        </w:rPr>
        <w:t xml:space="preserve"> and year of diagnosis</w:t>
      </w:r>
      <w:r w:rsidRPr="00366E56">
        <w:rPr>
          <w:lang w:val="en"/>
        </w:rPr>
        <w:t>.</w:t>
      </w:r>
      <w:r w:rsidR="00323C12">
        <w:rPr>
          <w:lang w:val="en"/>
        </w:rPr>
        <w:t xml:space="preserve"> Survival trends are presented for all cancers and other tumour streams by single years (2010</w:t>
      </w:r>
      <w:r w:rsidR="009D0E1A">
        <w:rPr>
          <w:lang w:val="en"/>
        </w:rPr>
        <w:t>–</w:t>
      </w:r>
      <w:r w:rsidR="00323C12">
        <w:rPr>
          <w:lang w:val="en"/>
        </w:rPr>
        <w:t>2016) (Measures 13.1</w:t>
      </w:r>
      <w:r w:rsidR="009D0E1A">
        <w:rPr>
          <w:lang w:val="en"/>
        </w:rPr>
        <w:t>–</w:t>
      </w:r>
      <w:r w:rsidR="00323C12">
        <w:rPr>
          <w:lang w:val="en"/>
        </w:rPr>
        <w:t>13.8) and a five-year period (2010</w:t>
      </w:r>
      <w:r w:rsidR="009D0E1A">
        <w:rPr>
          <w:lang w:val="en"/>
        </w:rPr>
        <w:t>–</w:t>
      </w:r>
      <w:r w:rsidR="00323C12">
        <w:rPr>
          <w:lang w:val="en"/>
        </w:rPr>
        <w:t>2014) (Measures 13.9</w:t>
      </w:r>
      <w:r w:rsidR="009D0E1A">
        <w:rPr>
          <w:lang w:val="en"/>
        </w:rPr>
        <w:t>–</w:t>
      </w:r>
      <w:r w:rsidR="00323C12">
        <w:rPr>
          <w:lang w:val="en"/>
        </w:rPr>
        <w:t>13.16).</w:t>
      </w:r>
      <w:r w:rsidR="00DE7A19">
        <w:rPr>
          <w:lang w:val="en"/>
        </w:rPr>
        <w:t xml:space="preserve"> One-year survival is an important measure</w:t>
      </w:r>
      <w:r w:rsidR="0090060B">
        <w:rPr>
          <w:lang w:val="en"/>
        </w:rPr>
        <w:t xml:space="preserve"> as </w:t>
      </w:r>
      <w:r w:rsidR="0090060B" w:rsidRPr="0090060B">
        <w:rPr>
          <w:lang w:val="en"/>
        </w:rPr>
        <w:t xml:space="preserve">it </w:t>
      </w:r>
      <w:r w:rsidR="0090060B" w:rsidRPr="0090060B">
        <w:t>may more closely reflect access to and quality of local care than five-year survival. It is also able to more quickly reflect changes in both access and quality of care, including new treatments.</w:t>
      </w:r>
    </w:p>
    <w:p w14:paraId="6A8E76D0" w14:textId="4C7FEEAD" w:rsidR="00E26C44" w:rsidRDefault="00B0112C" w:rsidP="00B0112C">
      <w:pPr>
        <w:pStyle w:val="DHHSbody"/>
      </w:pPr>
      <w:r>
        <w:t>This report does not focus on international trends as it relates to different cancer streams as survival differences may be attributable to differences in stage at diagnosis, reflecting delays in diagnosis or differences in staging procedures, or to differences in stage-specific survival, which could indicate differences in treatment, staging or co-morbidity.</w:t>
      </w:r>
    </w:p>
    <w:p w14:paraId="6AC78129" w14:textId="1CF81441" w:rsidR="005C15AA" w:rsidRDefault="005C15AA" w:rsidP="005C15AA">
      <w:pPr>
        <w:pStyle w:val="Heading3"/>
        <w:rPr>
          <w:lang w:eastAsia="en-AU"/>
        </w:rPr>
      </w:pPr>
      <w:bookmarkStart w:id="797" w:name="_Measure_13.1_–"/>
      <w:bookmarkStart w:id="798" w:name="_Toc19008154"/>
      <w:bookmarkEnd w:id="797"/>
      <w:r>
        <w:rPr>
          <w:lang w:eastAsia="en-AU"/>
        </w:rPr>
        <w:t>Measure 13.1 – One-year survival from all cancers</w:t>
      </w:r>
      <w:bookmarkEnd w:id="798"/>
    </w:p>
    <w:p w14:paraId="48484507" w14:textId="4A9A7C26" w:rsidR="00416D08" w:rsidRDefault="00416D08" w:rsidP="00441D5B">
      <w:pPr>
        <w:pStyle w:val="DHHSfigurecaption"/>
      </w:pPr>
      <w:bookmarkStart w:id="799" w:name="_Toc19008155"/>
      <w:bookmarkStart w:id="800" w:name="_Toc19008362"/>
      <w:bookmarkStart w:id="801" w:name="_Toc19008509"/>
      <w:bookmarkStart w:id="802" w:name="_Toc19008656"/>
      <w:bookmarkStart w:id="803" w:name="_Toc27414364"/>
      <w:r w:rsidRPr="00416D08">
        <w:t>Figure 13.1</w:t>
      </w:r>
      <w:r w:rsidR="009D0E1A">
        <w:t>:</w:t>
      </w:r>
      <w:r w:rsidRPr="00416D08">
        <w:t xml:space="preserve"> Trends in one-year relative survival</w:t>
      </w:r>
      <w:r w:rsidR="00621D62">
        <w:t xml:space="preserve"> from all cancers</w:t>
      </w:r>
      <w:r w:rsidR="00774EDC">
        <w:t xml:space="preserve"> (combined) overall (A) and by sex (B), age (C), remoteness (D) and </w:t>
      </w:r>
      <w:r w:rsidR="008439C8">
        <w:t>ICS</w:t>
      </w:r>
      <w:r w:rsidR="00774EDC">
        <w:t xml:space="preserve"> (E)</w:t>
      </w:r>
      <w:r w:rsidRPr="00416D08">
        <w:t>, Victoria</w:t>
      </w:r>
      <w:r w:rsidR="003127BF">
        <w:t>,</w:t>
      </w:r>
      <w:r w:rsidRPr="00416D08">
        <w:t xml:space="preserve"> by year, 2010</w:t>
      </w:r>
      <w:r w:rsidR="009D0E1A">
        <w:t>–</w:t>
      </w:r>
      <w:r w:rsidRPr="00416D08">
        <w:t>2016</w:t>
      </w:r>
      <w:bookmarkEnd w:id="799"/>
      <w:bookmarkEnd w:id="800"/>
      <w:bookmarkEnd w:id="801"/>
      <w:bookmarkEnd w:id="802"/>
      <w:bookmarkEnd w:id="803"/>
    </w:p>
    <w:p w14:paraId="0F164473" w14:textId="77777777" w:rsidR="00D14A43" w:rsidRDefault="00D14A43" w:rsidP="00160602">
      <w:pPr>
        <w:pStyle w:val="DHHSbody"/>
        <w:numPr>
          <w:ilvl w:val="0"/>
          <w:numId w:val="12"/>
        </w:numPr>
        <w:ind w:left="346" w:hanging="346"/>
        <w:rPr>
          <w:b/>
          <w:lang w:eastAsia="en-AU"/>
        </w:rPr>
        <w:sectPr w:rsidR="00D14A43" w:rsidSect="00283003">
          <w:type w:val="continuous"/>
          <w:pgSz w:w="11906" w:h="16838"/>
          <w:pgMar w:top="1701" w:right="849" w:bottom="1134" w:left="426" w:header="454" w:footer="510" w:gutter="0"/>
          <w:cols w:space="720"/>
          <w:docGrid w:linePitch="360"/>
        </w:sectPr>
      </w:pPr>
    </w:p>
    <w:p w14:paraId="5449D129" w14:textId="562067EF" w:rsidR="00DA0090" w:rsidRDefault="00DA0090" w:rsidP="00160602">
      <w:pPr>
        <w:pStyle w:val="DHHSbody"/>
        <w:numPr>
          <w:ilvl w:val="0"/>
          <w:numId w:val="12"/>
        </w:numPr>
        <w:ind w:left="346" w:hanging="346"/>
        <w:rPr>
          <w:b/>
          <w:lang w:eastAsia="en-AU"/>
        </w:rPr>
      </w:pPr>
      <w:r>
        <w:rPr>
          <w:b/>
          <w:lang w:eastAsia="en-AU"/>
        </w:rPr>
        <w:t>Overall</w:t>
      </w:r>
    </w:p>
    <w:p w14:paraId="2399ADD3" w14:textId="6C8E7750" w:rsidR="00A02D73" w:rsidRDefault="008A7FCE" w:rsidP="00416D08">
      <w:pPr>
        <w:pStyle w:val="DHHSbody"/>
        <w:rPr>
          <w:lang w:eastAsia="en-AU"/>
        </w:rPr>
      </w:pPr>
      <w:r>
        <w:rPr>
          <w:noProof/>
          <w:lang w:eastAsia="en-AU"/>
        </w:rPr>
        <w:drawing>
          <wp:inline distT="0" distB="0" distL="0" distR="0" wp14:anchorId="36DCED48" wp14:editId="5146E99E">
            <wp:extent cx="3127375" cy="2084705"/>
            <wp:effectExtent l="0" t="0" r="0" b="0"/>
            <wp:docPr id="578" name="Picture 578" descr="This figure shows a data summary of 'Measure 13.1 – One-year survival from all cancers'. Specially this figure focuses on the trends in one-year relative survival from all cancers (combined) overall for the study period 2010-2016. The data set is available under 'Measure 13.1 – On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27375" cy="2084705"/>
                    </a:xfrm>
                    <a:prstGeom prst="rect">
                      <a:avLst/>
                    </a:prstGeom>
                    <a:noFill/>
                  </pic:spPr>
                </pic:pic>
              </a:graphicData>
            </a:graphic>
          </wp:inline>
        </w:drawing>
      </w:r>
    </w:p>
    <w:p w14:paraId="0F7EA867" w14:textId="75611649" w:rsidR="00D14A43" w:rsidRDefault="00D14A43" w:rsidP="00160602">
      <w:pPr>
        <w:pStyle w:val="DHHSbody"/>
        <w:numPr>
          <w:ilvl w:val="0"/>
          <w:numId w:val="44"/>
        </w:numPr>
        <w:tabs>
          <w:tab w:val="left" w:pos="284"/>
        </w:tabs>
        <w:ind w:left="0" w:firstLine="0"/>
        <w:rPr>
          <w:b/>
          <w:lang w:eastAsia="en-AU"/>
        </w:rPr>
      </w:pPr>
      <w:r>
        <w:rPr>
          <w:b/>
          <w:lang w:eastAsia="en-AU"/>
        </w:rPr>
        <w:t>Sex</w:t>
      </w:r>
    </w:p>
    <w:p w14:paraId="28A0F23F" w14:textId="36D155E6" w:rsidR="00D14A43" w:rsidRDefault="008A7FCE" w:rsidP="00FB29F9">
      <w:pPr>
        <w:pStyle w:val="DHHSbody"/>
        <w:rPr>
          <w:b/>
          <w:lang w:eastAsia="en-AU"/>
        </w:rPr>
      </w:pPr>
      <w:r>
        <w:rPr>
          <w:b/>
          <w:noProof/>
          <w:lang w:eastAsia="en-AU"/>
        </w:rPr>
        <w:drawing>
          <wp:inline distT="0" distB="0" distL="0" distR="0" wp14:anchorId="28667E56" wp14:editId="1D4FFE43">
            <wp:extent cx="3139440" cy="2127885"/>
            <wp:effectExtent l="0" t="0" r="3810" b="5715"/>
            <wp:docPr id="579" name="Picture 579" descr="This figure shows a data summary of 'Measure 13.1 – One-year survival from all cancers'. Specially this figure focuses on the trends in one-year relative survival from all cancers (combined) by sex for the study period 2010-2016. The data set is available under 'Measure 13.1 – On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39440" cy="2127885"/>
                    </a:xfrm>
                    <a:prstGeom prst="rect">
                      <a:avLst/>
                    </a:prstGeom>
                    <a:noFill/>
                  </pic:spPr>
                </pic:pic>
              </a:graphicData>
            </a:graphic>
          </wp:inline>
        </w:drawing>
      </w:r>
    </w:p>
    <w:p w14:paraId="6D646C29" w14:textId="77777777" w:rsidR="00D14A43" w:rsidRDefault="00D14A43" w:rsidP="00D14A43">
      <w:pPr>
        <w:pStyle w:val="DHHSbody"/>
        <w:ind w:left="720"/>
        <w:rPr>
          <w:b/>
          <w:lang w:eastAsia="en-AU"/>
        </w:rPr>
        <w:sectPr w:rsidR="00D14A43" w:rsidSect="00D14A43">
          <w:type w:val="continuous"/>
          <w:pgSz w:w="11906" w:h="16838"/>
          <w:pgMar w:top="1701" w:right="849" w:bottom="1134" w:left="426" w:header="454" w:footer="510" w:gutter="0"/>
          <w:cols w:num="2" w:space="720"/>
          <w:docGrid w:linePitch="360"/>
        </w:sectPr>
      </w:pPr>
    </w:p>
    <w:p w14:paraId="79DDB339" w14:textId="7765A2F6" w:rsidR="00DA0090" w:rsidRDefault="00DA0090" w:rsidP="00160602">
      <w:pPr>
        <w:pStyle w:val="DHHSbody"/>
        <w:numPr>
          <w:ilvl w:val="0"/>
          <w:numId w:val="44"/>
        </w:numPr>
        <w:ind w:left="284" w:hanging="284"/>
        <w:rPr>
          <w:b/>
          <w:lang w:eastAsia="en-AU"/>
        </w:rPr>
      </w:pPr>
      <w:r>
        <w:rPr>
          <w:b/>
          <w:lang w:eastAsia="en-AU"/>
        </w:rPr>
        <w:t>Age</w:t>
      </w:r>
    </w:p>
    <w:p w14:paraId="2E5ED787" w14:textId="493F7DCF" w:rsidR="00DA0090" w:rsidRDefault="008A7FCE" w:rsidP="0060763C">
      <w:pPr>
        <w:pStyle w:val="DHHSbody"/>
        <w:rPr>
          <w:b/>
          <w:lang w:eastAsia="en-AU"/>
        </w:rPr>
      </w:pPr>
      <w:r>
        <w:rPr>
          <w:b/>
          <w:noProof/>
          <w:lang w:eastAsia="en-AU"/>
        </w:rPr>
        <w:drawing>
          <wp:inline distT="0" distB="0" distL="0" distR="0" wp14:anchorId="7B5889FE" wp14:editId="0C0139CA">
            <wp:extent cx="3133725" cy="2707005"/>
            <wp:effectExtent l="0" t="0" r="9525" b="0"/>
            <wp:docPr id="580" name="Picture 580" descr="This figure shows a data summary of 'Measure 13.1 – One-year survival from all cancers'. Specially this figure focuses on the trends in one-year relative survival from all cancers (combined) by age for the study period 2010-2016. The data set is available under 'Measure 13.1 – On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33725" cy="2707005"/>
                    </a:xfrm>
                    <a:prstGeom prst="rect">
                      <a:avLst/>
                    </a:prstGeom>
                    <a:noFill/>
                  </pic:spPr>
                </pic:pic>
              </a:graphicData>
            </a:graphic>
          </wp:inline>
        </w:drawing>
      </w:r>
    </w:p>
    <w:p w14:paraId="7F6F5D26" w14:textId="1FB1F8ED" w:rsidR="00D14A43" w:rsidRDefault="00D14A43" w:rsidP="00160602">
      <w:pPr>
        <w:pStyle w:val="DHHSbody"/>
        <w:numPr>
          <w:ilvl w:val="0"/>
          <w:numId w:val="13"/>
        </w:numPr>
        <w:ind w:left="284" w:hanging="284"/>
        <w:rPr>
          <w:b/>
          <w:lang w:eastAsia="en-AU"/>
        </w:rPr>
      </w:pPr>
      <w:r>
        <w:rPr>
          <w:b/>
          <w:lang w:eastAsia="en-AU"/>
        </w:rPr>
        <w:t>Remoteness</w:t>
      </w:r>
    </w:p>
    <w:p w14:paraId="09A77172" w14:textId="04507F67" w:rsidR="004B787A" w:rsidRDefault="00237D90" w:rsidP="004B787A">
      <w:pPr>
        <w:pStyle w:val="DHHSbody"/>
        <w:rPr>
          <w:b/>
          <w:lang w:eastAsia="en-AU"/>
        </w:rPr>
      </w:pPr>
      <w:r w:rsidRPr="0039300C">
        <w:rPr>
          <w:b/>
          <w:noProof/>
          <w:lang w:eastAsia="en-AU"/>
        </w:rPr>
        <mc:AlternateContent>
          <mc:Choice Requires="wps">
            <w:drawing>
              <wp:anchor distT="45720" distB="45720" distL="114300" distR="114300" simplePos="0" relativeHeight="251994112" behindDoc="0" locked="0" layoutInCell="1" allowOverlap="1" wp14:anchorId="739648EC" wp14:editId="3C72C53D">
                <wp:simplePos x="0" y="0"/>
                <wp:positionH relativeFrom="column">
                  <wp:posOffset>1436370</wp:posOffset>
                </wp:positionH>
                <wp:positionV relativeFrom="paragraph">
                  <wp:posOffset>2494280</wp:posOffset>
                </wp:positionV>
                <wp:extent cx="582930" cy="254635"/>
                <wp:effectExtent l="0" t="0" r="762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 cy="254635"/>
                        </a:xfrm>
                        <a:prstGeom prst="rect">
                          <a:avLst/>
                        </a:prstGeom>
                        <a:solidFill>
                          <a:srgbClr val="FFFFFF"/>
                        </a:solidFill>
                        <a:ln w="9525">
                          <a:noFill/>
                          <a:miter lim="800000"/>
                          <a:headEnd/>
                          <a:tailEnd/>
                        </a:ln>
                      </wps:spPr>
                      <wps:txbx>
                        <w:txbxContent>
                          <w:p w14:paraId="559223EF" w14:textId="1B8E2EB6" w:rsidR="00110FC6" w:rsidRPr="007B0D34" w:rsidRDefault="00110FC6">
                            <w:pPr>
                              <w:rPr>
                                <w:rFonts w:ascii="Arial" w:hAnsi="Arial" w:cs="Arial"/>
                                <w:b/>
                                <w:bCs/>
                              </w:rPr>
                            </w:pPr>
                            <w:r w:rsidRPr="007B0D34">
                              <w:rPr>
                                <w:rFonts w:ascii="Arial" w:hAnsi="Arial" w:cs="Arial"/>
                                <w:b/>
                                <w:bCs/>
                              </w:rPr>
                              <w:t>Year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648EC" id="_x0000_s1029" type="#_x0000_t202" style="position:absolute;margin-left:113.1pt;margin-top:196.4pt;width:45.9pt;height:20.05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" stroked="f">
                <v:textbox>
                  <w:txbxContent>
                    <w:p w14:paraId="559223EF" w14:textId="1B8E2EB6" w:rsidR="00110FC6" w:rsidRPr="007B0D34" w:rsidRDefault="00110FC6">
                      <w:pPr>
                        <w:rPr>
                          <w:rFonts w:ascii="Arial" w:hAnsi="Arial" w:cs="Arial"/>
                          <w:b/>
                          <w:bCs/>
                        </w:rPr>
                      </w:pPr>
                      <w:r w:rsidRPr="007B0D34">
                        <w:rPr>
                          <w:rFonts w:ascii="Arial" w:hAnsi="Arial" w:cs="Arial"/>
                          <w:b/>
                          <w:bCs/>
                        </w:rPr>
                        <w:t>Year</w:t>
                      </w:r>
                    </w:p>
                  </w:txbxContent>
                </v:textbox>
              </v:shape>
            </w:pict>
          </mc:Fallback>
        </mc:AlternateContent>
      </w:r>
      <w:r w:rsidR="008A7FCE">
        <w:rPr>
          <w:b/>
          <w:noProof/>
          <w:lang w:eastAsia="en-AU"/>
        </w:rPr>
        <w:drawing>
          <wp:inline distT="0" distB="0" distL="0" distR="0" wp14:anchorId="04BE8486" wp14:editId="09F279E0">
            <wp:extent cx="3133725" cy="2688590"/>
            <wp:effectExtent l="0" t="0" r="9525" b="0"/>
            <wp:docPr id="581" name="Picture 581" descr="This figure shows a data summary of 'Measure 13.1 – One-year survival from all cancers'. Specially this figure focuses on the trends in one-year relative survival from all cancers (combined) by remoteness for the study period 2010-2016. The data set is available under 'Measure 13.1 – On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33725" cy="2688590"/>
                    </a:xfrm>
                    <a:prstGeom prst="rect">
                      <a:avLst/>
                    </a:prstGeom>
                    <a:noFill/>
                  </pic:spPr>
                </pic:pic>
              </a:graphicData>
            </a:graphic>
          </wp:inline>
        </w:drawing>
      </w:r>
    </w:p>
    <w:p w14:paraId="082F30E5" w14:textId="77777777" w:rsidR="004B787A" w:rsidRDefault="004B787A" w:rsidP="00160602">
      <w:pPr>
        <w:pStyle w:val="DHHSbody"/>
        <w:numPr>
          <w:ilvl w:val="0"/>
          <w:numId w:val="13"/>
        </w:numPr>
        <w:ind w:left="205" w:hanging="205"/>
        <w:rPr>
          <w:b/>
          <w:lang w:eastAsia="en-AU"/>
        </w:rPr>
        <w:sectPr w:rsidR="004B787A" w:rsidSect="004B787A">
          <w:type w:val="continuous"/>
          <w:pgSz w:w="11906" w:h="16838"/>
          <w:pgMar w:top="1701" w:right="849" w:bottom="1134" w:left="426" w:header="454" w:footer="510" w:gutter="0"/>
          <w:cols w:num="2" w:space="720"/>
          <w:docGrid w:linePitch="360"/>
        </w:sectPr>
      </w:pPr>
    </w:p>
    <w:p w14:paraId="7B685C9C" w14:textId="1129B5C6" w:rsidR="0060763C" w:rsidRDefault="0060763C" w:rsidP="00160602">
      <w:pPr>
        <w:pStyle w:val="DHHSbody"/>
        <w:numPr>
          <w:ilvl w:val="0"/>
          <w:numId w:val="13"/>
        </w:numPr>
        <w:ind w:left="205" w:hanging="205"/>
        <w:rPr>
          <w:b/>
          <w:lang w:eastAsia="en-AU"/>
        </w:rPr>
      </w:pPr>
      <w:r>
        <w:rPr>
          <w:b/>
          <w:lang w:eastAsia="en-AU"/>
        </w:rPr>
        <w:lastRenderedPageBreak/>
        <w:t>Integrated Cancer Service</w:t>
      </w:r>
    </w:p>
    <w:p w14:paraId="60127BC5" w14:textId="28B9D431" w:rsidR="008A7FCE" w:rsidRDefault="008A7FCE" w:rsidP="008A7FCE">
      <w:pPr>
        <w:pStyle w:val="DHHSbody"/>
      </w:pPr>
      <w:r>
        <w:rPr>
          <w:noProof/>
        </w:rPr>
        <w:drawing>
          <wp:inline distT="0" distB="0" distL="0" distR="0" wp14:anchorId="669FD650" wp14:editId="348114D4">
            <wp:extent cx="6718300" cy="3365500"/>
            <wp:effectExtent l="0" t="0" r="6350" b="6350"/>
            <wp:docPr id="582" name="Picture 582" descr="This figure shows a data summary of 'Measure 13.1 – One-year survival from all cancers'. Specially this figure focuses on the trends in one-year relative survival from all cancers (combined) by Integrated Cancer Service for the study period 2010-2016. The data set is available under 'Measure 13.1 – On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718300" cy="3365500"/>
                    </a:xfrm>
                    <a:prstGeom prst="rect">
                      <a:avLst/>
                    </a:prstGeom>
                    <a:noFill/>
                  </pic:spPr>
                </pic:pic>
              </a:graphicData>
            </a:graphic>
          </wp:inline>
        </w:drawing>
      </w:r>
    </w:p>
    <w:p w14:paraId="7C0E1D23" w14:textId="0B9345FE" w:rsidR="0073300D" w:rsidRPr="0073300D" w:rsidRDefault="0073300D" w:rsidP="0073300D">
      <w:pPr>
        <w:pStyle w:val="DHHStablefigurenote"/>
      </w:pPr>
      <w:r w:rsidRPr="0073300D">
        <w:t>Note: Appendix 2 provides the dataset</w:t>
      </w:r>
      <w:r w:rsidR="00DC2D82">
        <w:t>.</w:t>
      </w:r>
    </w:p>
    <w:p w14:paraId="66CBE636" w14:textId="6477B974" w:rsidR="002E08FF" w:rsidRPr="0060763C" w:rsidRDefault="00774EDC" w:rsidP="0060763C">
      <w:pPr>
        <w:pStyle w:val="DHHSbody"/>
        <w:rPr>
          <w:b/>
          <w:lang w:eastAsia="en-AU"/>
        </w:rPr>
      </w:pPr>
      <w:r w:rsidRPr="0060763C">
        <w:rPr>
          <w:b/>
        </w:rPr>
        <w:t>M</w:t>
      </w:r>
      <w:r w:rsidR="002E08FF" w:rsidRPr="0060763C">
        <w:rPr>
          <w:b/>
        </w:rPr>
        <w:t>easure assessment</w:t>
      </w:r>
    </w:p>
    <w:p w14:paraId="1B6090C0" w14:textId="1DDE7607" w:rsidR="00026CF2" w:rsidRPr="00026CF2" w:rsidRDefault="002E08FF" w:rsidP="0097280A">
      <w:pPr>
        <w:autoSpaceDE w:val="0"/>
        <w:autoSpaceDN w:val="0"/>
        <w:adjustRightInd w:val="0"/>
        <w:spacing w:after="120" w:line="270" w:lineRule="atLeast"/>
        <w:rPr>
          <w:rFonts w:ascii="Arial" w:hAnsi="Arial" w:cs="Arial"/>
          <w:color w:val="C5511A"/>
        </w:rPr>
      </w:pPr>
      <w:r w:rsidRPr="00946AFA">
        <w:rPr>
          <w:rFonts w:ascii="Arial" w:hAnsi="Arial" w:cs="Arial"/>
        </w:rPr>
        <w:t xml:space="preserve">Traffic light rating: </w:t>
      </w:r>
      <w:r w:rsidR="00946AFA"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678F7C61" w14:textId="46FEDBDA" w:rsidR="00946AFA" w:rsidRPr="00946AFA" w:rsidRDefault="002E08FF" w:rsidP="0097280A">
      <w:pPr>
        <w:spacing w:after="120" w:line="270" w:lineRule="atLeast"/>
        <w:rPr>
          <w:rFonts w:ascii="Arial" w:hAnsi="Arial" w:cs="Arial"/>
        </w:rPr>
      </w:pPr>
      <w:r w:rsidRPr="00946AFA">
        <w:rPr>
          <w:rFonts w:ascii="Arial" w:hAnsi="Arial" w:cs="Arial"/>
        </w:rPr>
        <w:t xml:space="preserve">Overall trend: </w:t>
      </w:r>
      <w:r w:rsidR="00946AFA" w:rsidRPr="00946AFA">
        <w:rPr>
          <w:rFonts w:ascii="Arial" w:hAnsi="Arial" w:cs="Arial"/>
        </w:rPr>
        <w:t>Moving in the right direction</w:t>
      </w:r>
    </w:p>
    <w:p w14:paraId="246392C4" w14:textId="16863BC6" w:rsidR="00946AFA" w:rsidRDefault="002E08FF" w:rsidP="002E08FF">
      <w:pPr>
        <w:pStyle w:val="DHHSbody"/>
      </w:pPr>
      <w:r w:rsidRPr="00946AFA">
        <w:rPr>
          <w:rFonts w:cs="Arial"/>
          <w:lang w:eastAsia="en-AU"/>
        </w:rPr>
        <w:t>Commentary:</w:t>
      </w:r>
      <w:r w:rsidR="0034686B" w:rsidRPr="00946AFA">
        <w:rPr>
          <w:rFonts w:cs="Arial"/>
        </w:rPr>
        <w:t xml:space="preserve"> </w:t>
      </w:r>
      <w:r w:rsidR="00946AFA" w:rsidRPr="00946AFA">
        <w:rPr>
          <w:rFonts w:cs="Arial"/>
        </w:rPr>
        <w:t>Figure 13.1(A) shows that from 2010</w:t>
      </w:r>
      <w:r w:rsidR="009D0E1A">
        <w:rPr>
          <w:rFonts w:cs="Arial"/>
        </w:rPr>
        <w:t>–</w:t>
      </w:r>
      <w:r w:rsidR="00946AFA" w:rsidRPr="00946AFA">
        <w:rPr>
          <w:rFonts w:cs="Arial"/>
        </w:rPr>
        <w:t xml:space="preserve">2016, one-year relative survival </w:t>
      </w:r>
      <w:r w:rsidR="00550F31">
        <w:rPr>
          <w:rFonts w:cs="Arial"/>
        </w:rPr>
        <w:t xml:space="preserve">for all cancers combined </w:t>
      </w:r>
      <w:r w:rsidR="00550F31">
        <w:t>(</w:t>
      </w:r>
      <w:r w:rsidR="003031A4">
        <w:t>C00</w:t>
      </w:r>
      <w:r w:rsidR="003031A4" w:rsidRPr="00ED0A4A">
        <w:t>–</w:t>
      </w:r>
      <w:r w:rsidR="00550F31" w:rsidRPr="00ED0A4A">
        <w:t>C97, D45–D46, D47.1, D47.3)</w:t>
      </w:r>
      <w:r w:rsidR="00550F31">
        <w:t xml:space="preserve"> </w:t>
      </w:r>
      <w:r w:rsidR="00946AFA">
        <w:rPr>
          <w:rFonts w:cs="Arial"/>
        </w:rPr>
        <w:t>increas</w:t>
      </w:r>
      <w:r w:rsidR="00265BAB">
        <w:rPr>
          <w:rFonts w:cs="Arial"/>
        </w:rPr>
        <w:t>ed</w:t>
      </w:r>
      <w:r w:rsidR="00946AFA">
        <w:rPr>
          <w:rFonts w:cs="Arial"/>
        </w:rPr>
        <w:t xml:space="preserve"> slightly from 81.7 per</w:t>
      </w:r>
      <w:r w:rsidR="00946AFA" w:rsidRPr="00946AFA">
        <w:rPr>
          <w:rFonts w:cs="Arial"/>
        </w:rPr>
        <w:t xml:space="preserve"> cent in 2010 to 83.2 </w:t>
      </w:r>
      <w:r w:rsidR="00550F31">
        <w:rPr>
          <w:rFonts w:cs="Arial"/>
        </w:rPr>
        <w:t>per cent in 2016.</w:t>
      </w:r>
      <w:r w:rsidR="00952FC7">
        <w:rPr>
          <w:rFonts w:cs="Arial"/>
        </w:rPr>
        <w:t xml:space="preserve"> </w:t>
      </w:r>
      <w:r w:rsidR="00A74380">
        <w:rPr>
          <w:rFonts w:cs="Arial"/>
        </w:rPr>
        <w:t>Females</w:t>
      </w:r>
      <w:r w:rsidR="00550F31">
        <w:rPr>
          <w:rFonts w:cs="Arial"/>
        </w:rPr>
        <w:t xml:space="preserve"> tended to have higher one-year relative survival rates</w:t>
      </w:r>
      <w:r w:rsidR="00A74380">
        <w:rPr>
          <w:rFonts w:cs="Arial"/>
        </w:rPr>
        <w:t xml:space="preserve"> than males overall</w:t>
      </w:r>
      <w:r w:rsidR="00355EB7">
        <w:rPr>
          <w:rFonts w:cs="Arial"/>
        </w:rPr>
        <w:t>,</w:t>
      </w:r>
      <w:r w:rsidR="00314164">
        <w:rPr>
          <w:rFonts w:cs="Arial"/>
        </w:rPr>
        <w:t xml:space="preserve"> which is also widening</w:t>
      </w:r>
      <w:r w:rsidR="00A74380">
        <w:rPr>
          <w:rFonts w:cs="Arial"/>
        </w:rPr>
        <w:t xml:space="preserve"> (Figure 13.1 (B)).</w:t>
      </w:r>
      <w:r w:rsidR="00952FC7">
        <w:rPr>
          <w:rFonts w:cs="Arial"/>
        </w:rPr>
        <w:t xml:space="preserve"> </w:t>
      </w:r>
      <w:r w:rsidR="00A74380">
        <w:rPr>
          <w:rFonts w:cs="Arial"/>
        </w:rPr>
        <w:t>However</w:t>
      </w:r>
      <w:r w:rsidR="00ED4719">
        <w:rPr>
          <w:rFonts w:cs="Arial"/>
        </w:rPr>
        <w:t>,</w:t>
      </w:r>
      <w:r w:rsidR="00A74380">
        <w:rPr>
          <w:rFonts w:cs="Arial"/>
        </w:rPr>
        <w:t xml:space="preserve"> this varied with age.</w:t>
      </w:r>
      <w:r w:rsidR="00952FC7">
        <w:rPr>
          <w:rFonts w:cs="Arial"/>
        </w:rPr>
        <w:t xml:space="preserve"> </w:t>
      </w:r>
      <w:r w:rsidR="00A74380">
        <w:rPr>
          <w:rFonts w:cs="Arial"/>
        </w:rPr>
        <w:t>Figure 13.1 (C) shows that survival was highest for people under 30 years of age and decreased with age</w:t>
      </w:r>
      <w:r w:rsidR="00756888">
        <w:rPr>
          <w:rFonts w:cs="Arial"/>
        </w:rPr>
        <w:t>,</w:t>
      </w:r>
      <w:r w:rsidR="00A74380">
        <w:rPr>
          <w:rFonts w:cs="Arial"/>
        </w:rPr>
        <w:t xml:space="preserve"> so it was the lowest for those aged 75 years </w:t>
      </w:r>
      <w:r w:rsidR="001B50BF">
        <w:rPr>
          <w:rFonts w:cs="Arial"/>
        </w:rPr>
        <w:t>or older</w:t>
      </w:r>
      <w:r w:rsidR="00A74380">
        <w:t>. This age-related pattern of survival is characteristic</w:t>
      </w:r>
      <w:r w:rsidR="00431ABA">
        <w:t xml:space="preserve"> of most individual cancer streams</w:t>
      </w:r>
      <w:r w:rsidR="00A74380">
        <w:t xml:space="preserve"> presented in this </w:t>
      </w:r>
      <w:r w:rsidR="00431ABA">
        <w:t xml:space="preserve">baseline </w:t>
      </w:r>
      <w:r w:rsidR="00E86883">
        <w:t xml:space="preserve">report. The reduction in </w:t>
      </w:r>
      <w:r w:rsidR="00A74380">
        <w:t>survival with age was more pronounced in the second half of the life span</w:t>
      </w:r>
      <w:r w:rsidR="00756888">
        <w:t xml:space="preserve"> – </w:t>
      </w:r>
      <w:r w:rsidR="00A74380">
        <w:t>for almost all types of cancers, one-year survival was lowest in older people.</w:t>
      </w:r>
    </w:p>
    <w:p w14:paraId="1B022F6A" w14:textId="3DE9BF74" w:rsidR="00946AFA" w:rsidRDefault="00E86883" w:rsidP="002E08FF">
      <w:pPr>
        <w:pStyle w:val="DHHSbody"/>
      </w:pPr>
      <w:r>
        <w:t>Figure 13.1 (D) shows that for each recorded year, one-year relative survival decreased with greater remoteness</w:t>
      </w:r>
      <w:r w:rsidR="00756888">
        <w:t>,</w:t>
      </w:r>
      <w:r>
        <w:t xml:space="preserve"> although the differences were small</w:t>
      </w:r>
      <w:r w:rsidR="00756888">
        <w:t>,</w:t>
      </w:r>
      <w:r>
        <w:t xml:space="preserve"> ranging from </w:t>
      </w:r>
      <w:r w:rsidR="00AC0A42">
        <w:t>82.2 per cent (2010</w:t>
      </w:r>
      <w:r w:rsidR="00756888">
        <w:t>)</w:t>
      </w:r>
      <w:r w:rsidR="00AC0A42">
        <w:t xml:space="preserve"> and 83.8 per cent (201</w:t>
      </w:r>
      <w:r w:rsidR="00122D8D">
        <w:t>6</w:t>
      </w:r>
      <w:r w:rsidR="00AC0A42">
        <w:t xml:space="preserve">) in major cities compared </w:t>
      </w:r>
      <w:r w:rsidR="001B50BF">
        <w:t xml:space="preserve">with </w:t>
      </w:r>
      <w:r w:rsidR="00AC0A42">
        <w:t xml:space="preserve">79.3 per cent (2010) and 79.2 per cent </w:t>
      </w:r>
      <w:r w:rsidR="0040020C">
        <w:t>(2016)</w:t>
      </w:r>
      <w:r w:rsidR="00AC0A42">
        <w:t>in outer regional/remote Victorian areas.</w:t>
      </w:r>
      <w:r w:rsidR="00952FC7">
        <w:t xml:space="preserve"> </w:t>
      </w:r>
      <w:r w:rsidR="00AC0A42">
        <w:t xml:space="preserve">Similarly, there was a gradient of decreasing one-year relative survival rates </w:t>
      </w:r>
      <w:r w:rsidR="00852AEF">
        <w:t>by ICS region</w:t>
      </w:r>
      <w:r w:rsidR="00756888">
        <w:t>,</w:t>
      </w:r>
      <w:r w:rsidR="00852AEF">
        <w:t xml:space="preserve"> with metropolitan ICSs such as NE</w:t>
      </w:r>
      <w:r w:rsidR="005B248D">
        <w:t>M</w:t>
      </w:r>
      <w:r w:rsidR="00852AEF">
        <w:t xml:space="preserve">ICS and </w:t>
      </w:r>
      <w:r w:rsidR="005B248D">
        <w:t>SM</w:t>
      </w:r>
      <w:r w:rsidR="00852AEF">
        <w:t xml:space="preserve">ICS reporting higher survival rates compared </w:t>
      </w:r>
      <w:r w:rsidR="001B50BF">
        <w:t xml:space="preserve">with </w:t>
      </w:r>
      <w:r w:rsidR="00852AEF">
        <w:t xml:space="preserve">rural and regional ICS such as </w:t>
      </w:r>
      <w:r w:rsidR="005B248D">
        <w:t>GR</w:t>
      </w:r>
      <w:r w:rsidR="00852AEF">
        <w:t xml:space="preserve">ICS and </w:t>
      </w:r>
      <w:r w:rsidR="00255EA6">
        <w:t>L</w:t>
      </w:r>
      <w:r w:rsidR="00852AEF">
        <w:t>MICS</w:t>
      </w:r>
      <w:r w:rsidR="00756888">
        <w:t>,</w:t>
      </w:r>
      <w:r w:rsidR="003031A4">
        <w:t xml:space="preserve"> which generally reported the lowest survival rate for each recorded year</w:t>
      </w:r>
      <w:r w:rsidR="00852AEF">
        <w:t xml:space="preserve"> (Figure 13.1 (E)). </w:t>
      </w:r>
    </w:p>
    <w:p w14:paraId="13D984A9" w14:textId="25F479CF" w:rsidR="002E08FF" w:rsidRPr="001A2A05" w:rsidRDefault="00E26C44" w:rsidP="001A2A05">
      <w:pPr>
        <w:pStyle w:val="DHHSbody"/>
      </w:pPr>
      <w:r>
        <w:t xml:space="preserve">The target for this measure is to double </w:t>
      </w:r>
      <w:r w:rsidRPr="00F071EE">
        <w:t xml:space="preserve">the improvement </w:t>
      </w:r>
      <w:r>
        <w:t>in one-year survival by 2040 from the baseline (2010).</w:t>
      </w:r>
      <w:r w:rsidR="00952FC7">
        <w:t xml:space="preserve"> </w:t>
      </w:r>
      <w:r w:rsidR="00EF593A">
        <w:t>The goal of doubli</w:t>
      </w:r>
      <w:r w:rsidR="006E008E">
        <w:t>ng the improvement in one-year survival will be met if the improvement in relative survival between the periods 2030</w:t>
      </w:r>
      <w:r w:rsidR="009D0E1A">
        <w:t>–</w:t>
      </w:r>
      <w:r w:rsidR="006E008E">
        <w:t>2034 and 2035</w:t>
      </w:r>
      <w:r w:rsidR="009D0E1A">
        <w:t>–</w:t>
      </w:r>
      <w:r w:rsidR="006E008E">
        <w:t>2039 is twice that of the improvement between the periods 2005</w:t>
      </w:r>
      <w:r w:rsidR="009D0E1A">
        <w:t>–</w:t>
      </w:r>
      <w:r w:rsidR="006E008E">
        <w:t>2009 and 2010</w:t>
      </w:r>
      <w:r w:rsidR="009D0E1A">
        <w:t>–</w:t>
      </w:r>
      <w:r w:rsidR="006E008E">
        <w:t xml:space="preserve">2014. </w:t>
      </w:r>
      <w:r w:rsidR="0077307E">
        <w:t xml:space="preserve">Figure 13.1 (A) shows that Victoria </w:t>
      </w:r>
      <w:r w:rsidR="00632D3A">
        <w:t>is</w:t>
      </w:r>
      <w:r w:rsidR="0077307E">
        <w:t xml:space="preserve"> moving in the right direction.</w:t>
      </w:r>
      <w:r w:rsidR="002E08FF">
        <w:rPr>
          <w:lang w:eastAsia="en-AU"/>
        </w:rPr>
        <w:br w:type="page"/>
      </w:r>
    </w:p>
    <w:p w14:paraId="02B2E361" w14:textId="55E6D72C" w:rsidR="005C15AA" w:rsidRDefault="005C15AA" w:rsidP="005C15AA">
      <w:pPr>
        <w:pStyle w:val="Heading3"/>
        <w:rPr>
          <w:lang w:eastAsia="en-AU"/>
        </w:rPr>
      </w:pPr>
      <w:bookmarkStart w:id="804" w:name="_Measure_13.2_–"/>
      <w:bookmarkStart w:id="805" w:name="_Toc19008156"/>
      <w:bookmarkEnd w:id="804"/>
      <w:r>
        <w:rPr>
          <w:lang w:eastAsia="en-AU"/>
        </w:rPr>
        <w:lastRenderedPageBreak/>
        <w:t>Measure 13.2 – One-year survival from</w:t>
      </w:r>
      <w:r w:rsidR="00A4158A">
        <w:rPr>
          <w:lang w:eastAsia="en-AU"/>
        </w:rPr>
        <w:t xml:space="preserve"> lung cancer</w:t>
      </w:r>
      <w:bookmarkEnd w:id="805"/>
    </w:p>
    <w:p w14:paraId="08DC8F51" w14:textId="4EADC641" w:rsidR="006339EF" w:rsidRDefault="00186FD9" w:rsidP="00441D5B">
      <w:pPr>
        <w:pStyle w:val="DHHSfigurecaption"/>
      </w:pPr>
      <w:bookmarkStart w:id="806" w:name="_Toc19008157"/>
      <w:bookmarkStart w:id="807" w:name="_Toc19008363"/>
      <w:bookmarkStart w:id="808" w:name="_Toc19008510"/>
      <w:bookmarkStart w:id="809" w:name="_Toc19008657"/>
      <w:bookmarkStart w:id="810" w:name="_Toc27414365"/>
      <w:r w:rsidRPr="00186FD9">
        <w:t>Figure 13.2</w:t>
      </w:r>
      <w:r w:rsidR="009D0E1A">
        <w:t>:</w:t>
      </w:r>
      <w:r w:rsidRPr="00186FD9">
        <w:t xml:space="preserve"> </w:t>
      </w:r>
      <w:r w:rsidR="00902210" w:rsidRPr="00416D08">
        <w:t>Trends in one-year relative survival</w:t>
      </w:r>
      <w:r w:rsidR="00902210">
        <w:t xml:space="preserve"> from lung cancer overall (A) and by sex (B), age (C), remoteness (D) and </w:t>
      </w:r>
      <w:r w:rsidR="008439C8">
        <w:t>ICS</w:t>
      </w:r>
      <w:r w:rsidR="00902210">
        <w:t xml:space="preserve"> (E)</w:t>
      </w:r>
      <w:r w:rsidR="00902210" w:rsidRPr="00416D08">
        <w:t>, Victoria</w:t>
      </w:r>
      <w:r w:rsidR="00902210">
        <w:t>,</w:t>
      </w:r>
      <w:r w:rsidR="00902210" w:rsidRPr="00416D08">
        <w:t xml:space="preserve"> by year, 2010</w:t>
      </w:r>
      <w:r w:rsidR="009D0E1A">
        <w:t>–</w:t>
      </w:r>
      <w:r w:rsidR="00902210" w:rsidRPr="00416D08">
        <w:t>2016</w:t>
      </w:r>
      <w:bookmarkEnd w:id="806"/>
      <w:bookmarkEnd w:id="807"/>
      <w:bookmarkEnd w:id="808"/>
      <w:bookmarkEnd w:id="809"/>
      <w:bookmarkEnd w:id="810"/>
    </w:p>
    <w:p w14:paraId="77DE62E6" w14:textId="77777777" w:rsidR="004732EF" w:rsidRDefault="004732EF" w:rsidP="00160602">
      <w:pPr>
        <w:pStyle w:val="DHHSbody"/>
        <w:numPr>
          <w:ilvl w:val="0"/>
          <w:numId w:val="14"/>
        </w:numPr>
        <w:ind w:left="346" w:hanging="283"/>
        <w:rPr>
          <w:b/>
          <w:lang w:eastAsia="en-AU"/>
        </w:rPr>
        <w:sectPr w:rsidR="004732EF" w:rsidSect="006116E6">
          <w:type w:val="continuous"/>
          <w:pgSz w:w="11906" w:h="16838"/>
          <w:pgMar w:top="1701" w:right="849" w:bottom="1134" w:left="426" w:header="454" w:footer="510" w:gutter="0"/>
          <w:cols w:space="720"/>
          <w:docGrid w:linePitch="360"/>
        </w:sectPr>
      </w:pPr>
    </w:p>
    <w:p w14:paraId="2DF0F250" w14:textId="5938ECB9" w:rsidR="00C5794E" w:rsidRDefault="00C5794E" w:rsidP="00160602">
      <w:pPr>
        <w:pStyle w:val="DHHSbody"/>
        <w:numPr>
          <w:ilvl w:val="0"/>
          <w:numId w:val="14"/>
        </w:numPr>
        <w:ind w:left="357" w:hanging="357"/>
        <w:rPr>
          <w:b/>
          <w:lang w:eastAsia="en-AU"/>
        </w:rPr>
      </w:pPr>
      <w:r>
        <w:rPr>
          <w:b/>
          <w:lang w:eastAsia="en-AU"/>
        </w:rPr>
        <w:t>Overall</w:t>
      </w:r>
    </w:p>
    <w:p w14:paraId="7B9B8E37" w14:textId="1735F402" w:rsidR="00264BB9" w:rsidRDefault="008A7FCE" w:rsidP="00186FD9">
      <w:pPr>
        <w:pStyle w:val="DHHSbody"/>
        <w:rPr>
          <w:b/>
          <w:lang w:eastAsia="en-AU"/>
        </w:rPr>
      </w:pPr>
      <w:r>
        <w:rPr>
          <w:b/>
          <w:noProof/>
          <w:lang w:eastAsia="en-AU"/>
        </w:rPr>
        <w:drawing>
          <wp:inline distT="0" distB="0" distL="0" distR="0" wp14:anchorId="127A0303" wp14:editId="0E5AD65D">
            <wp:extent cx="2890520" cy="2105563"/>
            <wp:effectExtent l="0" t="0" r="5080" b="9525"/>
            <wp:docPr id="583" name="Picture 583" descr="This figure shows a data summary of 'Measure 13.2 – One-year survival from lung cancer'. Specially this figure focuses on the trends in one-year relative survival from lung cancer overall for the study period 2010-2016. The data set is available under 'Measure 13.2 – On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905428" cy="2116423"/>
                    </a:xfrm>
                    <a:prstGeom prst="rect">
                      <a:avLst/>
                    </a:prstGeom>
                    <a:noFill/>
                  </pic:spPr>
                </pic:pic>
              </a:graphicData>
            </a:graphic>
          </wp:inline>
        </w:drawing>
      </w:r>
    </w:p>
    <w:p w14:paraId="59CE1BC7" w14:textId="794060CC" w:rsidR="004732EF" w:rsidRDefault="004732EF" w:rsidP="00160602">
      <w:pPr>
        <w:pStyle w:val="DHHSbody"/>
        <w:numPr>
          <w:ilvl w:val="0"/>
          <w:numId w:val="19"/>
        </w:numPr>
        <w:ind w:left="357" w:hanging="357"/>
        <w:rPr>
          <w:b/>
          <w:lang w:eastAsia="en-AU"/>
        </w:rPr>
      </w:pPr>
      <w:r>
        <w:rPr>
          <w:b/>
          <w:lang w:eastAsia="en-AU"/>
        </w:rPr>
        <w:t>Sex</w:t>
      </w:r>
    </w:p>
    <w:p w14:paraId="35CE5A69" w14:textId="560B216C" w:rsidR="004732EF" w:rsidRDefault="008A7FCE" w:rsidP="004732EF">
      <w:pPr>
        <w:pStyle w:val="DHHSbody"/>
        <w:rPr>
          <w:b/>
          <w:lang w:eastAsia="en-AU"/>
        </w:rPr>
      </w:pPr>
      <w:r>
        <w:rPr>
          <w:b/>
          <w:noProof/>
          <w:lang w:eastAsia="en-AU"/>
        </w:rPr>
        <w:drawing>
          <wp:inline distT="0" distB="0" distL="0" distR="0" wp14:anchorId="63931873" wp14:editId="3845C22C">
            <wp:extent cx="2837329" cy="2085509"/>
            <wp:effectExtent l="0" t="0" r="1270" b="0"/>
            <wp:docPr id="584" name="Picture 584" descr="This figure shows a data summary of 'Measure 13.2 – One-year survival from lung cancer'. Specially this figure focuses on the trends in one-year relative survival from lung cancer by sex for the study period 2010-2016. The data set is available under 'Measure 13.2 – On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51430" cy="2095874"/>
                    </a:xfrm>
                    <a:prstGeom prst="rect">
                      <a:avLst/>
                    </a:prstGeom>
                    <a:noFill/>
                  </pic:spPr>
                </pic:pic>
              </a:graphicData>
            </a:graphic>
          </wp:inline>
        </w:drawing>
      </w:r>
    </w:p>
    <w:p w14:paraId="70941665" w14:textId="77777777" w:rsidR="004732EF" w:rsidRDefault="004732EF" w:rsidP="00160602">
      <w:pPr>
        <w:pStyle w:val="DHHSbody"/>
        <w:numPr>
          <w:ilvl w:val="0"/>
          <w:numId w:val="19"/>
        </w:numPr>
        <w:ind w:left="346" w:hanging="283"/>
        <w:rPr>
          <w:b/>
          <w:lang w:eastAsia="en-AU"/>
        </w:rPr>
        <w:sectPr w:rsidR="004732EF" w:rsidSect="00021AC6">
          <w:type w:val="continuous"/>
          <w:pgSz w:w="11906" w:h="16838"/>
          <w:pgMar w:top="1701" w:right="849" w:bottom="1134" w:left="426" w:header="454" w:footer="510" w:gutter="0"/>
          <w:cols w:num="2" w:space="720"/>
          <w:docGrid w:linePitch="360"/>
        </w:sectPr>
      </w:pPr>
    </w:p>
    <w:p w14:paraId="59261BC1" w14:textId="30183901" w:rsidR="000C2334" w:rsidRDefault="000C2334" w:rsidP="00160602">
      <w:pPr>
        <w:pStyle w:val="DHHSbody"/>
        <w:numPr>
          <w:ilvl w:val="0"/>
          <w:numId w:val="19"/>
        </w:numPr>
        <w:ind w:left="357" w:hanging="357"/>
        <w:rPr>
          <w:b/>
          <w:lang w:eastAsia="en-AU"/>
        </w:rPr>
      </w:pPr>
      <w:r>
        <w:rPr>
          <w:b/>
          <w:lang w:eastAsia="en-AU"/>
        </w:rPr>
        <w:t>Age</w:t>
      </w:r>
    </w:p>
    <w:p w14:paraId="7D427794" w14:textId="605980EF" w:rsidR="000C2334" w:rsidRDefault="008A7FCE" w:rsidP="00186FD9">
      <w:pPr>
        <w:pStyle w:val="DHHSbody"/>
        <w:rPr>
          <w:b/>
          <w:lang w:eastAsia="en-AU"/>
        </w:rPr>
      </w:pPr>
      <w:r>
        <w:rPr>
          <w:b/>
          <w:noProof/>
          <w:lang w:eastAsia="en-AU"/>
        </w:rPr>
        <w:drawing>
          <wp:inline distT="0" distB="0" distL="0" distR="0" wp14:anchorId="3678AE26" wp14:editId="7F68F08A">
            <wp:extent cx="2891118" cy="2459843"/>
            <wp:effectExtent l="0" t="0" r="5080" b="0"/>
            <wp:docPr id="585" name="Picture 585" descr="This figure shows a data summary of 'Measure 13.2 – One-year survival from lung cancer'. Specially this figure focuses on the trends in one-year relative survival from lung cancer by age for the study period 2010-2016. The data set is available under 'Measure 13.2 – On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22812" cy="2486809"/>
                    </a:xfrm>
                    <a:prstGeom prst="rect">
                      <a:avLst/>
                    </a:prstGeom>
                    <a:noFill/>
                  </pic:spPr>
                </pic:pic>
              </a:graphicData>
            </a:graphic>
          </wp:inline>
        </w:drawing>
      </w:r>
    </w:p>
    <w:p w14:paraId="46B02E17" w14:textId="51188D3C" w:rsidR="00AC46F0" w:rsidRPr="00AC46F0" w:rsidRDefault="00AC46F0" w:rsidP="00160602">
      <w:pPr>
        <w:pStyle w:val="ListParagraph"/>
        <w:keepNext/>
        <w:numPr>
          <w:ilvl w:val="0"/>
          <w:numId w:val="19"/>
        </w:numPr>
        <w:spacing w:after="120" w:line="270" w:lineRule="atLeast"/>
        <w:ind w:left="357" w:hanging="357"/>
        <w:contextualSpacing w:val="0"/>
        <w:rPr>
          <w:rFonts w:ascii="Arial" w:hAnsi="Arial" w:cs="Arial"/>
          <w:b/>
        </w:rPr>
      </w:pPr>
      <w:r w:rsidRPr="00AC46F0">
        <w:rPr>
          <w:rFonts w:ascii="Arial" w:hAnsi="Arial" w:cs="Arial"/>
          <w:b/>
        </w:rPr>
        <w:t>Remoteness</w:t>
      </w:r>
    </w:p>
    <w:p w14:paraId="40C2BC21" w14:textId="68ABF2C0" w:rsidR="00AC46F0" w:rsidRDefault="008A7FCE" w:rsidP="00AC46F0">
      <w:pPr>
        <w:rPr>
          <w:rFonts w:ascii="Arial" w:hAnsi="Arial" w:cs="Arial"/>
          <w:b/>
        </w:rPr>
      </w:pPr>
      <w:r>
        <w:rPr>
          <w:rFonts w:ascii="Arial" w:hAnsi="Arial" w:cs="Arial"/>
          <w:b/>
          <w:noProof/>
        </w:rPr>
        <w:drawing>
          <wp:inline distT="0" distB="0" distL="0" distR="0" wp14:anchorId="52651081" wp14:editId="12061795">
            <wp:extent cx="2810435" cy="2403706"/>
            <wp:effectExtent l="0" t="0" r="9525" b="0"/>
            <wp:docPr id="586" name="Picture 586" descr="This figure shows a data summary of 'Measure 13.2 – One-year survival from lung cancer'. Specially this figure focuses on the trends in one-year relative survival from lung cancer by remoteness for the study period 2010-2016. The data set is available under 'Measure 13.2 – On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24611" cy="2415830"/>
                    </a:xfrm>
                    <a:prstGeom prst="rect">
                      <a:avLst/>
                    </a:prstGeom>
                    <a:noFill/>
                  </pic:spPr>
                </pic:pic>
              </a:graphicData>
            </a:graphic>
          </wp:inline>
        </w:drawing>
      </w:r>
    </w:p>
    <w:p w14:paraId="742C8C11" w14:textId="77777777" w:rsidR="00AC46F0" w:rsidRDefault="00AC46F0" w:rsidP="00AC46F0">
      <w:pPr>
        <w:rPr>
          <w:rFonts w:ascii="Arial" w:hAnsi="Arial" w:cs="Arial"/>
          <w:b/>
        </w:rPr>
      </w:pPr>
    </w:p>
    <w:p w14:paraId="7493FD7E" w14:textId="77777777" w:rsidR="00AC46F0" w:rsidRDefault="00AC46F0" w:rsidP="00AC46F0">
      <w:pPr>
        <w:rPr>
          <w:rFonts w:ascii="Arial" w:hAnsi="Arial" w:cs="Arial"/>
          <w:b/>
        </w:rPr>
        <w:sectPr w:rsidR="00AC46F0" w:rsidSect="00021AC6">
          <w:type w:val="continuous"/>
          <w:pgSz w:w="11906" w:h="16838"/>
          <w:pgMar w:top="1701" w:right="849" w:bottom="1134" w:left="426" w:header="454" w:footer="510" w:gutter="0"/>
          <w:cols w:num="2" w:space="720"/>
          <w:docGrid w:linePitch="360"/>
        </w:sectPr>
      </w:pPr>
    </w:p>
    <w:p w14:paraId="678A150E" w14:textId="39DA335D" w:rsidR="000C2334" w:rsidRPr="00DB18E5" w:rsidRDefault="000C2334" w:rsidP="00160602">
      <w:pPr>
        <w:pStyle w:val="DHHSbody"/>
        <w:numPr>
          <w:ilvl w:val="0"/>
          <w:numId w:val="20"/>
        </w:numPr>
        <w:ind w:left="346" w:hanging="283"/>
        <w:rPr>
          <w:b/>
          <w:lang w:eastAsia="en-AU"/>
        </w:rPr>
      </w:pPr>
      <w:r>
        <w:rPr>
          <w:b/>
          <w:lang w:eastAsia="en-AU"/>
        </w:rPr>
        <w:t>Integrated Cancer Service</w:t>
      </w:r>
    </w:p>
    <w:p w14:paraId="6863A943" w14:textId="43A944EC" w:rsidR="00486CDC" w:rsidRDefault="0028702E" w:rsidP="00F44BF1">
      <w:pPr>
        <w:pStyle w:val="DHHSbody"/>
        <w:rPr>
          <w:b/>
          <w:lang w:eastAsia="en-AU"/>
        </w:rPr>
      </w:pPr>
      <w:r>
        <w:rPr>
          <w:b/>
          <w:noProof/>
          <w:lang w:eastAsia="en-AU"/>
        </w:rPr>
        <w:drawing>
          <wp:inline distT="0" distB="0" distL="0" distR="0" wp14:anchorId="467DC191" wp14:editId="4714D4FE">
            <wp:extent cx="6360459" cy="2320278"/>
            <wp:effectExtent l="0" t="0" r="2540" b="4445"/>
            <wp:docPr id="587" name="Picture 587" descr="This figure shows a data summary of 'Measure 13.2 – One-year survival from lung cancer'. Specially this figure focuses on the trends in one-year relative survival from lung cancer by Integrated Cancer Service for the study period 2010-2016. The data set is available under 'Measure 13.2 – On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596113" cy="2406244"/>
                    </a:xfrm>
                    <a:prstGeom prst="rect">
                      <a:avLst/>
                    </a:prstGeom>
                    <a:noFill/>
                  </pic:spPr>
                </pic:pic>
              </a:graphicData>
            </a:graphic>
          </wp:inline>
        </w:drawing>
      </w:r>
    </w:p>
    <w:p w14:paraId="4FC5D7DE" w14:textId="2BF0E9CE" w:rsidR="0073300D" w:rsidRPr="0073300D" w:rsidRDefault="0073300D" w:rsidP="0073300D">
      <w:pPr>
        <w:pStyle w:val="DHHStablefigurenote"/>
      </w:pPr>
      <w:r w:rsidRPr="0073300D">
        <w:t>Note: Appendix 2 provides the dataset</w:t>
      </w:r>
      <w:r w:rsidR="00DC2D82">
        <w:t>.</w:t>
      </w:r>
    </w:p>
    <w:p w14:paraId="6B11B78B" w14:textId="112F8DE8" w:rsidR="002E08FF" w:rsidRPr="00DB18E5" w:rsidRDefault="002E08FF" w:rsidP="00DB18E5">
      <w:pPr>
        <w:pStyle w:val="DHHSbody"/>
        <w:rPr>
          <w:b/>
          <w:lang w:eastAsia="en-AU"/>
        </w:rPr>
      </w:pPr>
      <w:r w:rsidRPr="00DB18E5">
        <w:rPr>
          <w:b/>
          <w:lang w:eastAsia="en-AU"/>
        </w:rPr>
        <w:lastRenderedPageBreak/>
        <w:t>Measure assessment</w:t>
      </w:r>
    </w:p>
    <w:p w14:paraId="21BB4ECD" w14:textId="55DB4570" w:rsidR="002E08FF" w:rsidRPr="00061321" w:rsidRDefault="002E08FF" w:rsidP="002E08FF">
      <w:pPr>
        <w:spacing w:after="120" w:line="270" w:lineRule="atLeast"/>
        <w:rPr>
          <w:rFonts w:ascii="Arial" w:hAnsi="Arial" w:cs="Arial"/>
          <w:color w:val="00B050"/>
        </w:rPr>
      </w:pPr>
      <w:r w:rsidRPr="004053B4">
        <w:rPr>
          <w:rFonts w:ascii="Arial" w:hAnsi="Arial" w:cs="Arial"/>
        </w:rPr>
        <w:t xml:space="preserve">Traffic light rating: </w:t>
      </w:r>
      <w:r w:rsidR="00890645" w:rsidRPr="00061321">
        <w:rPr>
          <w:rFonts w:ascii="Arial" w:hAnsi="Arial" w:cs="Arial"/>
          <w:b/>
          <w:color w:val="007B4B"/>
        </w:rPr>
        <w:t>Green</w:t>
      </w:r>
      <w:r w:rsidR="00061321">
        <w:rPr>
          <w:rFonts w:ascii="Arial" w:hAnsi="Arial" w:cs="Arial"/>
          <w:color w:val="007B4B"/>
        </w:rPr>
        <w:t xml:space="preserve"> (satisfactory result)</w:t>
      </w:r>
    </w:p>
    <w:p w14:paraId="29CAD954" w14:textId="1CF2FC15" w:rsidR="002E08FF" w:rsidRPr="004053B4" w:rsidRDefault="002E08FF" w:rsidP="002E08FF">
      <w:pPr>
        <w:spacing w:after="120" w:line="270" w:lineRule="atLeast"/>
        <w:rPr>
          <w:rFonts w:ascii="Arial" w:hAnsi="Arial" w:cs="Arial"/>
        </w:rPr>
      </w:pPr>
      <w:r w:rsidRPr="004053B4">
        <w:rPr>
          <w:rFonts w:ascii="Arial" w:hAnsi="Arial" w:cs="Arial"/>
        </w:rPr>
        <w:t xml:space="preserve">Overall trend: </w:t>
      </w:r>
      <w:r w:rsidR="00890645">
        <w:rPr>
          <w:rFonts w:ascii="Arial" w:hAnsi="Arial" w:cs="Arial"/>
        </w:rPr>
        <w:t>Moving in the right direction</w:t>
      </w:r>
    </w:p>
    <w:p w14:paraId="1EB3F4CD" w14:textId="6D0D689D" w:rsidR="006F0B3F" w:rsidRPr="00E44472" w:rsidRDefault="002E08FF" w:rsidP="000D5A8A">
      <w:pPr>
        <w:pStyle w:val="DHHSbody"/>
      </w:pPr>
      <w:r w:rsidRPr="00E44472">
        <w:rPr>
          <w:rFonts w:cs="Arial"/>
          <w:lang w:eastAsia="en-AU"/>
        </w:rPr>
        <w:t>Commentary:</w:t>
      </w:r>
      <w:r w:rsidR="001F771E" w:rsidRPr="00E44472">
        <w:rPr>
          <w:rFonts w:cs="Arial"/>
          <w:lang w:eastAsia="en-AU"/>
        </w:rPr>
        <w:t xml:space="preserve"> </w:t>
      </w:r>
      <w:r w:rsidR="00265BAB">
        <w:rPr>
          <w:rFonts w:cs="Arial"/>
          <w:lang w:eastAsia="en-AU"/>
        </w:rPr>
        <w:t>R</w:t>
      </w:r>
      <w:r w:rsidR="00F9162C" w:rsidRPr="00E44472">
        <w:t>elative to other tumour stream</w:t>
      </w:r>
      <w:r w:rsidR="00AA63B9" w:rsidRPr="00E44472">
        <w:t>s</w:t>
      </w:r>
      <w:r w:rsidR="00F9162C" w:rsidRPr="00E44472">
        <w:t>, lung cancer has a low survival r</w:t>
      </w:r>
      <w:r w:rsidR="00AA63B9" w:rsidRPr="00E44472">
        <w:t>ate nationally</w:t>
      </w:r>
      <w:r w:rsidR="003354D1">
        <w:t>,</w:t>
      </w:r>
      <w:r w:rsidR="00AA63B9" w:rsidRPr="00E44472">
        <w:t xml:space="preserve"> with only 13 per cent of those diagnosed with lung cancer surviving </w:t>
      </w:r>
      <w:r w:rsidR="008869C1">
        <w:t>five</w:t>
      </w:r>
      <w:r w:rsidR="00AA63B9" w:rsidRPr="00E44472">
        <w:t xml:space="preserve"> years after diagnosis.</w:t>
      </w:r>
      <w:r w:rsidR="00952FC7">
        <w:t xml:space="preserve"> </w:t>
      </w:r>
      <w:r w:rsidR="00AA63B9" w:rsidRPr="00E44472">
        <w:t xml:space="preserve">This poor survival rate is due in part to the relatively high number of cases </w:t>
      </w:r>
      <w:r w:rsidR="00123214">
        <w:t>diagnosed</w:t>
      </w:r>
      <w:r w:rsidR="00AA63B9" w:rsidRPr="00E44472">
        <w:t xml:space="preserve"> at an advanced stage</w:t>
      </w:r>
      <w:r w:rsidR="00123214">
        <w:t xml:space="preserve"> (with late</w:t>
      </w:r>
      <w:r w:rsidR="003357A9">
        <w:t>-</w:t>
      </w:r>
      <w:r w:rsidR="00123214">
        <w:t>stage disease)</w:t>
      </w:r>
      <w:r w:rsidR="0072493B" w:rsidRPr="00E44472">
        <w:t xml:space="preserve"> and because it is associated with other smoking-related comorbidities.</w:t>
      </w:r>
      <w:r w:rsidR="0072493B" w:rsidRPr="00E44472">
        <w:rPr>
          <w:rStyle w:val="FootnoteReference"/>
        </w:rPr>
        <w:footnoteReference w:id="147"/>
      </w:r>
      <w:r w:rsidR="00AA63B9" w:rsidRPr="00E44472">
        <w:t xml:space="preserve"> </w:t>
      </w:r>
    </w:p>
    <w:p w14:paraId="285A837C" w14:textId="36732EDF" w:rsidR="00BD6260" w:rsidRPr="00E44472" w:rsidRDefault="00090DCE" w:rsidP="000D5A8A">
      <w:pPr>
        <w:pStyle w:val="DHHSbody"/>
      </w:pPr>
      <w:r w:rsidRPr="00E44472">
        <w:t>In Victoria</w:t>
      </w:r>
      <w:r w:rsidR="006F0B3F" w:rsidRPr="00E44472">
        <w:t xml:space="preserve">, the </w:t>
      </w:r>
      <w:r w:rsidR="00A9247E" w:rsidRPr="00E44472">
        <w:t>one</w:t>
      </w:r>
      <w:r w:rsidR="006F0B3F" w:rsidRPr="00E44472">
        <w:t xml:space="preserve">-year relative survival </w:t>
      </w:r>
      <w:r w:rsidR="00123214">
        <w:t>for lung cancer increased</w:t>
      </w:r>
      <w:r w:rsidRPr="00E44472">
        <w:t xml:space="preserve"> from 4</w:t>
      </w:r>
      <w:r w:rsidR="0072493B" w:rsidRPr="00E44472">
        <w:t>2</w:t>
      </w:r>
      <w:r w:rsidRPr="00E44472">
        <w:t>.1 per cent in 2010 to</w:t>
      </w:r>
      <w:r w:rsidR="0072493B" w:rsidRPr="00E44472">
        <w:t xml:space="preserve"> 48.6 per cent in 2016</w:t>
      </w:r>
      <w:r w:rsidR="004609CB" w:rsidRPr="00E44472">
        <w:t xml:space="preserve"> (Figure 13.2</w:t>
      </w:r>
      <w:r w:rsidR="000563A9" w:rsidRPr="00E44472">
        <w:t xml:space="preserve"> (A</w:t>
      </w:r>
      <w:r w:rsidR="004609CB" w:rsidRPr="00E44472">
        <w:t>)</w:t>
      </w:r>
      <w:r w:rsidR="000563A9" w:rsidRPr="00E44472">
        <w:t>)</w:t>
      </w:r>
      <w:r w:rsidR="004609CB" w:rsidRPr="00E44472">
        <w:t>.</w:t>
      </w:r>
      <w:r w:rsidR="00952FC7">
        <w:t xml:space="preserve"> </w:t>
      </w:r>
      <w:r w:rsidR="000563A9" w:rsidRPr="00E44472">
        <w:t>Survival was higher for females than for males between 2010 and 201</w:t>
      </w:r>
      <w:r w:rsidR="00BF5AF1">
        <w:t>6</w:t>
      </w:r>
      <w:r w:rsidR="003354D1">
        <w:t>,</w:t>
      </w:r>
      <w:r w:rsidR="00314164">
        <w:t xml:space="preserve"> with the gender </w:t>
      </w:r>
      <w:r w:rsidR="00B83A50">
        <w:t xml:space="preserve">gap gradually </w:t>
      </w:r>
      <w:r w:rsidR="00314164">
        <w:t>widening</w:t>
      </w:r>
      <w:r w:rsidR="00481E96" w:rsidRPr="00E44472">
        <w:t xml:space="preserve"> (Figure 13.2 (B))</w:t>
      </w:r>
      <w:r w:rsidR="00B83A50">
        <w:t>.</w:t>
      </w:r>
      <w:r w:rsidR="00952FC7">
        <w:t xml:space="preserve"> </w:t>
      </w:r>
      <w:r w:rsidR="00B83A50">
        <w:t>The</w:t>
      </w:r>
      <w:r w:rsidR="00481E96" w:rsidRPr="00E44472">
        <w:t xml:space="preserve"> one-year relative survival rate </w:t>
      </w:r>
      <w:r w:rsidR="00B83A50">
        <w:t xml:space="preserve">was </w:t>
      </w:r>
      <w:r w:rsidR="00481E96" w:rsidRPr="00E44472">
        <w:t>significantly higher for those aged under 44 years compared with all older age groups (Figure 13.</w:t>
      </w:r>
      <w:r w:rsidR="00953179">
        <w:t>2</w:t>
      </w:r>
      <w:r w:rsidR="00481E96" w:rsidRPr="00E44472">
        <w:t xml:space="preserve"> (C)).</w:t>
      </w:r>
      <w:r w:rsidR="00952FC7">
        <w:t xml:space="preserve"> </w:t>
      </w:r>
      <w:r w:rsidR="00B4267E" w:rsidRPr="00E44472">
        <w:t xml:space="preserve">Survival fell sharply with age for those aged 75 years </w:t>
      </w:r>
      <w:r w:rsidR="001B50BF">
        <w:t>or older</w:t>
      </w:r>
      <w:r w:rsidR="00B4267E" w:rsidRPr="00E44472">
        <w:t>.</w:t>
      </w:r>
    </w:p>
    <w:p w14:paraId="64C2A0C9" w14:textId="2C59533B" w:rsidR="0028366E" w:rsidRPr="00E44472" w:rsidRDefault="0028366E" w:rsidP="000D5A8A">
      <w:pPr>
        <w:pStyle w:val="DHHSbody"/>
      </w:pPr>
      <w:r w:rsidRPr="00E44472">
        <w:t>Survival varied by remoteness</w:t>
      </w:r>
      <w:r w:rsidR="003354D1">
        <w:t>,</w:t>
      </w:r>
      <w:r w:rsidRPr="00E44472">
        <w:t xml:space="preserve"> with one-year survival generally higher in </w:t>
      </w:r>
      <w:r w:rsidR="00840304">
        <w:t>m</w:t>
      </w:r>
      <w:r w:rsidRPr="00E44472">
        <w:t xml:space="preserve">ajor cities for most years </w:t>
      </w:r>
      <w:r w:rsidR="000B7662" w:rsidRPr="00E44472">
        <w:t>apart from</w:t>
      </w:r>
      <w:r w:rsidRPr="00E44472">
        <w:t xml:space="preserve"> 201</w:t>
      </w:r>
      <w:r w:rsidR="00ED4719">
        <w:t>2</w:t>
      </w:r>
      <w:r w:rsidR="000B7662" w:rsidRPr="00E44472">
        <w:t xml:space="preserve"> where </w:t>
      </w:r>
      <w:r w:rsidR="003354D1">
        <w:t>o</w:t>
      </w:r>
      <w:r w:rsidR="000B7662" w:rsidRPr="00E44472">
        <w:t>uter regional</w:t>
      </w:r>
      <w:r w:rsidR="003354D1">
        <w:t>/</w:t>
      </w:r>
      <w:r w:rsidR="000B7662" w:rsidRPr="00E44472">
        <w:t>remote areas had the highest survival rate by remoteness</w:t>
      </w:r>
      <w:r w:rsidR="00123214">
        <w:t xml:space="preserve"> but complete overlap of confidence intervals</w:t>
      </w:r>
      <w:r w:rsidR="000B7662" w:rsidRPr="00E44472">
        <w:t>.</w:t>
      </w:r>
      <w:r w:rsidR="00952FC7">
        <w:t xml:space="preserve"> </w:t>
      </w:r>
      <w:r w:rsidR="005D7A08" w:rsidRPr="00E44472">
        <w:t>However,</w:t>
      </w:r>
      <w:r w:rsidRPr="00E44472">
        <w:t xml:space="preserve"> </w:t>
      </w:r>
      <w:r w:rsidR="00983711" w:rsidRPr="00E44472">
        <w:t xml:space="preserve">caution should be taken when interpreting this result </w:t>
      </w:r>
      <w:r w:rsidR="003354D1">
        <w:t>because</w:t>
      </w:r>
      <w:r w:rsidR="003354D1" w:rsidRPr="00E44472">
        <w:t xml:space="preserve"> </w:t>
      </w:r>
      <w:r w:rsidR="003354D1">
        <w:t xml:space="preserve">of </w:t>
      </w:r>
      <w:r w:rsidRPr="00E44472">
        <w:t xml:space="preserve">the </w:t>
      </w:r>
      <w:r w:rsidR="00AE40A6" w:rsidRPr="00E44472">
        <w:t>wide</w:t>
      </w:r>
      <w:r w:rsidRPr="00E44472">
        <w:t xml:space="preserve"> confidence inter</w:t>
      </w:r>
      <w:r w:rsidR="005D7A08" w:rsidRPr="00E44472">
        <w:t>val</w:t>
      </w:r>
      <w:r w:rsidR="00123214">
        <w:t>s</w:t>
      </w:r>
      <w:r w:rsidR="0086237E" w:rsidRPr="00E44472">
        <w:t xml:space="preserve"> (Figure 13.</w:t>
      </w:r>
      <w:r w:rsidR="00ED4719">
        <w:t>3</w:t>
      </w:r>
      <w:r w:rsidR="0086237E" w:rsidRPr="00E44472">
        <w:t xml:space="preserve"> (D))</w:t>
      </w:r>
      <w:r w:rsidR="00983711" w:rsidRPr="00E44472">
        <w:t>.</w:t>
      </w:r>
      <w:r w:rsidR="00952FC7">
        <w:t xml:space="preserve"> </w:t>
      </w:r>
    </w:p>
    <w:p w14:paraId="7863FD70" w14:textId="517D127C" w:rsidR="00E363CC" w:rsidRPr="00E44472" w:rsidRDefault="00E363CC" w:rsidP="000D5A8A">
      <w:pPr>
        <w:pStyle w:val="DHHSbody"/>
      </w:pPr>
      <w:r w:rsidRPr="00E44472">
        <w:t xml:space="preserve">One-year survival rates </w:t>
      </w:r>
      <w:r w:rsidR="00ED4719">
        <w:t xml:space="preserve">did not </w:t>
      </w:r>
      <w:r w:rsidRPr="00E44472">
        <w:t>var</w:t>
      </w:r>
      <w:r w:rsidR="00ED4719">
        <w:t>y</w:t>
      </w:r>
      <w:r w:rsidRPr="00E44472">
        <w:t xml:space="preserve"> between regions when compared by ICS</w:t>
      </w:r>
      <w:r w:rsidR="00771EAD" w:rsidRPr="00E44472">
        <w:t xml:space="preserve"> between 2010 and 201</w:t>
      </w:r>
      <w:r w:rsidR="00122D8D">
        <w:t>6</w:t>
      </w:r>
      <w:r w:rsidR="003354D1">
        <w:t xml:space="preserve"> and</w:t>
      </w:r>
      <w:r w:rsidR="00771EAD" w:rsidRPr="00E44472">
        <w:t xml:space="preserve"> were generally higher in the metropolitan ICSs</w:t>
      </w:r>
      <w:r w:rsidR="00DF4D88" w:rsidRPr="00E44472">
        <w:t>.</w:t>
      </w:r>
      <w:r w:rsidR="00952FC7">
        <w:t xml:space="preserve"> </w:t>
      </w:r>
      <w:r w:rsidR="00DF4D88" w:rsidRPr="00E44472">
        <w:t xml:space="preserve">Higher rates of survival observed for </w:t>
      </w:r>
      <w:r w:rsidR="00610E37">
        <w:t xml:space="preserve">regional </w:t>
      </w:r>
      <w:r w:rsidR="00DF4D88" w:rsidRPr="00E44472">
        <w:t>ICS</w:t>
      </w:r>
      <w:r w:rsidR="00695FEC">
        <w:t>s</w:t>
      </w:r>
      <w:r w:rsidR="00DF4D88" w:rsidRPr="00E44472">
        <w:t xml:space="preserve"> such as HRICS should be interpreted with caution because of the wide con</w:t>
      </w:r>
      <w:r w:rsidR="00AE40A6" w:rsidRPr="00E44472">
        <w:t>fidence interval.</w:t>
      </w:r>
    </w:p>
    <w:p w14:paraId="450DCF76" w14:textId="47BFC9C0" w:rsidR="002E08FF" w:rsidRPr="008441D3" w:rsidRDefault="00890645" w:rsidP="000D5A8A">
      <w:pPr>
        <w:spacing w:after="120" w:line="270" w:lineRule="atLeast"/>
        <w:rPr>
          <w:rFonts w:ascii="Arial" w:hAnsi="Arial" w:cs="Arial"/>
        </w:rPr>
      </w:pPr>
      <w:r w:rsidRPr="00890645">
        <w:rPr>
          <w:rFonts w:ascii="Arial" w:hAnsi="Arial" w:cs="Arial"/>
        </w:rPr>
        <w:t>While no target has been set for th</w:t>
      </w:r>
      <w:r w:rsidR="00695FEC">
        <w:rPr>
          <w:rFonts w:ascii="Arial" w:hAnsi="Arial" w:cs="Arial"/>
        </w:rPr>
        <w:t>is</w:t>
      </w:r>
      <w:r w:rsidRPr="00890645">
        <w:rPr>
          <w:rFonts w:ascii="Arial" w:hAnsi="Arial" w:cs="Arial"/>
        </w:rPr>
        <w:t xml:space="preserve"> measure</w:t>
      </w:r>
      <w:r w:rsidR="003354D1">
        <w:rPr>
          <w:rFonts w:ascii="Arial" w:hAnsi="Arial" w:cs="Arial"/>
        </w:rPr>
        <w:t>,</w:t>
      </w:r>
      <w:r>
        <w:rPr>
          <w:rFonts w:ascii="Arial" w:hAnsi="Arial" w:cs="Arial"/>
        </w:rPr>
        <w:t xml:space="preserve"> the one-year survival rate for those </w:t>
      </w:r>
      <w:r w:rsidR="00205849">
        <w:rPr>
          <w:rFonts w:ascii="Arial" w:hAnsi="Arial" w:cs="Arial"/>
        </w:rPr>
        <w:t xml:space="preserve">patients diagnosed with </w:t>
      </w:r>
      <w:r w:rsidR="00215602">
        <w:rPr>
          <w:rFonts w:ascii="Arial" w:hAnsi="Arial" w:cs="Arial"/>
        </w:rPr>
        <w:t>lung</w:t>
      </w:r>
      <w:r w:rsidR="00205849">
        <w:rPr>
          <w:rFonts w:ascii="Arial" w:hAnsi="Arial" w:cs="Arial"/>
        </w:rPr>
        <w:t xml:space="preserve"> cancer</w:t>
      </w:r>
      <w:r w:rsidR="00023F04">
        <w:rPr>
          <w:rFonts w:ascii="Arial" w:hAnsi="Arial" w:cs="Arial"/>
        </w:rPr>
        <w:t xml:space="preserve"> between 2010 and 201</w:t>
      </w:r>
      <w:r w:rsidR="009022F7">
        <w:rPr>
          <w:rFonts w:ascii="Arial" w:hAnsi="Arial" w:cs="Arial"/>
        </w:rPr>
        <w:t>6</w:t>
      </w:r>
      <w:r w:rsidR="00205849">
        <w:rPr>
          <w:rFonts w:ascii="Arial" w:hAnsi="Arial" w:cs="Arial"/>
        </w:rPr>
        <w:t xml:space="preserve"> </w:t>
      </w:r>
      <w:r w:rsidR="00023F04">
        <w:rPr>
          <w:rFonts w:ascii="Arial" w:hAnsi="Arial" w:cs="Arial"/>
        </w:rPr>
        <w:t>shows there has been a temporal improvement in the</w:t>
      </w:r>
      <w:r w:rsidR="00205849">
        <w:rPr>
          <w:rFonts w:ascii="Arial" w:hAnsi="Arial" w:cs="Arial"/>
        </w:rPr>
        <w:t xml:space="preserve"> proportion </w:t>
      </w:r>
      <w:r w:rsidR="00023F04">
        <w:rPr>
          <w:rFonts w:ascii="Arial" w:hAnsi="Arial" w:cs="Arial"/>
        </w:rPr>
        <w:t xml:space="preserve">of those </w:t>
      </w:r>
      <w:r w:rsidR="00205849">
        <w:rPr>
          <w:rFonts w:ascii="Arial" w:hAnsi="Arial" w:cs="Arial"/>
        </w:rPr>
        <w:t>surviving the on</w:t>
      </w:r>
      <w:r w:rsidR="008441D3">
        <w:rPr>
          <w:rFonts w:ascii="Arial" w:hAnsi="Arial" w:cs="Arial"/>
        </w:rPr>
        <w:t>e</w:t>
      </w:r>
      <w:r w:rsidR="00205849">
        <w:rPr>
          <w:rFonts w:ascii="Arial" w:hAnsi="Arial" w:cs="Arial"/>
        </w:rPr>
        <w:t xml:space="preserve">-year period. </w:t>
      </w:r>
      <w:r w:rsidR="002E08FF" w:rsidRPr="00890645">
        <w:rPr>
          <w:rFonts w:ascii="Arial" w:hAnsi="Arial" w:cs="Arial"/>
        </w:rPr>
        <w:br w:type="page"/>
      </w:r>
    </w:p>
    <w:p w14:paraId="23C9BFDB" w14:textId="0511323C" w:rsidR="005C15AA" w:rsidRDefault="005C15AA" w:rsidP="005C15AA">
      <w:pPr>
        <w:pStyle w:val="Heading3"/>
        <w:rPr>
          <w:lang w:eastAsia="en-AU"/>
        </w:rPr>
      </w:pPr>
      <w:bookmarkStart w:id="811" w:name="_Measure_13.3_–"/>
      <w:bookmarkStart w:id="812" w:name="_Toc19008158"/>
      <w:bookmarkEnd w:id="811"/>
      <w:r>
        <w:rPr>
          <w:lang w:eastAsia="en-AU"/>
        </w:rPr>
        <w:lastRenderedPageBreak/>
        <w:t>Measure 13.3 – One-year survival from pancrea</w:t>
      </w:r>
      <w:r w:rsidR="002627CE">
        <w:rPr>
          <w:lang w:eastAsia="en-AU"/>
        </w:rPr>
        <w:t>tic</w:t>
      </w:r>
      <w:r>
        <w:rPr>
          <w:lang w:eastAsia="en-AU"/>
        </w:rPr>
        <w:t xml:space="preserve"> cancer</w:t>
      </w:r>
      <w:bookmarkEnd w:id="812"/>
    </w:p>
    <w:p w14:paraId="1F8402FE" w14:textId="71A54FEB" w:rsidR="0047495E" w:rsidRDefault="007A59AC" w:rsidP="00441D5B">
      <w:pPr>
        <w:pStyle w:val="DHHSfigurecaption"/>
      </w:pPr>
      <w:bookmarkStart w:id="813" w:name="_Toc19008159"/>
      <w:bookmarkStart w:id="814" w:name="_Toc19008364"/>
      <w:bookmarkStart w:id="815" w:name="_Toc19008511"/>
      <w:bookmarkStart w:id="816" w:name="_Toc19008658"/>
      <w:bookmarkStart w:id="817" w:name="_Toc27414366"/>
      <w:r w:rsidRPr="00186FD9">
        <w:t>Figure 13.</w:t>
      </w:r>
      <w:r>
        <w:t>3</w:t>
      </w:r>
      <w:r w:rsidR="009D0E1A">
        <w:t>:</w:t>
      </w:r>
      <w:r w:rsidRPr="00186FD9">
        <w:t xml:space="preserve"> </w:t>
      </w:r>
      <w:r w:rsidR="0047495E" w:rsidRPr="00416D08">
        <w:t>Trends in one-year relative survival</w:t>
      </w:r>
      <w:r w:rsidR="0047495E">
        <w:t xml:space="preserve"> from pancreatic cancer overall (A) and by sex (B), age (C), remoteness (D) and </w:t>
      </w:r>
      <w:r w:rsidR="008439C8">
        <w:t>ICS</w:t>
      </w:r>
      <w:r w:rsidR="0047495E">
        <w:t xml:space="preserve"> (E)</w:t>
      </w:r>
      <w:r w:rsidR="0047495E" w:rsidRPr="00416D08">
        <w:t>, Victoria</w:t>
      </w:r>
      <w:r w:rsidR="0047495E">
        <w:t>,</w:t>
      </w:r>
      <w:r w:rsidR="0047495E" w:rsidRPr="00416D08">
        <w:t xml:space="preserve"> by year, 2010</w:t>
      </w:r>
      <w:r w:rsidR="009D0E1A">
        <w:t>–</w:t>
      </w:r>
      <w:r w:rsidR="0047495E" w:rsidRPr="00416D08">
        <w:t>2016</w:t>
      </w:r>
      <w:bookmarkEnd w:id="813"/>
      <w:bookmarkEnd w:id="814"/>
      <w:bookmarkEnd w:id="815"/>
      <w:bookmarkEnd w:id="816"/>
      <w:bookmarkEnd w:id="817"/>
    </w:p>
    <w:p w14:paraId="56879FCB" w14:textId="77777777" w:rsidR="002335BF" w:rsidRDefault="002335BF" w:rsidP="00160602">
      <w:pPr>
        <w:pStyle w:val="DHHSbody"/>
        <w:numPr>
          <w:ilvl w:val="0"/>
          <w:numId w:val="15"/>
        </w:numPr>
        <w:ind w:left="346" w:hanging="283"/>
        <w:rPr>
          <w:b/>
          <w:lang w:eastAsia="en-AU"/>
        </w:rPr>
        <w:sectPr w:rsidR="002335BF" w:rsidSect="006116E6">
          <w:type w:val="continuous"/>
          <w:pgSz w:w="11906" w:h="16838"/>
          <w:pgMar w:top="1701" w:right="849" w:bottom="1134" w:left="426" w:header="454" w:footer="510" w:gutter="0"/>
          <w:cols w:space="720"/>
          <w:docGrid w:linePitch="360"/>
        </w:sectPr>
      </w:pPr>
    </w:p>
    <w:p w14:paraId="227B06F7" w14:textId="72BCF81F" w:rsidR="00962367" w:rsidRDefault="00962367" w:rsidP="00160602">
      <w:pPr>
        <w:pStyle w:val="DHHSbody"/>
        <w:numPr>
          <w:ilvl w:val="0"/>
          <w:numId w:val="15"/>
        </w:numPr>
        <w:ind w:left="346" w:hanging="283"/>
        <w:rPr>
          <w:b/>
          <w:lang w:eastAsia="en-AU"/>
        </w:rPr>
      </w:pPr>
      <w:r>
        <w:rPr>
          <w:b/>
          <w:lang w:eastAsia="en-AU"/>
        </w:rPr>
        <w:t>Overall</w:t>
      </w:r>
    </w:p>
    <w:p w14:paraId="6DF7DFB5" w14:textId="676FDDDE" w:rsidR="00962367" w:rsidRDefault="000D4D11" w:rsidP="0047495E">
      <w:pPr>
        <w:pStyle w:val="DHHSbody"/>
        <w:rPr>
          <w:b/>
          <w:lang w:eastAsia="en-AU"/>
        </w:rPr>
      </w:pPr>
      <w:r>
        <w:rPr>
          <w:b/>
          <w:noProof/>
          <w:lang w:eastAsia="en-AU"/>
        </w:rPr>
        <w:drawing>
          <wp:inline distT="0" distB="0" distL="0" distR="0" wp14:anchorId="0CA98621" wp14:editId="52C78556">
            <wp:extent cx="3060700" cy="2296758"/>
            <wp:effectExtent l="0" t="0" r="6350" b="8890"/>
            <wp:docPr id="588" name="Picture 588" descr="This figure shows a data summary of 'Measure 13.3 – One-year survival from pancreatic cancer'. Specially this figure focuses on the trends in one-year relative survival from pancreatic cancer overall for the study period 2010-2016. The data set is available under 'Measure 13.3 – On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71562" cy="2304909"/>
                    </a:xfrm>
                    <a:prstGeom prst="rect">
                      <a:avLst/>
                    </a:prstGeom>
                    <a:noFill/>
                  </pic:spPr>
                </pic:pic>
              </a:graphicData>
            </a:graphic>
          </wp:inline>
        </w:drawing>
      </w:r>
    </w:p>
    <w:p w14:paraId="55EE6105" w14:textId="7BCEACB3" w:rsidR="002335BF" w:rsidRDefault="002335BF" w:rsidP="00160602">
      <w:pPr>
        <w:pStyle w:val="DHHSbody"/>
        <w:numPr>
          <w:ilvl w:val="0"/>
          <w:numId w:val="15"/>
        </w:numPr>
        <w:ind w:left="284" w:hanging="284"/>
        <w:rPr>
          <w:b/>
          <w:lang w:eastAsia="en-AU"/>
        </w:rPr>
      </w:pPr>
      <w:r>
        <w:rPr>
          <w:b/>
          <w:lang w:eastAsia="en-AU"/>
        </w:rPr>
        <w:t>Sex</w:t>
      </w:r>
    </w:p>
    <w:p w14:paraId="336DBC88" w14:textId="60BFA85D" w:rsidR="002335BF" w:rsidRDefault="000D4D11" w:rsidP="002335BF">
      <w:pPr>
        <w:pStyle w:val="DHHSbody"/>
        <w:rPr>
          <w:b/>
          <w:lang w:eastAsia="en-AU"/>
        </w:rPr>
      </w:pPr>
      <w:r>
        <w:rPr>
          <w:b/>
          <w:noProof/>
          <w:lang w:eastAsia="en-AU"/>
        </w:rPr>
        <w:drawing>
          <wp:inline distT="0" distB="0" distL="0" distR="0" wp14:anchorId="31156340" wp14:editId="639FFC73">
            <wp:extent cx="3023616" cy="2355906"/>
            <wp:effectExtent l="0" t="0" r="5715" b="6350"/>
            <wp:docPr id="589" name="Picture 589" descr="This figure shows a data summary of 'Measure 13.3 – One-year survival from pancreatic cancer'. Specially this figure focuses on the trends in one-year relative survival from pancreatic cancer by sex for the study period 2010-2016. The data set is available under 'Measure 13.3 – On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31339" cy="2361923"/>
                    </a:xfrm>
                    <a:prstGeom prst="rect">
                      <a:avLst/>
                    </a:prstGeom>
                    <a:noFill/>
                  </pic:spPr>
                </pic:pic>
              </a:graphicData>
            </a:graphic>
          </wp:inline>
        </w:drawing>
      </w:r>
    </w:p>
    <w:p w14:paraId="17293D7A" w14:textId="77777777" w:rsidR="002335BF" w:rsidRDefault="002335BF" w:rsidP="00160602">
      <w:pPr>
        <w:pStyle w:val="DHHSbody"/>
        <w:numPr>
          <w:ilvl w:val="0"/>
          <w:numId w:val="15"/>
        </w:numPr>
        <w:rPr>
          <w:b/>
          <w:lang w:eastAsia="en-AU"/>
        </w:rPr>
        <w:sectPr w:rsidR="002335BF" w:rsidSect="00E37586">
          <w:type w:val="continuous"/>
          <w:pgSz w:w="11906" w:h="16838"/>
          <w:pgMar w:top="1701" w:right="849" w:bottom="1134" w:left="426" w:header="454" w:footer="510" w:gutter="0"/>
          <w:cols w:num="2" w:space="720"/>
          <w:docGrid w:linePitch="360"/>
        </w:sectPr>
      </w:pPr>
    </w:p>
    <w:p w14:paraId="7A687580" w14:textId="77777777" w:rsidR="00610F43" w:rsidRDefault="00D314C5" w:rsidP="00160602">
      <w:pPr>
        <w:pStyle w:val="DHHSbody"/>
        <w:numPr>
          <w:ilvl w:val="0"/>
          <w:numId w:val="15"/>
        </w:numPr>
        <w:ind w:left="426" w:hanging="426"/>
        <w:rPr>
          <w:b/>
          <w:lang w:eastAsia="en-AU"/>
        </w:rPr>
      </w:pPr>
      <w:r>
        <w:rPr>
          <w:b/>
          <w:lang w:eastAsia="en-AU"/>
        </w:rPr>
        <w:t>Age</w:t>
      </w:r>
    </w:p>
    <w:p w14:paraId="718E1AB4" w14:textId="50047526" w:rsidR="00E37586" w:rsidRDefault="000D4D11" w:rsidP="00E37586">
      <w:pPr>
        <w:pStyle w:val="DHHSbody"/>
        <w:rPr>
          <w:b/>
          <w:lang w:eastAsia="en-AU"/>
        </w:rPr>
      </w:pPr>
      <w:r>
        <w:rPr>
          <w:b/>
          <w:noProof/>
          <w:lang w:eastAsia="en-AU"/>
        </w:rPr>
        <w:drawing>
          <wp:inline distT="0" distB="0" distL="0" distR="0" wp14:anchorId="25C4E0E9" wp14:editId="3A4FEA15">
            <wp:extent cx="3048000" cy="2215807"/>
            <wp:effectExtent l="0" t="0" r="0" b="0"/>
            <wp:docPr id="590" name="Picture 590" descr="This figure shows a data summary of 'Measure 13.3 – One-year survival from pancreatic cancer'. Specially this figure focuses on the trends in one-year relative survival from pancreatic cancer by age for the study period 2010-2016. The data set is available under 'Measure 13.3 – On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61844" cy="2225871"/>
                    </a:xfrm>
                    <a:prstGeom prst="rect">
                      <a:avLst/>
                    </a:prstGeom>
                    <a:noFill/>
                  </pic:spPr>
                </pic:pic>
              </a:graphicData>
            </a:graphic>
          </wp:inline>
        </w:drawing>
      </w:r>
    </w:p>
    <w:p w14:paraId="704021D3" w14:textId="48F4EA3D" w:rsidR="00E37586" w:rsidRPr="00E37586" w:rsidRDefault="00E37586" w:rsidP="00160602">
      <w:pPr>
        <w:pStyle w:val="DHHSbody"/>
        <w:keepNext/>
        <w:numPr>
          <w:ilvl w:val="0"/>
          <w:numId w:val="15"/>
        </w:numPr>
        <w:ind w:left="284" w:hanging="284"/>
        <w:rPr>
          <w:b/>
          <w:lang w:eastAsia="en-AU"/>
        </w:rPr>
      </w:pPr>
      <w:r w:rsidRPr="00E37586">
        <w:rPr>
          <w:b/>
          <w:lang w:eastAsia="en-AU"/>
        </w:rPr>
        <w:t>Remoteness</w:t>
      </w:r>
    </w:p>
    <w:p w14:paraId="5C489B89" w14:textId="3CA75D3F" w:rsidR="00D314C5" w:rsidRPr="00F249F8" w:rsidRDefault="000D4D11" w:rsidP="00D314C5">
      <w:pPr>
        <w:pStyle w:val="DHHSbody"/>
        <w:rPr>
          <w:b/>
          <w:lang w:eastAsia="en-AU"/>
        </w:rPr>
      </w:pPr>
      <w:r>
        <w:rPr>
          <w:b/>
          <w:noProof/>
          <w:lang w:eastAsia="en-AU"/>
        </w:rPr>
        <w:drawing>
          <wp:inline distT="0" distB="0" distL="0" distR="0" wp14:anchorId="25465842" wp14:editId="7B680AFF">
            <wp:extent cx="3108960" cy="2267934"/>
            <wp:effectExtent l="0" t="0" r="0" b="0"/>
            <wp:docPr id="591" name="Picture 591" descr="This figure shows a data summary of 'Measure 13.3 – One-year survival from pancreatic cancer'. Specially this figure focuses on the trends in one-year relative survival from pancreatic cancer by remoteness for the study period 2010-2016. The data set is available under 'Measure 13.3 – On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10940" cy="2269378"/>
                    </a:xfrm>
                    <a:prstGeom prst="rect">
                      <a:avLst/>
                    </a:prstGeom>
                    <a:noFill/>
                  </pic:spPr>
                </pic:pic>
              </a:graphicData>
            </a:graphic>
          </wp:inline>
        </w:drawing>
      </w:r>
    </w:p>
    <w:p w14:paraId="7F935344" w14:textId="77777777" w:rsidR="00E37586" w:rsidRDefault="00E37586" w:rsidP="00160602">
      <w:pPr>
        <w:pStyle w:val="DHHSbody"/>
        <w:numPr>
          <w:ilvl w:val="0"/>
          <w:numId w:val="16"/>
        </w:numPr>
        <w:ind w:left="342" w:hanging="283"/>
        <w:rPr>
          <w:b/>
          <w:lang w:eastAsia="en-AU"/>
        </w:rPr>
        <w:sectPr w:rsidR="00E37586" w:rsidSect="00E37586">
          <w:type w:val="continuous"/>
          <w:pgSz w:w="11906" w:h="16838"/>
          <w:pgMar w:top="1701" w:right="849" w:bottom="1134" w:left="426" w:header="454" w:footer="510" w:gutter="0"/>
          <w:cols w:num="2" w:space="720"/>
          <w:docGrid w:linePitch="360"/>
        </w:sectPr>
      </w:pPr>
    </w:p>
    <w:p w14:paraId="6398AFB6" w14:textId="48B269D8" w:rsidR="00D314C5" w:rsidRDefault="00D314C5" w:rsidP="00160602">
      <w:pPr>
        <w:pStyle w:val="DHHSbody"/>
        <w:numPr>
          <w:ilvl w:val="0"/>
          <w:numId w:val="16"/>
        </w:numPr>
        <w:ind w:left="342" w:hanging="283"/>
        <w:rPr>
          <w:b/>
          <w:lang w:eastAsia="en-AU"/>
        </w:rPr>
      </w:pPr>
      <w:r>
        <w:rPr>
          <w:b/>
          <w:lang w:eastAsia="en-AU"/>
        </w:rPr>
        <w:t>Integrated Cancer Service</w:t>
      </w:r>
    </w:p>
    <w:p w14:paraId="08189568" w14:textId="2FD8484B" w:rsidR="00D314C5" w:rsidRDefault="000D4D11" w:rsidP="0047495E">
      <w:pPr>
        <w:pStyle w:val="DHHSbody"/>
        <w:rPr>
          <w:b/>
          <w:lang w:eastAsia="en-AU"/>
        </w:rPr>
      </w:pPr>
      <w:r>
        <w:rPr>
          <w:b/>
          <w:noProof/>
          <w:lang w:eastAsia="en-AU"/>
        </w:rPr>
        <w:drawing>
          <wp:inline distT="0" distB="0" distL="0" distR="0" wp14:anchorId="171EA311" wp14:editId="7E914474">
            <wp:extent cx="6608064" cy="2414222"/>
            <wp:effectExtent l="0" t="0" r="2540" b="5715"/>
            <wp:docPr id="592" name="Picture 592" descr="This figure shows a data summary of 'Measure 13.3 – One-year survival from pancreatic cancer'. Specially this figure focuses on the trends in one-year relative survival from pancreatic cancer by Integrated Cancer Service for the study period 2010-2016. The data set is available under 'Measure 13.3 – On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638120" cy="2425203"/>
                    </a:xfrm>
                    <a:prstGeom prst="rect">
                      <a:avLst/>
                    </a:prstGeom>
                    <a:noFill/>
                  </pic:spPr>
                </pic:pic>
              </a:graphicData>
            </a:graphic>
          </wp:inline>
        </w:drawing>
      </w:r>
    </w:p>
    <w:p w14:paraId="7D01F759" w14:textId="54465715" w:rsidR="0073300D" w:rsidRPr="0073300D" w:rsidRDefault="0073300D" w:rsidP="0073300D">
      <w:pPr>
        <w:pStyle w:val="DHHStablefigurenote"/>
      </w:pPr>
      <w:r w:rsidRPr="0073300D">
        <w:t>Note: Appendix 2 provides the dataset</w:t>
      </w:r>
      <w:r w:rsidR="00DC2D82">
        <w:t>.</w:t>
      </w:r>
    </w:p>
    <w:p w14:paraId="548AC96F" w14:textId="511C3E77" w:rsidR="002E08FF" w:rsidRPr="00671C7A" w:rsidRDefault="002E08FF" w:rsidP="002E08FF">
      <w:pPr>
        <w:pStyle w:val="Heading4"/>
        <w:rPr>
          <w:lang w:eastAsia="en-AU"/>
        </w:rPr>
      </w:pPr>
      <w:r>
        <w:rPr>
          <w:lang w:eastAsia="en-AU"/>
        </w:rPr>
        <w:lastRenderedPageBreak/>
        <w:t>Measure assessment</w:t>
      </w:r>
    </w:p>
    <w:p w14:paraId="1A591F24" w14:textId="63E1C1A8" w:rsidR="00026CF2" w:rsidRPr="00026CF2" w:rsidRDefault="002E08FF"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CD530A"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22D05978" w14:textId="48BF7F4B" w:rsidR="002E08FF" w:rsidRDefault="002E08FF" w:rsidP="0097280A">
      <w:pPr>
        <w:spacing w:after="120" w:line="270" w:lineRule="atLeast"/>
        <w:rPr>
          <w:rFonts w:ascii="Arial" w:hAnsi="Arial" w:cs="Arial"/>
        </w:rPr>
      </w:pPr>
      <w:r>
        <w:rPr>
          <w:rFonts w:ascii="Arial" w:hAnsi="Arial" w:cs="Arial"/>
        </w:rPr>
        <w:t xml:space="preserve">Overall trend: </w:t>
      </w:r>
      <w:r w:rsidR="00CD530A">
        <w:rPr>
          <w:rFonts w:ascii="Arial" w:hAnsi="Arial" w:cs="Arial"/>
        </w:rPr>
        <w:t>Moving in the right direction despite the low on</w:t>
      </w:r>
      <w:r w:rsidR="005652FC">
        <w:rPr>
          <w:rFonts w:ascii="Arial" w:hAnsi="Arial" w:cs="Arial"/>
        </w:rPr>
        <w:t>e</w:t>
      </w:r>
      <w:r w:rsidR="00CD530A">
        <w:rPr>
          <w:rFonts w:ascii="Arial" w:hAnsi="Arial" w:cs="Arial"/>
        </w:rPr>
        <w:t>-year relative survival rate</w:t>
      </w:r>
    </w:p>
    <w:p w14:paraId="0E3AEBE1" w14:textId="5E667711" w:rsidR="00B626FA" w:rsidRPr="00B24BC3" w:rsidRDefault="002E08FF" w:rsidP="0097280A">
      <w:pPr>
        <w:pStyle w:val="DHHSbody"/>
        <w:rPr>
          <w:rFonts w:cs="Arial"/>
          <w:lang w:val="en-US"/>
        </w:rPr>
      </w:pPr>
      <w:r w:rsidRPr="00B626FA">
        <w:rPr>
          <w:rFonts w:cs="Arial"/>
          <w:lang w:eastAsia="en-AU"/>
        </w:rPr>
        <w:t>Commentary:</w:t>
      </w:r>
      <w:r w:rsidR="00EE6F47" w:rsidRPr="00B626FA">
        <w:rPr>
          <w:rFonts w:cs="Arial"/>
          <w:lang w:eastAsia="en-AU"/>
        </w:rPr>
        <w:t xml:space="preserve"> </w:t>
      </w:r>
      <w:r w:rsidR="00EE6F47" w:rsidRPr="00B626FA">
        <w:rPr>
          <w:rStyle w:val="e24kjd"/>
          <w:rFonts w:cs="Arial"/>
        </w:rPr>
        <w:t xml:space="preserve">While </w:t>
      </w:r>
      <w:r w:rsidR="00EE6F47" w:rsidRPr="00B626FA">
        <w:rPr>
          <w:rStyle w:val="e24kjd"/>
          <w:rFonts w:cs="Arial"/>
          <w:bCs/>
        </w:rPr>
        <w:t>pancreatic cancer survival rates</w:t>
      </w:r>
      <w:r w:rsidR="00EE6F47" w:rsidRPr="00B626FA">
        <w:rPr>
          <w:rStyle w:val="e24kjd"/>
          <w:rFonts w:cs="Arial"/>
        </w:rPr>
        <w:t xml:space="preserve"> have been improving from decade to decade, the disease is still considered largely incurable globally.</w:t>
      </w:r>
      <w:r w:rsidR="00B626FA" w:rsidRPr="00B626FA">
        <w:rPr>
          <w:rStyle w:val="e24kjd"/>
          <w:rFonts w:cs="Arial"/>
        </w:rPr>
        <w:t xml:space="preserve"> In Australia</w:t>
      </w:r>
      <w:r w:rsidR="006E2C2B">
        <w:rPr>
          <w:rStyle w:val="e24kjd"/>
          <w:rFonts w:cs="Arial"/>
        </w:rPr>
        <w:t>,</w:t>
      </w:r>
      <w:r w:rsidR="00B626FA" w:rsidRPr="00B626FA">
        <w:rPr>
          <w:rStyle w:val="e24kjd"/>
          <w:rFonts w:cs="Arial"/>
        </w:rPr>
        <w:t xml:space="preserve"> pancreatic cancer </w:t>
      </w:r>
      <w:r w:rsidR="00EE6F47" w:rsidRPr="00B626FA">
        <w:rPr>
          <w:rStyle w:val="Strong"/>
          <w:rFonts w:cs="Arial"/>
          <w:b w:val="0"/>
          <w:lang w:val="en-US"/>
        </w:rPr>
        <w:t>accounts for</w:t>
      </w:r>
      <w:r w:rsidR="00EE6F47" w:rsidRPr="00B626FA">
        <w:rPr>
          <w:rStyle w:val="Strong"/>
          <w:rFonts w:cs="Arial"/>
          <w:lang w:val="en-US"/>
        </w:rPr>
        <w:t xml:space="preserve"> </w:t>
      </w:r>
      <w:r w:rsidR="00EE6F47" w:rsidRPr="00B626FA">
        <w:rPr>
          <w:rStyle w:val="Strong"/>
          <w:rFonts w:cs="Arial"/>
          <w:b w:val="0"/>
          <w:lang w:val="en-US"/>
        </w:rPr>
        <w:t>2.2</w:t>
      </w:r>
      <w:r w:rsidR="00B626FA" w:rsidRPr="00B626FA">
        <w:rPr>
          <w:rStyle w:val="Strong"/>
          <w:rFonts w:cs="Arial"/>
          <w:b w:val="0"/>
          <w:lang w:val="en-US"/>
        </w:rPr>
        <w:t xml:space="preserve"> per cent</w:t>
      </w:r>
      <w:r w:rsidR="00EE6F47" w:rsidRPr="00B626FA">
        <w:rPr>
          <w:rStyle w:val="Strong"/>
          <w:rFonts w:cs="Arial"/>
          <w:b w:val="0"/>
          <w:lang w:val="en-US"/>
        </w:rPr>
        <w:t xml:space="preserve"> of all new cancer</w:t>
      </w:r>
      <w:r w:rsidR="00EE6F47" w:rsidRPr="00B626FA">
        <w:rPr>
          <w:rStyle w:val="Strong"/>
          <w:rFonts w:cs="Arial"/>
          <w:lang w:val="en-US"/>
        </w:rPr>
        <w:t xml:space="preserve"> </w:t>
      </w:r>
      <w:r w:rsidR="00EE6F47" w:rsidRPr="00B626FA">
        <w:rPr>
          <w:rStyle w:val="Strong"/>
          <w:rFonts w:cs="Arial"/>
          <w:b w:val="0"/>
          <w:lang w:val="en-US"/>
        </w:rPr>
        <w:t>diagnoses</w:t>
      </w:r>
      <w:r w:rsidR="00B626FA" w:rsidRPr="00B626FA">
        <w:rPr>
          <w:rStyle w:val="Strong"/>
          <w:rFonts w:cs="Arial"/>
          <w:b w:val="0"/>
          <w:lang w:val="en-US"/>
        </w:rPr>
        <w:t>.</w:t>
      </w:r>
      <w:r w:rsidR="00952FC7">
        <w:rPr>
          <w:rStyle w:val="Strong"/>
          <w:rFonts w:cs="Arial"/>
          <w:lang w:val="en-US"/>
        </w:rPr>
        <w:t xml:space="preserve"> </w:t>
      </w:r>
      <w:r w:rsidR="00B626FA" w:rsidRPr="00B626FA">
        <w:rPr>
          <w:rStyle w:val="Strong"/>
          <w:rFonts w:cs="Arial"/>
          <w:b w:val="0"/>
          <w:lang w:val="en-US"/>
        </w:rPr>
        <w:t>The poor</w:t>
      </w:r>
      <w:r w:rsidR="00B626FA" w:rsidRPr="00B626FA">
        <w:rPr>
          <w:rStyle w:val="Strong"/>
          <w:rFonts w:cs="Arial"/>
          <w:lang w:val="en-US"/>
        </w:rPr>
        <w:t xml:space="preserve"> </w:t>
      </w:r>
      <w:r w:rsidR="00B626FA" w:rsidRPr="00B626FA">
        <w:rPr>
          <w:rStyle w:val="Strong"/>
          <w:rFonts w:cs="Arial"/>
          <w:b w:val="0"/>
          <w:lang w:val="en-US"/>
        </w:rPr>
        <w:t>survival rates</w:t>
      </w:r>
      <w:r w:rsidR="00B626FA" w:rsidRPr="00B626FA">
        <w:rPr>
          <w:rStyle w:val="Strong"/>
          <w:rFonts w:cs="Arial"/>
          <w:lang w:val="en-US"/>
        </w:rPr>
        <w:t xml:space="preserve"> </w:t>
      </w:r>
      <w:r w:rsidR="00B626FA" w:rsidRPr="00B626FA">
        <w:rPr>
          <w:rStyle w:val="Strong"/>
          <w:rFonts w:cs="Arial"/>
          <w:b w:val="0"/>
          <w:lang w:val="en-US"/>
        </w:rPr>
        <w:t xml:space="preserve">for this cancer have only marginally improved in Australia over a </w:t>
      </w:r>
      <w:r w:rsidR="00B11493">
        <w:rPr>
          <w:rStyle w:val="Strong"/>
          <w:rFonts w:cs="Arial"/>
          <w:b w:val="0"/>
          <w:lang w:val="en-US"/>
        </w:rPr>
        <w:t>40</w:t>
      </w:r>
      <w:r w:rsidR="00B626FA" w:rsidRPr="00B626FA">
        <w:rPr>
          <w:rStyle w:val="Strong"/>
          <w:rFonts w:cs="Arial"/>
          <w:b w:val="0"/>
          <w:lang w:val="en-US"/>
        </w:rPr>
        <w:t>-year</w:t>
      </w:r>
      <w:r w:rsidR="00B626FA" w:rsidRPr="00B626FA">
        <w:rPr>
          <w:rStyle w:val="Strong"/>
          <w:rFonts w:cs="Arial"/>
          <w:lang w:val="en-US"/>
        </w:rPr>
        <w:t xml:space="preserve"> </w:t>
      </w:r>
      <w:r w:rsidR="00B626FA" w:rsidRPr="00B626FA">
        <w:rPr>
          <w:rStyle w:val="Strong"/>
          <w:rFonts w:cs="Arial"/>
          <w:b w:val="0"/>
          <w:lang w:val="en-US"/>
        </w:rPr>
        <w:t>period.</w:t>
      </w:r>
      <w:r w:rsidR="00952FC7">
        <w:rPr>
          <w:rStyle w:val="Strong"/>
          <w:rFonts w:cs="Arial"/>
          <w:b w:val="0"/>
          <w:lang w:val="en-US"/>
        </w:rPr>
        <w:t xml:space="preserve"> </w:t>
      </w:r>
      <w:r w:rsidR="00B626FA" w:rsidRPr="00B626FA">
        <w:rPr>
          <w:rStyle w:val="Strong"/>
          <w:rFonts w:cs="Arial"/>
          <w:b w:val="0"/>
          <w:lang w:val="en-US"/>
        </w:rPr>
        <w:t>This poor prognosis is directly related</w:t>
      </w:r>
      <w:r w:rsidR="00B626FA" w:rsidRPr="00B626FA">
        <w:rPr>
          <w:rStyle w:val="Strong"/>
          <w:rFonts w:cs="Arial"/>
          <w:lang w:val="en-US"/>
        </w:rPr>
        <w:t xml:space="preserve"> </w:t>
      </w:r>
      <w:r w:rsidR="00B626FA" w:rsidRPr="00B626FA">
        <w:rPr>
          <w:rFonts w:cs="Arial"/>
          <w:lang w:val="en-US"/>
        </w:rPr>
        <w:t>to late diagnosis, when the disease is often locally advanced or metastatic</w:t>
      </w:r>
      <w:r w:rsidR="00B626FA">
        <w:rPr>
          <w:rFonts w:cs="Arial"/>
          <w:lang w:val="en-US"/>
        </w:rPr>
        <w:t>.</w:t>
      </w:r>
      <w:r w:rsidR="00B626FA">
        <w:rPr>
          <w:rStyle w:val="FootnoteReference"/>
          <w:rFonts w:cs="Arial"/>
          <w:lang w:val="en-US"/>
        </w:rPr>
        <w:footnoteReference w:id="148"/>
      </w:r>
    </w:p>
    <w:p w14:paraId="30B8A533" w14:textId="0966F503" w:rsidR="00B24BC3" w:rsidRPr="00E44472" w:rsidRDefault="00B24BC3" w:rsidP="00B24BC3">
      <w:pPr>
        <w:pStyle w:val="DHHSbody"/>
      </w:pPr>
      <w:r w:rsidRPr="00E44472">
        <w:t xml:space="preserve">In Victoria, for people diagnosed with </w:t>
      </w:r>
      <w:r>
        <w:t>pancreatic</w:t>
      </w:r>
      <w:r w:rsidRPr="00E44472">
        <w:t xml:space="preserve"> cancer between 2010 and 2016, the one-year relative survival ranged from </w:t>
      </w:r>
      <w:r>
        <w:t>26</w:t>
      </w:r>
      <w:r w:rsidRPr="00E44472">
        <w:t>.</w:t>
      </w:r>
      <w:r>
        <w:t>9</w:t>
      </w:r>
      <w:r w:rsidRPr="00E44472">
        <w:t xml:space="preserve"> per cent in 2010 to </w:t>
      </w:r>
      <w:r>
        <w:t>34</w:t>
      </w:r>
      <w:r w:rsidRPr="00E44472">
        <w:t>.</w:t>
      </w:r>
      <w:r>
        <w:t>4</w:t>
      </w:r>
      <w:r w:rsidRPr="00E44472">
        <w:t xml:space="preserve"> per cent in 2016 (Figure 13.</w:t>
      </w:r>
      <w:r>
        <w:t>3</w:t>
      </w:r>
      <w:r w:rsidRPr="00E44472">
        <w:t xml:space="preserve"> (A)).</w:t>
      </w:r>
      <w:r w:rsidR="00952FC7">
        <w:t xml:space="preserve"> </w:t>
      </w:r>
      <w:r w:rsidRPr="00E44472">
        <w:t xml:space="preserve">Survival </w:t>
      </w:r>
      <w:r w:rsidR="00953179">
        <w:t xml:space="preserve">showed very little variation </w:t>
      </w:r>
      <w:r>
        <w:t>between the genders</w:t>
      </w:r>
      <w:r w:rsidR="00953179">
        <w:t xml:space="preserve"> (Figure 13.3 (B))</w:t>
      </w:r>
      <w:r w:rsidR="003B0CBD">
        <w:t>,</w:t>
      </w:r>
      <w:r w:rsidR="00953179">
        <w:t xml:space="preserve"> with </w:t>
      </w:r>
      <w:r w:rsidRPr="00E44472">
        <w:t xml:space="preserve">the one-year relative survival rate </w:t>
      </w:r>
      <w:r w:rsidR="00953179">
        <w:t>generally</w:t>
      </w:r>
      <w:r w:rsidRPr="00E44472">
        <w:t xml:space="preserve"> higher for those aged under </w:t>
      </w:r>
      <w:r w:rsidR="00953179">
        <w:t>5</w:t>
      </w:r>
      <w:r w:rsidRPr="00E44472">
        <w:t>4 years compared with all older age groups (Figure 13.</w:t>
      </w:r>
      <w:r w:rsidR="00953179">
        <w:t>3</w:t>
      </w:r>
      <w:r w:rsidRPr="00E44472">
        <w:t xml:space="preserve"> (C)).</w:t>
      </w:r>
      <w:r w:rsidR="00952FC7">
        <w:t xml:space="preserve"> </w:t>
      </w:r>
      <w:r w:rsidRPr="00E44472">
        <w:t xml:space="preserve">Survival fell sharply with age for those aged 75 years </w:t>
      </w:r>
      <w:r w:rsidR="001B50BF">
        <w:t>or older</w:t>
      </w:r>
      <w:r w:rsidRPr="00E44472">
        <w:t>.</w:t>
      </w:r>
    </w:p>
    <w:p w14:paraId="36A66C85" w14:textId="56CE2026" w:rsidR="00B24BC3" w:rsidRPr="00E44472" w:rsidRDefault="00B24BC3" w:rsidP="00B24BC3">
      <w:pPr>
        <w:pStyle w:val="DHHSbody"/>
      </w:pPr>
      <w:r w:rsidRPr="00E44472">
        <w:t>Survival varied by remoteness</w:t>
      </w:r>
      <w:r w:rsidR="003B0CBD">
        <w:t>,</w:t>
      </w:r>
      <w:r w:rsidRPr="00E44472">
        <w:t xml:space="preserve"> with one-year survival generally higher in </w:t>
      </w:r>
      <w:r w:rsidR="00840304">
        <w:t>m</w:t>
      </w:r>
      <w:r w:rsidRPr="00E44472">
        <w:t xml:space="preserve">ajor cities for most years apart from 2015 where </w:t>
      </w:r>
      <w:r w:rsidR="003B0CBD">
        <w:t>o</w:t>
      </w:r>
      <w:r w:rsidRPr="00E44472">
        <w:t>uter regional-remote areas had the highest survival rate by remoteness.</w:t>
      </w:r>
      <w:r w:rsidR="00952FC7">
        <w:t xml:space="preserve"> </w:t>
      </w:r>
      <w:r w:rsidRPr="00E44472">
        <w:t xml:space="preserve">However, caution should be taken when interpreting this result </w:t>
      </w:r>
      <w:r w:rsidR="00D168B6">
        <w:t>due to</w:t>
      </w:r>
      <w:r w:rsidRPr="00E44472">
        <w:t xml:space="preserve"> the wide confidence interval</w:t>
      </w:r>
      <w:r w:rsidR="00D168B6">
        <w:t>s</w:t>
      </w:r>
      <w:r w:rsidR="00123214">
        <w:t>.</w:t>
      </w:r>
      <w:r w:rsidR="00952FC7">
        <w:t xml:space="preserve"> </w:t>
      </w:r>
      <w:r w:rsidR="00123214">
        <w:t>The large 95</w:t>
      </w:r>
      <w:r w:rsidR="009D0E1A">
        <w:t xml:space="preserve"> per cent</w:t>
      </w:r>
      <w:r w:rsidR="00123214">
        <w:t xml:space="preserve"> confidence interval</w:t>
      </w:r>
      <w:r w:rsidR="00251A7A">
        <w:t>s</w:t>
      </w:r>
      <w:r w:rsidR="00123214">
        <w:t xml:space="preserve"> reflect the confidence around the estimated value.</w:t>
      </w:r>
      <w:r w:rsidR="00952FC7">
        <w:t xml:space="preserve"> </w:t>
      </w:r>
      <w:r w:rsidR="00123214">
        <w:t>It can still be representative to the population.</w:t>
      </w:r>
      <w:r w:rsidR="00952FC7">
        <w:t xml:space="preserve"> </w:t>
      </w:r>
      <w:r w:rsidR="00123214">
        <w:t xml:space="preserve">The figure is large because there are few pancreatic patients living in Victorian </w:t>
      </w:r>
      <w:r w:rsidR="003B0CBD">
        <w:t>o</w:t>
      </w:r>
      <w:r w:rsidR="00123214">
        <w:t>uter regional/remote areas</w:t>
      </w:r>
      <w:r w:rsidRPr="00E44472">
        <w:t xml:space="preserve"> (Figure 13.2 (D)).</w:t>
      </w:r>
      <w:r w:rsidR="00952FC7">
        <w:t xml:space="preserve"> </w:t>
      </w:r>
    </w:p>
    <w:p w14:paraId="299DFFBD" w14:textId="39FC0464" w:rsidR="00B24BC3" w:rsidRPr="003F372E" w:rsidRDefault="00B24BC3" w:rsidP="00B24BC3">
      <w:pPr>
        <w:pStyle w:val="DHHSbody"/>
      </w:pPr>
      <w:r w:rsidRPr="00E44472">
        <w:t>One-year survival rates varied between regions when compared by ICS between 2010 and 201</w:t>
      </w:r>
      <w:r>
        <w:t>6</w:t>
      </w:r>
      <w:r w:rsidR="003B0CBD">
        <w:t>; they</w:t>
      </w:r>
      <w:r w:rsidRPr="00E44472">
        <w:t xml:space="preserve"> were generally higher in the metropolitan ICSs</w:t>
      </w:r>
      <w:r w:rsidR="00215602">
        <w:t xml:space="preserve">. </w:t>
      </w:r>
      <w:r w:rsidRPr="00E44472">
        <w:t xml:space="preserve">Higher rates of survival observed for </w:t>
      </w:r>
      <w:r w:rsidR="00215602">
        <w:t xml:space="preserve">regional </w:t>
      </w:r>
      <w:r w:rsidRPr="00E44472">
        <w:t>ICS</w:t>
      </w:r>
      <w:r>
        <w:t>s</w:t>
      </w:r>
      <w:r w:rsidRPr="00E44472">
        <w:t xml:space="preserve"> such as HRICS </w:t>
      </w:r>
      <w:r w:rsidR="00215602">
        <w:t xml:space="preserve">in 2016 </w:t>
      </w:r>
      <w:r w:rsidRPr="00E44472">
        <w:t xml:space="preserve">should be </w:t>
      </w:r>
      <w:r w:rsidRPr="003F372E">
        <w:t>interpreted with caution because of the wide confidence interval</w:t>
      </w:r>
      <w:r w:rsidR="00251A7A" w:rsidRPr="003F372E">
        <w:t>s</w:t>
      </w:r>
      <w:r w:rsidR="000B2341" w:rsidRPr="003F372E">
        <w:t xml:space="preserve"> (Figure 13.3 (E)).</w:t>
      </w:r>
    </w:p>
    <w:p w14:paraId="55FD78BD" w14:textId="6B3EA8CD" w:rsidR="002E08FF" w:rsidRPr="001A2A05" w:rsidRDefault="00B24BC3" w:rsidP="001A2A05">
      <w:pPr>
        <w:pStyle w:val="DHHSbody"/>
        <w:rPr>
          <w:rFonts w:cs="Arial"/>
          <w:color w:val="222222"/>
        </w:rPr>
      </w:pPr>
      <w:r w:rsidRPr="003F372E">
        <w:rPr>
          <w:rFonts w:cs="Arial"/>
          <w:lang w:eastAsia="en-AU"/>
        </w:rPr>
        <w:t>While no target has been set for this measure</w:t>
      </w:r>
      <w:r w:rsidR="003B0CBD" w:rsidRPr="003F372E">
        <w:rPr>
          <w:rFonts w:cs="Arial"/>
          <w:lang w:eastAsia="en-AU"/>
        </w:rPr>
        <w:t>,</w:t>
      </w:r>
      <w:r w:rsidRPr="003F372E">
        <w:rPr>
          <w:rFonts w:cs="Arial"/>
          <w:lang w:eastAsia="en-AU"/>
        </w:rPr>
        <w:t xml:space="preserve"> the one-year survival rate for those patients diagnosed with </w:t>
      </w:r>
      <w:r w:rsidR="00215602" w:rsidRPr="003F372E">
        <w:rPr>
          <w:rFonts w:cs="Arial"/>
          <w:lang w:eastAsia="en-AU"/>
        </w:rPr>
        <w:t>pancreatic cancer remains low</w:t>
      </w:r>
      <w:r w:rsidRPr="003F372E">
        <w:rPr>
          <w:rFonts w:cs="Arial"/>
          <w:lang w:eastAsia="en-AU"/>
        </w:rPr>
        <w:t xml:space="preserve"> </w:t>
      </w:r>
      <w:r w:rsidR="00215602" w:rsidRPr="003F372E">
        <w:rPr>
          <w:rFonts w:cs="Arial"/>
          <w:lang w:eastAsia="en-AU"/>
        </w:rPr>
        <w:t xml:space="preserve">despite </w:t>
      </w:r>
      <w:r w:rsidRPr="003F372E">
        <w:rPr>
          <w:rFonts w:cs="Arial"/>
          <w:lang w:eastAsia="en-AU"/>
        </w:rPr>
        <w:t>a</w:t>
      </w:r>
      <w:r w:rsidR="003F372E" w:rsidRPr="003F372E">
        <w:rPr>
          <w:rFonts w:cs="Arial"/>
          <w:lang w:eastAsia="en-AU"/>
        </w:rPr>
        <w:t xml:space="preserve"> gradual</w:t>
      </w:r>
      <w:r w:rsidRPr="003F372E">
        <w:rPr>
          <w:rFonts w:cs="Arial"/>
          <w:lang w:eastAsia="en-AU"/>
        </w:rPr>
        <w:t xml:space="preserve"> improvement in the proportion of those surviving the one-year period</w:t>
      </w:r>
      <w:r w:rsidR="00215602" w:rsidRPr="003F372E">
        <w:rPr>
          <w:rFonts w:cs="Arial"/>
          <w:lang w:eastAsia="en-AU"/>
        </w:rPr>
        <w:t xml:space="preserve"> during the analysis period</w:t>
      </w:r>
      <w:r w:rsidRPr="003F372E">
        <w:rPr>
          <w:rFonts w:cs="Arial"/>
          <w:lang w:eastAsia="en-AU"/>
        </w:rPr>
        <w:t>.</w:t>
      </w:r>
      <w:r>
        <w:rPr>
          <w:rFonts w:cs="Arial"/>
          <w:lang w:eastAsia="en-AU"/>
        </w:rPr>
        <w:t xml:space="preserve"> </w:t>
      </w:r>
      <w:r w:rsidR="00215602">
        <w:rPr>
          <w:rFonts w:cs="Arial"/>
          <w:lang w:eastAsia="en-AU"/>
        </w:rPr>
        <w:t xml:space="preserve">However, due </w:t>
      </w:r>
      <w:r w:rsidR="00215602">
        <w:t>to small numbers, survival rates for pancreatic cancer are unstable and should be interpreted with caution.</w:t>
      </w:r>
      <w:r w:rsidR="002E08FF">
        <w:rPr>
          <w:lang w:eastAsia="en-AU"/>
        </w:rPr>
        <w:br w:type="page"/>
      </w:r>
    </w:p>
    <w:p w14:paraId="0DD1F035" w14:textId="13E8CB16" w:rsidR="005C15AA" w:rsidRDefault="005C15AA" w:rsidP="005C15AA">
      <w:pPr>
        <w:pStyle w:val="Heading3"/>
        <w:rPr>
          <w:lang w:eastAsia="en-AU"/>
        </w:rPr>
      </w:pPr>
      <w:bookmarkStart w:id="818" w:name="_Measure_13.4_–"/>
      <w:bookmarkStart w:id="819" w:name="_Toc19008160"/>
      <w:bookmarkEnd w:id="818"/>
      <w:r>
        <w:rPr>
          <w:lang w:eastAsia="en-AU"/>
        </w:rPr>
        <w:lastRenderedPageBreak/>
        <w:t>Measure 13.4 – One-year survival from ovar</w:t>
      </w:r>
      <w:r w:rsidR="00E23DEB">
        <w:rPr>
          <w:lang w:eastAsia="en-AU"/>
        </w:rPr>
        <w:t>ian</w:t>
      </w:r>
      <w:r>
        <w:rPr>
          <w:lang w:eastAsia="en-AU"/>
        </w:rPr>
        <w:t xml:space="preserve"> cancer</w:t>
      </w:r>
      <w:r w:rsidR="003176C9">
        <w:rPr>
          <w:lang w:eastAsia="en-AU"/>
        </w:rPr>
        <w:t xml:space="preserve"> (C56)</w:t>
      </w:r>
      <w:bookmarkEnd w:id="819"/>
    </w:p>
    <w:p w14:paraId="1F7D13BD" w14:textId="27D2DB24" w:rsidR="0047495E" w:rsidRDefault="00D87D7C" w:rsidP="00441D5B">
      <w:pPr>
        <w:pStyle w:val="DHHSfigurecaption"/>
      </w:pPr>
      <w:bookmarkStart w:id="820" w:name="_Toc19008161"/>
      <w:bookmarkStart w:id="821" w:name="_Toc19008365"/>
      <w:bookmarkStart w:id="822" w:name="_Toc19008512"/>
      <w:bookmarkStart w:id="823" w:name="_Toc19008659"/>
      <w:bookmarkStart w:id="824" w:name="_Toc27414367"/>
      <w:r w:rsidRPr="00186FD9">
        <w:t>Figure 13.</w:t>
      </w:r>
      <w:r w:rsidR="00AC476D">
        <w:t>4</w:t>
      </w:r>
      <w:r w:rsidR="009D0E1A">
        <w:t>:</w:t>
      </w:r>
      <w:r w:rsidRPr="00186FD9">
        <w:t xml:space="preserve"> </w:t>
      </w:r>
      <w:r w:rsidR="0047495E" w:rsidRPr="00416D08">
        <w:t>Trends in one-year relative survival</w:t>
      </w:r>
      <w:r w:rsidR="0047495E">
        <w:t xml:space="preserve"> from ovarian cancer overall (A) and by</w:t>
      </w:r>
      <w:r w:rsidR="00117359">
        <w:t xml:space="preserve"> age</w:t>
      </w:r>
      <w:r w:rsidR="0047495E">
        <w:t xml:space="preserve"> (B</w:t>
      </w:r>
      <w:r w:rsidR="00117359">
        <w:t>), remoteness (C</w:t>
      </w:r>
      <w:r w:rsidR="0047495E">
        <w:t xml:space="preserve">) and </w:t>
      </w:r>
      <w:r w:rsidR="008439C8">
        <w:t>ICS</w:t>
      </w:r>
      <w:r w:rsidR="00117359">
        <w:t xml:space="preserve"> (D</w:t>
      </w:r>
      <w:r w:rsidR="0047495E">
        <w:t>)</w:t>
      </w:r>
      <w:r w:rsidR="0047495E" w:rsidRPr="00416D08">
        <w:t>, Victoria</w:t>
      </w:r>
      <w:r w:rsidR="0047495E">
        <w:t>,</w:t>
      </w:r>
      <w:r w:rsidR="0047495E" w:rsidRPr="00416D08">
        <w:t xml:space="preserve"> by year, 2010</w:t>
      </w:r>
      <w:r w:rsidR="009D0E1A">
        <w:t>–</w:t>
      </w:r>
      <w:r w:rsidR="0047495E" w:rsidRPr="00416D08">
        <w:t>2016</w:t>
      </w:r>
      <w:bookmarkEnd w:id="820"/>
      <w:bookmarkEnd w:id="821"/>
      <w:bookmarkEnd w:id="822"/>
      <w:bookmarkEnd w:id="823"/>
      <w:bookmarkEnd w:id="824"/>
    </w:p>
    <w:p w14:paraId="4EDCCDDC" w14:textId="77777777" w:rsidR="00216F79" w:rsidRDefault="00216F79" w:rsidP="00160602">
      <w:pPr>
        <w:pStyle w:val="DHHSbody"/>
        <w:numPr>
          <w:ilvl w:val="0"/>
          <w:numId w:val="18"/>
        </w:numPr>
        <w:ind w:left="346" w:hanging="283"/>
        <w:rPr>
          <w:b/>
          <w:lang w:eastAsia="en-AU"/>
        </w:rPr>
        <w:sectPr w:rsidR="00216F79" w:rsidSect="006116E6">
          <w:type w:val="continuous"/>
          <w:pgSz w:w="11906" w:h="16838"/>
          <w:pgMar w:top="1701" w:right="849" w:bottom="1134" w:left="426" w:header="454" w:footer="510" w:gutter="0"/>
          <w:cols w:space="720"/>
          <w:docGrid w:linePitch="360"/>
        </w:sectPr>
      </w:pPr>
    </w:p>
    <w:p w14:paraId="7719F1E4" w14:textId="0FA1D7B4" w:rsidR="00610322" w:rsidRDefault="00610322" w:rsidP="00160602">
      <w:pPr>
        <w:pStyle w:val="DHHSbody"/>
        <w:numPr>
          <w:ilvl w:val="0"/>
          <w:numId w:val="18"/>
        </w:numPr>
        <w:ind w:left="346" w:hanging="283"/>
        <w:rPr>
          <w:b/>
          <w:lang w:eastAsia="en-AU"/>
        </w:rPr>
      </w:pPr>
      <w:r>
        <w:rPr>
          <w:b/>
          <w:lang w:eastAsia="en-AU"/>
        </w:rPr>
        <w:t>Overall</w:t>
      </w:r>
    </w:p>
    <w:p w14:paraId="5F2DB231" w14:textId="73623AD1" w:rsidR="00610322" w:rsidRDefault="002311CF" w:rsidP="0047495E">
      <w:pPr>
        <w:pStyle w:val="DHHSbody"/>
        <w:rPr>
          <w:b/>
          <w:lang w:eastAsia="en-AU"/>
        </w:rPr>
      </w:pPr>
      <w:r>
        <w:rPr>
          <w:b/>
          <w:noProof/>
          <w:lang w:eastAsia="en-AU"/>
        </w:rPr>
        <w:drawing>
          <wp:inline distT="0" distB="0" distL="0" distR="0" wp14:anchorId="7F98CDFE" wp14:editId="7F6F6E28">
            <wp:extent cx="3133725" cy="2237740"/>
            <wp:effectExtent l="0" t="0" r="0" b="0"/>
            <wp:docPr id="593" name="Picture 593" descr="This figure shows a data summary of 'Measure 13.4 – One-year survival from ovarian cancer'. Specially this figure focuses on the trends in one-year relative survival from ovarian cancer overall for the study period 2010-2016. The data set is available under 'Measure 13.4 – On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35444" cy="2238968"/>
                    </a:xfrm>
                    <a:prstGeom prst="rect">
                      <a:avLst/>
                    </a:prstGeom>
                    <a:noFill/>
                  </pic:spPr>
                </pic:pic>
              </a:graphicData>
            </a:graphic>
          </wp:inline>
        </w:drawing>
      </w:r>
    </w:p>
    <w:p w14:paraId="69FACFB9" w14:textId="57C3C9A0" w:rsidR="009C4037" w:rsidRDefault="009C4037" w:rsidP="00160602">
      <w:pPr>
        <w:pStyle w:val="DHHSbody"/>
        <w:numPr>
          <w:ilvl w:val="0"/>
          <w:numId w:val="18"/>
        </w:numPr>
        <w:ind w:left="284" w:hanging="284"/>
        <w:rPr>
          <w:b/>
          <w:lang w:eastAsia="en-AU"/>
        </w:rPr>
      </w:pPr>
      <w:r>
        <w:rPr>
          <w:b/>
          <w:lang w:eastAsia="en-AU"/>
        </w:rPr>
        <w:t>Age</w:t>
      </w:r>
    </w:p>
    <w:p w14:paraId="0D1AF225" w14:textId="3A734F27" w:rsidR="00216F79" w:rsidRDefault="002311CF" w:rsidP="00216F79">
      <w:pPr>
        <w:pStyle w:val="DHHSbody"/>
        <w:ind w:left="720" w:hanging="720"/>
        <w:rPr>
          <w:b/>
          <w:lang w:eastAsia="en-AU"/>
        </w:rPr>
      </w:pPr>
      <w:r>
        <w:rPr>
          <w:b/>
          <w:noProof/>
          <w:lang w:eastAsia="en-AU"/>
        </w:rPr>
        <w:drawing>
          <wp:inline distT="0" distB="0" distL="0" distR="0" wp14:anchorId="41C02922" wp14:editId="7DFD30B8">
            <wp:extent cx="3108960" cy="2235389"/>
            <wp:effectExtent l="0" t="0" r="0" b="0"/>
            <wp:docPr id="594" name="Picture 594" descr="This figure shows a data summary of 'Measure 13.4 – One-year survival from ovarian cancer'. Specially this figure focuses on the trends in one-year relative survival from ovarian cancer by age for the study period 2010-2016. The data set is available under 'Measure 13.4 – On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12777" cy="2238133"/>
                    </a:xfrm>
                    <a:prstGeom prst="rect">
                      <a:avLst/>
                    </a:prstGeom>
                    <a:noFill/>
                  </pic:spPr>
                </pic:pic>
              </a:graphicData>
            </a:graphic>
          </wp:inline>
        </w:drawing>
      </w:r>
    </w:p>
    <w:p w14:paraId="2B5F776F" w14:textId="77777777" w:rsidR="00216F79" w:rsidRDefault="00216F79" w:rsidP="00216F79">
      <w:pPr>
        <w:pStyle w:val="DHHSbody"/>
        <w:ind w:left="720"/>
        <w:rPr>
          <w:b/>
          <w:lang w:eastAsia="en-AU"/>
        </w:rPr>
        <w:sectPr w:rsidR="00216F79" w:rsidSect="00216F79">
          <w:type w:val="continuous"/>
          <w:pgSz w:w="11906" w:h="16838"/>
          <w:pgMar w:top="1701" w:right="849" w:bottom="1134" w:left="426" w:header="454" w:footer="510" w:gutter="0"/>
          <w:cols w:num="2" w:space="720"/>
          <w:docGrid w:linePitch="360"/>
        </w:sectPr>
      </w:pPr>
    </w:p>
    <w:p w14:paraId="509B8D66" w14:textId="3EAF6678" w:rsidR="002C5E88" w:rsidRDefault="002C5E88" w:rsidP="00160602">
      <w:pPr>
        <w:pStyle w:val="DHHSbody"/>
        <w:numPr>
          <w:ilvl w:val="0"/>
          <w:numId w:val="18"/>
        </w:numPr>
        <w:ind w:left="284" w:hanging="284"/>
        <w:rPr>
          <w:b/>
          <w:lang w:eastAsia="en-AU"/>
        </w:rPr>
      </w:pPr>
      <w:r>
        <w:rPr>
          <w:b/>
          <w:lang w:eastAsia="en-AU"/>
        </w:rPr>
        <w:t>Remoteness</w:t>
      </w:r>
    </w:p>
    <w:p w14:paraId="3D4F3EEA" w14:textId="0E6EE229" w:rsidR="002C5E88" w:rsidRDefault="002311CF" w:rsidP="002C5E88">
      <w:pPr>
        <w:pStyle w:val="DHHSbody"/>
        <w:rPr>
          <w:b/>
          <w:lang w:eastAsia="en-AU"/>
        </w:rPr>
      </w:pPr>
      <w:r>
        <w:rPr>
          <w:b/>
          <w:noProof/>
          <w:lang w:eastAsia="en-AU"/>
        </w:rPr>
        <w:drawing>
          <wp:inline distT="0" distB="0" distL="0" distR="0" wp14:anchorId="207CEE00" wp14:editId="2BE189DE">
            <wp:extent cx="6729984" cy="2304415"/>
            <wp:effectExtent l="0" t="0" r="0" b="635"/>
            <wp:docPr id="595" name="Picture 595" descr="This figure shows a data summary of 'Measure 13.4 – One-year survival from ovarian cancer'. Specially this figure focuses on the trends in one-year relative survival from ovarian cancer by remoteness for the study period 2010-2016. The data set is available under 'Measure 13.4 – On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778156" cy="2320910"/>
                    </a:xfrm>
                    <a:prstGeom prst="rect">
                      <a:avLst/>
                    </a:prstGeom>
                    <a:noFill/>
                  </pic:spPr>
                </pic:pic>
              </a:graphicData>
            </a:graphic>
          </wp:inline>
        </w:drawing>
      </w:r>
    </w:p>
    <w:p w14:paraId="4CD64ADA" w14:textId="77777777" w:rsidR="002C5E88" w:rsidRDefault="002C5E88" w:rsidP="00160602">
      <w:pPr>
        <w:pStyle w:val="DHHSbody"/>
        <w:numPr>
          <w:ilvl w:val="0"/>
          <w:numId w:val="18"/>
        </w:numPr>
        <w:ind w:left="284" w:hanging="284"/>
        <w:rPr>
          <w:b/>
          <w:lang w:eastAsia="en-AU"/>
        </w:rPr>
      </w:pPr>
      <w:r>
        <w:rPr>
          <w:b/>
          <w:lang w:eastAsia="en-AU"/>
        </w:rPr>
        <w:t>Integrated Cancer Service</w:t>
      </w:r>
    </w:p>
    <w:p w14:paraId="7BC84399" w14:textId="2969A0CA" w:rsidR="002C5E88" w:rsidRDefault="002311CF" w:rsidP="002C5E88">
      <w:pPr>
        <w:pStyle w:val="DHHSbody"/>
        <w:rPr>
          <w:b/>
          <w:lang w:eastAsia="en-AU"/>
        </w:rPr>
      </w:pPr>
      <w:r>
        <w:rPr>
          <w:b/>
          <w:noProof/>
          <w:lang w:eastAsia="en-AU"/>
        </w:rPr>
        <w:drawing>
          <wp:inline distT="0" distB="0" distL="0" distR="0" wp14:anchorId="03B4BAAC" wp14:editId="0C79DFDD">
            <wp:extent cx="6803136" cy="2506244"/>
            <wp:effectExtent l="0" t="0" r="0" b="8890"/>
            <wp:docPr id="596" name="Picture 596" descr="This figure shows a data summary of 'Measure 13.4 – One-year survival from ovarian cancer'. Specially this figure focuses on the trends in one-year relative survival from ovarian cancer by Integrated Cancer Service for the study period 2010-2016. The data set is available under 'Measure 13.4 – On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898440" cy="2541353"/>
                    </a:xfrm>
                    <a:prstGeom prst="rect">
                      <a:avLst/>
                    </a:prstGeom>
                    <a:noFill/>
                  </pic:spPr>
                </pic:pic>
              </a:graphicData>
            </a:graphic>
          </wp:inline>
        </w:drawing>
      </w:r>
    </w:p>
    <w:p w14:paraId="3A82F7C4" w14:textId="298792E7" w:rsidR="0073300D" w:rsidRPr="0073300D" w:rsidRDefault="0073300D" w:rsidP="0073300D">
      <w:pPr>
        <w:pStyle w:val="DHHStablefigurenote"/>
      </w:pPr>
      <w:r w:rsidRPr="0073300D">
        <w:t>Note: Appendix 2 provides the dataset</w:t>
      </w:r>
      <w:r w:rsidR="00DC2D82">
        <w:t>.</w:t>
      </w:r>
    </w:p>
    <w:p w14:paraId="2382AC0F" w14:textId="73A0F8CF" w:rsidR="002E08FF" w:rsidRPr="00671C7A" w:rsidRDefault="002E08FF" w:rsidP="002E08FF">
      <w:pPr>
        <w:pStyle w:val="Heading4"/>
        <w:rPr>
          <w:lang w:eastAsia="en-AU"/>
        </w:rPr>
      </w:pPr>
      <w:r>
        <w:rPr>
          <w:lang w:eastAsia="en-AU"/>
        </w:rPr>
        <w:lastRenderedPageBreak/>
        <w:t>Measure assessment</w:t>
      </w:r>
    </w:p>
    <w:p w14:paraId="490E1A8E" w14:textId="14BA86BF" w:rsidR="0097280A" w:rsidRPr="0097280A" w:rsidRDefault="002E08FF" w:rsidP="0097280A">
      <w:pPr>
        <w:autoSpaceDE w:val="0"/>
        <w:autoSpaceDN w:val="0"/>
        <w:adjustRightInd w:val="0"/>
        <w:spacing w:after="120" w:line="270" w:lineRule="atLeast"/>
        <w:rPr>
          <w:rFonts w:ascii="Arial" w:hAnsi="Arial" w:cs="Arial"/>
          <w:color w:val="FF0000"/>
        </w:rPr>
      </w:pPr>
      <w:r w:rsidRPr="00C3634E">
        <w:rPr>
          <w:rFonts w:ascii="Arial" w:hAnsi="Arial" w:cs="Arial"/>
        </w:rPr>
        <w:t xml:space="preserve">Traffic light rating: </w:t>
      </w:r>
      <w:r w:rsidR="00990852" w:rsidRPr="00026CF2">
        <w:rPr>
          <w:rFonts w:ascii="Arial" w:hAnsi="Arial" w:cs="Arial"/>
          <w:b/>
          <w:color w:val="C5511A"/>
        </w:rPr>
        <w:t>Amber</w:t>
      </w:r>
      <w:r w:rsidR="00990852">
        <w:rPr>
          <w:rFonts w:ascii="Arial" w:hAnsi="Arial" w:cs="Arial"/>
          <w:b/>
          <w:color w:val="C5511A"/>
        </w:rPr>
        <w:t xml:space="preserve"> </w:t>
      </w:r>
      <w:r w:rsidR="00990852" w:rsidRPr="00EA3932">
        <w:rPr>
          <w:rFonts w:ascii="Arial" w:hAnsi="Arial" w:cs="Arial"/>
          <w:color w:val="C5511A"/>
        </w:rPr>
        <w:t>(desired result not yet evident)</w:t>
      </w:r>
    </w:p>
    <w:p w14:paraId="57333F5A" w14:textId="01745F8E" w:rsidR="002E08FF" w:rsidRPr="00C3634E" w:rsidRDefault="002E08FF" w:rsidP="0097280A">
      <w:pPr>
        <w:spacing w:after="120" w:line="270" w:lineRule="atLeast"/>
        <w:rPr>
          <w:rFonts w:ascii="Arial" w:hAnsi="Arial" w:cs="Arial"/>
        </w:rPr>
      </w:pPr>
      <w:r w:rsidRPr="00C3634E">
        <w:rPr>
          <w:rFonts w:ascii="Arial" w:hAnsi="Arial" w:cs="Arial"/>
        </w:rPr>
        <w:t xml:space="preserve">Overall trend: </w:t>
      </w:r>
      <w:r w:rsidR="001A2081">
        <w:rPr>
          <w:rFonts w:ascii="Arial" w:hAnsi="Arial" w:cs="Arial"/>
        </w:rPr>
        <w:t>Static or unchanging</w:t>
      </w:r>
    </w:p>
    <w:p w14:paraId="2CD2D1AC" w14:textId="32B500C4" w:rsidR="00BB1BEE" w:rsidRPr="00656136" w:rsidRDefault="002E08FF" w:rsidP="0097280A">
      <w:pPr>
        <w:spacing w:after="120" w:line="270" w:lineRule="atLeast"/>
        <w:ind w:left="-5" w:right="3"/>
        <w:rPr>
          <w:rFonts w:ascii="Arial" w:hAnsi="Arial" w:cs="Arial"/>
        </w:rPr>
      </w:pPr>
      <w:r w:rsidRPr="00656136">
        <w:rPr>
          <w:rFonts w:ascii="Arial" w:hAnsi="Arial" w:cs="Arial"/>
        </w:rPr>
        <w:t>Commentary:</w:t>
      </w:r>
      <w:r w:rsidR="00BB1BEE" w:rsidRPr="00656136">
        <w:rPr>
          <w:rFonts w:ascii="Arial" w:hAnsi="Arial" w:cs="Arial"/>
        </w:rPr>
        <w:t xml:space="preserve"> </w:t>
      </w:r>
      <w:r w:rsidR="000E14CA" w:rsidRPr="00656136">
        <w:rPr>
          <w:rFonts w:ascii="Arial" w:hAnsi="Arial" w:cs="Arial"/>
          <w:lang w:val="en"/>
        </w:rPr>
        <w:t>Ovarian cancer is a collective term for invasive cancers derived from different tissues.</w:t>
      </w:r>
      <w:r w:rsidR="000E14CA" w:rsidRPr="00656136">
        <w:rPr>
          <w:rStyle w:val="FootnoteReference"/>
          <w:rFonts w:cs="Arial"/>
          <w:lang w:val="en"/>
        </w:rPr>
        <w:footnoteReference w:id="149"/>
      </w:r>
      <w:r w:rsidR="00952FC7">
        <w:rPr>
          <w:rFonts w:ascii="Arial" w:hAnsi="Arial" w:cs="Arial"/>
          <w:lang w:val="en"/>
        </w:rPr>
        <w:t xml:space="preserve"> </w:t>
      </w:r>
      <w:r w:rsidR="000E14CA" w:rsidRPr="00656136">
        <w:rPr>
          <w:rFonts w:ascii="Arial" w:hAnsi="Arial" w:cs="Arial"/>
        </w:rPr>
        <w:t>It</w:t>
      </w:r>
      <w:r w:rsidR="001A37B6" w:rsidRPr="00656136">
        <w:rPr>
          <w:rFonts w:ascii="Arial" w:hAnsi="Arial" w:cs="Arial"/>
        </w:rPr>
        <w:t xml:space="preserve"> is</w:t>
      </w:r>
      <w:r w:rsidR="00BB1BEE" w:rsidRPr="00656136">
        <w:rPr>
          <w:rFonts w:ascii="Arial" w:hAnsi="Arial" w:cs="Arial"/>
        </w:rPr>
        <w:t xml:space="preserve"> mainly a disease of postmenopausal women</w:t>
      </w:r>
      <w:r w:rsidR="003B0CBD">
        <w:rPr>
          <w:rFonts w:ascii="Arial" w:hAnsi="Arial" w:cs="Arial"/>
        </w:rPr>
        <w:t>,</w:t>
      </w:r>
      <w:r w:rsidR="00BB1BEE" w:rsidRPr="00656136">
        <w:rPr>
          <w:rFonts w:ascii="Arial" w:hAnsi="Arial" w:cs="Arial"/>
        </w:rPr>
        <w:t xml:space="preserve"> the average age at diagnosis </w:t>
      </w:r>
      <w:r w:rsidR="000E14CA" w:rsidRPr="00656136">
        <w:rPr>
          <w:rFonts w:ascii="Arial" w:hAnsi="Arial" w:cs="Arial"/>
        </w:rPr>
        <w:t>being</w:t>
      </w:r>
      <w:r w:rsidR="00BB1BEE" w:rsidRPr="00656136">
        <w:rPr>
          <w:rFonts w:ascii="Arial" w:hAnsi="Arial" w:cs="Arial"/>
        </w:rPr>
        <w:t xml:space="preserve"> 63 years and the risk of ovarian cancer increase</w:t>
      </w:r>
      <w:r w:rsidR="000E14CA" w:rsidRPr="00656136">
        <w:rPr>
          <w:rFonts w:ascii="Arial" w:hAnsi="Arial" w:cs="Arial"/>
        </w:rPr>
        <w:t>s</w:t>
      </w:r>
      <w:r w:rsidR="00BB1BEE" w:rsidRPr="00656136">
        <w:rPr>
          <w:rFonts w:ascii="Arial" w:hAnsi="Arial" w:cs="Arial"/>
        </w:rPr>
        <w:t xml:space="preserve"> with age. It is often diagnosed at a stage where the cancer has spread beyond the ovary, which </w:t>
      </w:r>
      <w:r w:rsidR="001A37B6" w:rsidRPr="00656136">
        <w:rPr>
          <w:rFonts w:ascii="Arial" w:hAnsi="Arial" w:cs="Arial"/>
        </w:rPr>
        <w:t xml:space="preserve">in turn </w:t>
      </w:r>
      <w:r w:rsidR="00BB1BEE" w:rsidRPr="00656136">
        <w:rPr>
          <w:rFonts w:ascii="Arial" w:hAnsi="Arial" w:cs="Arial"/>
        </w:rPr>
        <w:t>is associated with a poorer prognosis</w:t>
      </w:r>
      <w:r w:rsidR="00C63AC5" w:rsidRPr="00656136">
        <w:rPr>
          <w:rFonts w:ascii="Arial" w:hAnsi="Arial" w:cs="Arial"/>
        </w:rPr>
        <w:t xml:space="preserve"> and treatment.</w:t>
      </w:r>
      <w:r w:rsidR="001A37B6" w:rsidRPr="00656136">
        <w:rPr>
          <w:rStyle w:val="FootnoteReference"/>
          <w:rFonts w:cs="Arial"/>
        </w:rPr>
        <w:footnoteReference w:id="150"/>
      </w:r>
      <w:r w:rsidR="00BB1BEE" w:rsidRPr="00656136">
        <w:rPr>
          <w:rFonts w:ascii="Arial" w:hAnsi="Arial" w:cs="Arial"/>
        </w:rPr>
        <w:t xml:space="preserve"> </w:t>
      </w:r>
      <w:r w:rsidR="000E14CA" w:rsidRPr="00656136">
        <w:rPr>
          <w:rFonts w:ascii="Arial" w:hAnsi="Arial" w:cs="Arial"/>
        </w:rPr>
        <w:t>In Australia</w:t>
      </w:r>
      <w:r w:rsidR="003B0CBD">
        <w:rPr>
          <w:rFonts w:ascii="Arial" w:hAnsi="Arial" w:cs="Arial"/>
        </w:rPr>
        <w:t>,</w:t>
      </w:r>
      <w:r w:rsidR="000E14CA" w:rsidRPr="00656136">
        <w:rPr>
          <w:rFonts w:ascii="Arial" w:hAnsi="Arial" w:cs="Arial"/>
        </w:rPr>
        <w:t xml:space="preserve"> ovarian cancer has the lowest survival rate of any women’s cancer</w:t>
      </w:r>
      <w:r w:rsidR="00940CE5" w:rsidRPr="00656136">
        <w:rPr>
          <w:rFonts w:ascii="Arial" w:hAnsi="Arial" w:cs="Arial"/>
        </w:rPr>
        <w:t>.</w:t>
      </w:r>
      <w:r w:rsidR="00940CE5" w:rsidRPr="00656136">
        <w:rPr>
          <w:rStyle w:val="FootnoteReference"/>
          <w:rFonts w:cs="Arial"/>
        </w:rPr>
        <w:footnoteReference w:id="151"/>
      </w:r>
    </w:p>
    <w:p w14:paraId="1D3B7615" w14:textId="0551EB1A" w:rsidR="00F3402F" w:rsidRPr="00656136" w:rsidRDefault="00F3402F" w:rsidP="00F576F8">
      <w:pPr>
        <w:pStyle w:val="DHHSbody"/>
        <w:rPr>
          <w:rFonts w:cs="Arial"/>
        </w:rPr>
      </w:pPr>
      <w:r w:rsidRPr="00656136">
        <w:t>In Victoria, for people diagnosed with ovarian cancer between 2010 and 2016, the one-year relative survival ranged from 76.9 per cent in 2010 to 74.4 per cent in 2016 (Figure 13.4 (A)).</w:t>
      </w:r>
      <w:r w:rsidR="00952FC7">
        <w:t xml:space="preserve"> </w:t>
      </w:r>
      <w:r w:rsidRPr="00656136">
        <w:t xml:space="preserve">Figure 13.4 (B) shows that </w:t>
      </w:r>
      <w:r w:rsidRPr="00656136">
        <w:rPr>
          <w:rFonts w:cs="Arial"/>
        </w:rPr>
        <w:t xml:space="preserve">survival dropped with each older age group but fell significantly for women aged 75 years </w:t>
      </w:r>
      <w:r w:rsidR="001B50BF">
        <w:rPr>
          <w:rFonts w:cs="Arial"/>
        </w:rPr>
        <w:t>or older</w:t>
      </w:r>
      <w:r w:rsidRPr="00656136">
        <w:rPr>
          <w:rFonts w:cs="Arial"/>
        </w:rPr>
        <w:t xml:space="preserve">. </w:t>
      </w:r>
    </w:p>
    <w:p w14:paraId="1401D042" w14:textId="52121EC4" w:rsidR="00F576F8" w:rsidRPr="00656136" w:rsidRDefault="00F576F8" w:rsidP="00F576F8">
      <w:pPr>
        <w:pStyle w:val="DHHSbody"/>
      </w:pPr>
      <w:r w:rsidRPr="00656136">
        <w:t xml:space="preserve">There was no difference between survival and remoteness (Figure 13.4 (C)) and </w:t>
      </w:r>
      <w:r w:rsidR="008439C8">
        <w:t>ICS</w:t>
      </w:r>
      <w:r w:rsidRPr="00656136">
        <w:t xml:space="preserve"> (Figure 13.4 (D))</w:t>
      </w:r>
      <w:r w:rsidR="003357A9">
        <w:t>,</w:t>
      </w:r>
      <w:r w:rsidRPr="00656136">
        <w:t xml:space="preserve"> although caution should be taken when interpreting these results </w:t>
      </w:r>
      <w:r w:rsidR="003B0CBD">
        <w:t>because</w:t>
      </w:r>
      <w:r w:rsidR="003B0CBD" w:rsidRPr="00656136">
        <w:t xml:space="preserve"> </w:t>
      </w:r>
      <w:r w:rsidRPr="00656136">
        <w:t xml:space="preserve">the wide confidence intervals denote a small sample size that may not be well representative </w:t>
      </w:r>
      <w:r w:rsidR="003B0CBD">
        <w:t>of</w:t>
      </w:r>
      <w:r w:rsidR="003B0CBD" w:rsidRPr="00656136">
        <w:t xml:space="preserve"> </w:t>
      </w:r>
      <w:r w:rsidRPr="00656136">
        <w:t>the population</w:t>
      </w:r>
      <w:r w:rsidR="0007013E">
        <w:t>.</w:t>
      </w:r>
    </w:p>
    <w:p w14:paraId="44466804" w14:textId="652408BE" w:rsidR="002E08FF" w:rsidRPr="001A2A05" w:rsidRDefault="00F3402F" w:rsidP="001A2A05">
      <w:pPr>
        <w:spacing w:after="120" w:line="270" w:lineRule="atLeast"/>
        <w:ind w:left="-5" w:right="3"/>
        <w:rPr>
          <w:rFonts w:ascii="Arial" w:hAnsi="Arial" w:cs="Arial"/>
        </w:rPr>
      </w:pPr>
      <w:r w:rsidRPr="00656136">
        <w:rPr>
          <w:rFonts w:ascii="Arial" w:hAnsi="Arial" w:cs="Arial"/>
        </w:rPr>
        <w:t>While no target has been set for this measure</w:t>
      </w:r>
      <w:r w:rsidR="00874EAB">
        <w:rPr>
          <w:rFonts w:ascii="Arial" w:hAnsi="Arial" w:cs="Arial"/>
        </w:rPr>
        <w:t>,</w:t>
      </w:r>
      <w:r w:rsidRPr="00656136">
        <w:rPr>
          <w:rFonts w:ascii="Arial" w:hAnsi="Arial" w:cs="Arial"/>
        </w:rPr>
        <w:t xml:space="preserve"> the one-year survival rate for those patients diagnosed with </w:t>
      </w:r>
      <w:r w:rsidR="006C7BF7">
        <w:rPr>
          <w:rFonts w:ascii="Arial" w:hAnsi="Arial" w:cs="Arial"/>
        </w:rPr>
        <w:t xml:space="preserve">ovarian </w:t>
      </w:r>
      <w:r w:rsidRPr="00656136">
        <w:rPr>
          <w:rFonts w:ascii="Arial" w:hAnsi="Arial" w:cs="Arial"/>
        </w:rPr>
        <w:t xml:space="preserve">cancer between 2010 and 2016 </w:t>
      </w:r>
      <w:r w:rsidR="006C7BF7">
        <w:rPr>
          <w:rFonts w:ascii="Arial" w:hAnsi="Arial" w:cs="Arial"/>
        </w:rPr>
        <w:t>decrease</w:t>
      </w:r>
      <w:r w:rsidR="00AA35AF">
        <w:rPr>
          <w:rFonts w:ascii="Arial" w:hAnsi="Arial" w:cs="Arial"/>
        </w:rPr>
        <w:t>d</w:t>
      </w:r>
      <w:r w:rsidR="00E645CF">
        <w:rPr>
          <w:rFonts w:ascii="Arial" w:hAnsi="Arial" w:cs="Arial"/>
        </w:rPr>
        <w:t>.</w:t>
      </w:r>
      <w:r w:rsidR="002E08FF">
        <w:br w:type="page"/>
      </w:r>
    </w:p>
    <w:p w14:paraId="49F8DBD9" w14:textId="780DCB8A" w:rsidR="005C15AA" w:rsidRDefault="005C15AA" w:rsidP="005C15AA">
      <w:pPr>
        <w:pStyle w:val="Heading3"/>
        <w:rPr>
          <w:lang w:eastAsia="en-AU"/>
        </w:rPr>
      </w:pPr>
      <w:bookmarkStart w:id="825" w:name="_Measure_13.5_–"/>
      <w:bookmarkStart w:id="826" w:name="_Toc19008162"/>
      <w:bookmarkEnd w:id="825"/>
      <w:r>
        <w:rPr>
          <w:lang w:eastAsia="en-AU"/>
        </w:rPr>
        <w:lastRenderedPageBreak/>
        <w:t>Measure 13.5 – One-year survival from colorectal cancer</w:t>
      </w:r>
      <w:bookmarkEnd w:id="826"/>
    </w:p>
    <w:p w14:paraId="4BC46981" w14:textId="30083E47" w:rsidR="00834BD5" w:rsidRDefault="00AC476D" w:rsidP="00441D5B">
      <w:pPr>
        <w:pStyle w:val="DHHSfigurecaption"/>
      </w:pPr>
      <w:bookmarkStart w:id="827" w:name="_Toc19008163"/>
      <w:bookmarkStart w:id="828" w:name="_Toc19008366"/>
      <w:bookmarkStart w:id="829" w:name="_Toc19008513"/>
      <w:bookmarkStart w:id="830" w:name="_Toc19008660"/>
      <w:bookmarkStart w:id="831" w:name="_Toc27414368"/>
      <w:r w:rsidRPr="00186FD9">
        <w:t>Figure 13.</w:t>
      </w:r>
      <w:r w:rsidR="00AD7B6E">
        <w:t>5</w:t>
      </w:r>
      <w:r w:rsidR="009D0E1A">
        <w:t>:</w:t>
      </w:r>
      <w:r w:rsidRPr="00186FD9">
        <w:t xml:space="preserve"> </w:t>
      </w:r>
      <w:r w:rsidR="00834BD5" w:rsidRPr="00416D08">
        <w:t>Trends in one-year relative survival</w:t>
      </w:r>
      <w:r w:rsidR="00834BD5">
        <w:t xml:space="preserve"> from colorectal cancer overall (A) and by sex (B), age (C), remoteness (D) and </w:t>
      </w:r>
      <w:r w:rsidR="008439C8">
        <w:t>ICS</w:t>
      </w:r>
      <w:r w:rsidR="00834BD5">
        <w:t xml:space="preserve"> (E)</w:t>
      </w:r>
      <w:r w:rsidR="00834BD5" w:rsidRPr="00416D08">
        <w:t>, Victoria</w:t>
      </w:r>
      <w:r w:rsidR="00834BD5">
        <w:t>,</w:t>
      </w:r>
      <w:r w:rsidR="00834BD5" w:rsidRPr="00416D08">
        <w:t xml:space="preserve"> by year, 2010</w:t>
      </w:r>
      <w:r w:rsidR="009D0E1A">
        <w:t>–</w:t>
      </w:r>
      <w:r w:rsidR="00834BD5" w:rsidRPr="00416D08">
        <w:t>2016</w:t>
      </w:r>
      <w:bookmarkEnd w:id="827"/>
      <w:bookmarkEnd w:id="828"/>
      <w:bookmarkEnd w:id="829"/>
      <w:bookmarkEnd w:id="830"/>
      <w:bookmarkEnd w:id="831"/>
    </w:p>
    <w:p w14:paraId="6308A2C6" w14:textId="77777777" w:rsidR="00AD1995" w:rsidRDefault="00AD1995" w:rsidP="00160602">
      <w:pPr>
        <w:pStyle w:val="DHHSbody"/>
        <w:numPr>
          <w:ilvl w:val="0"/>
          <w:numId w:val="17"/>
        </w:numPr>
        <w:ind w:left="488" w:hanging="425"/>
        <w:rPr>
          <w:b/>
          <w:lang w:eastAsia="en-AU"/>
        </w:rPr>
        <w:sectPr w:rsidR="00AD1995" w:rsidSect="006116E6">
          <w:type w:val="continuous"/>
          <w:pgSz w:w="11906" w:h="16838"/>
          <w:pgMar w:top="1701" w:right="849" w:bottom="1134" w:left="426" w:header="454" w:footer="510" w:gutter="0"/>
          <w:cols w:space="720"/>
          <w:docGrid w:linePitch="360"/>
        </w:sectPr>
      </w:pPr>
    </w:p>
    <w:p w14:paraId="15B565E1" w14:textId="04238DEE" w:rsidR="004A36A2" w:rsidRDefault="004A36A2" w:rsidP="00160602">
      <w:pPr>
        <w:pStyle w:val="DHHSbody"/>
        <w:numPr>
          <w:ilvl w:val="0"/>
          <w:numId w:val="17"/>
        </w:numPr>
        <w:ind w:left="426" w:hanging="363"/>
        <w:rPr>
          <w:b/>
          <w:lang w:eastAsia="en-AU"/>
        </w:rPr>
      </w:pPr>
      <w:r>
        <w:rPr>
          <w:b/>
          <w:lang w:eastAsia="en-AU"/>
        </w:rPr>
        <w:t>Overall</w:t>
      </w:r>
    </w:p>
    <w:p w14:paraId="4749EEF4" w14:textId="03FD400F" w:rsidR="004A36A2" w:rsidRDefault="002311CF" w:rsidP="00834BD5">
      <w:pPr>
        <w:pStyle w:val="DHHSbody"/>
        <w:rPr>
          <w:b/>
          <w:lang w:eastAsia="en-AU"/>
        </w:rPr>
      </w:pPr>
      <w:r>
        <w:rPr>
          <w:b/>
          <w:noProof/>
          <w:lang w:eastAsia="en-AU"/>
        </w:rPr>
        <w:drawing>
          <wp:inline distT="0" distB="0" distL="0" distR="0" wp14:anchorId="22DE8261" wp14:editId="3F3E1F4B">
            <wp:extent cx="3048000" cy="2057680"/>
            <wp:effectExtent l="0" t="0" r="0" b="0"/>
            <wp:docPr id="597" name="Picture 597" descr="This figure shows a data summary of 'Measure 13.5 – One-year survival from colorectal cancer'. Specially this figure focuses on the trends in one-year relative survival from colorectal cancer overall for the study period 2010-2016. The data set is available under 'Measure 13.5 – On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52194" cy="2060511"/>
                    </a:xfrm>
                    <a:prstGeom prst="rect">
                      <a:avLst/>
                    </a:prstGeom>
                    <a:noFill/>
                  </pic:spPr>
                </pic:pic>
              </a:graphicData>
            </a:graphic>
          </wp:inline>
        </w:drawing>
      </w:r>
    </w:p>
    <w:p w14:paraId="1E7CD2C8" w14:textId="6475EF5E" w:rsidR="00AD1995" w:rsidRDefault="00AD1995" w:rsidP="00160602">
      <w:pPr>
        <w:pStyle w:val="DHHSbody"/>
        <w:numPr>
          <w:ilvl w:val="0"/>
          <w:numId w:val="17"/>
        </w:numPr>
        <w:ind w:left="426" w:hanging="426"/>
        <w:rPr>
          <w:b/>
          <w:lang w:eastAsia="en-AU"/>
        </w:rPr>
      </w:pPr>
      <w:r>
        <w:rPr>
          <w:b/>
          <w:lang w:eastAsia="en-AU"/>
        </w:rPr>
        <w:t>Sex</w:t>
      </w:r>
    </w:p>
    <w:p w14:paraId="1B6CE2FC" w14:textId="3083A795" w:rsidR="00AD1995" w:rsidRDefault="002311CF" w:rsidP="00AD1995">
      <w:pPr>
        <w:pStyle w:val="DHHSbody"/>
        <w:rPr>
          <w:b/>
          <w:lang w:eastAsia="en-AU"/>
        </w:rPr>
      </w:pPr>
      <w:r>
        <w:rPr>
          <w:b/>
          <w:noProof/>
          <w:lang w:eastAsia="en-AU"/>
        </w:rPr>
        <w:drawing>
          <wp:inline distT="0" distB="0" distL="0" distR="0" wp14:anchorId="74F76899" wp14:editId="1ABEAA71">
            <wp:extent cx="3023616" cy="2080616"/>
            <wp:effectExtent l="0" t="0" r="5715" b="0"/>
            <wp:docPr id="598" name="Picture 598" descr="This figure shows a data summary of 'Measure 13.5 – One-year survival from colorectal cancer'. Specially this figure focuses on the trends in one-year relative survival from colorectal cancer by sex for the study period 2010-2016. The data set is available under 'Measure 13.5 – On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029526" cy="2084683"/>
                    </a:xfrm>
                    <a:prstGeom prst="rect">
                      <a:avLst/>
                    </a:prstGeom>
                    <a:noFill/>
                  </pic:spPr>
                </pic:pic>
              </a:graphicData>
            </a:graphic>
          </wp:inline>
        </w:drawing>
      </w:r>
    </w:p>
    <w:p w14:paraId="4B879A09" w14:textId="77777777" w:rsidR="00AD1995" w:rsidRDefault="00AD1995" w:rsidP="00AD1995">
      <w:pPr>
        <w:pStyle w:val="DHHSbody"/>
        <w:rPr>
          <w:b/>
          <w:lang w:eastAsia="en-AU"/>
        </w:rPr>
        <w:sectPr w:rsidR="00AD1995" w:rsidSect="00AD1995">
          <w:type w:val="continuous"/>
          <w:pgSz w:w="11906" w:h="16838"/>
          <w:pgMar w:top="1701" w:right="849" w:bottom="1134" w:left="426" w:header="454" w:footer="510" w:gutter="0"/>
          <w:cols w:num="2" w:space="720"/>
          <w:docGrid w:linePitch="360"/>
        </w:sectPr>
      </w:pPr>
    </w:p>
    <w:p w14:paraId="0A397077" w14:textId="4394792D" w:rsidR="004A36A2" w:rsidRDefault="004A36A2" w:rsidP="00160602">
      <w:pPr>
        <w:pStyle w:val="DHHSbody"/>
        <w:numPr>
          <w:ilvl w:val="0"/>
          <w:numId w:val="17"/>
        </w:numPr>
        <w:ind w:left="426" w:hanging="426"/>
        <w:rPr>
          <w:b/>
          <w:lang w:eastAsia="en-AU"/>
        </w:rPr>
      </w:pPr>
      <w:r>
        <w:rPr>
          <w:b/>
          <w:lang w:eastAsia="en-AU"/>
        </w:rPr>
        <w:t>Age</w:t>
      </w:r>
    </w:p>
    <w:p w14:paraId="5488BDD4" w14:textId="286D645E" w:rsidR="000F52F5" w:rsidRDefault="002311CF" w:rsidP="000F52F5">
      <w:pPr>
        <w:pStyle w:val="DHHSbody"/>
        <w:ind w:left="-142"/>
        <w:rPr>
          <w:b/>
          <w:lang w:eastAsia="en-AU"/>
        </w:rPr>
      </w:pPr>
      <w:r>
        <w:rPr>
          <w:b/>
          <w:noProof/>
          <w:lang w:eastAsia="en-AU"/>
        </w:rPr>
        <w:drawing>
          <wp:inline distT="0" distB="0" distL="0" distR="0" wp14:anchorId="21BD003A" wp14:editId="3E07685F">
            <wp:extent cx="3243072" cy="2311618"/>
            <wp:effectExtent l="0" t="0" r="0" b="0"/>
            <wp:docPr id="599" name="Picture 599" descr="This figure shows a data summary of 'Measure 13.5 – One-year survival from colorectal cancer'. Specially this figure focuses on the trends in one-year relative survival from colorectal cancer by age for the study period 2010-2016. The data set is available under 'Measure 13.5 – On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245519" cy="2313362"/>
                    </a:xfrm>
                    <a:prstGeom prst="rect">
                      <a:avLst/>
                    </a:prstGeom>
                    <a:noFill/>
                  </pic:spPr>
                </pic:pic>
              </a:graphicData>
            </a:graphic>
          </wp:inline>
        </w:drawing>
      </w:r>
    </w:p>
    <w:p w14:paraId="3AE0AFAD" w14:textId="0FA6E989" w:rsidR="00AD1995" w:rsidRDefault="00AD1995" w:rsidP="00160602">
      <w:pPr>
        <w:pStyle w:val="DHHSbody"/>
        <w:numPr>
          <w:ilvl w:val="0"/>
          <w:numId w:val="45"/>
        </w:numPr>
        <w:ind w:left="426" w:hanging="426"/>
        <w:rPr>
          <w:b/>
          <w:lang w:eastAsia="en-AU"/>
        </w:rPr>
      </w:pPr>
      <w:r>
        <w:rPr>
          <w:b/>
          <w:lang w:eastAsia="en-AU"/>
        </w:rPr>
        <w:t>Remoteness</w:t>
      </w:r>
    </w:p>
    <w:p w14:paraId="1159F83A" w14:textId="7DA535BA" w:rsidR="00AD1995" w:rsidRDefault="002311CF" w:rsidP="00AD1995">
      <w:pPr>
        <w:pStyle w:val="DHHSbody"/>
        <w:rPr>
          <w:b/>
          <w:lang w:eastAsia="en-AU"/>
        </w:rPr>
      </w:pPr>
      <w:r>
        <w:rPr>
          <w:b/>
          <w:noProof/>
          <w:lang w:eastAsia="en-AU"/>
        </w:rPr>
        <w:drawing>
          <wp:inline distT="0" distB="0" distL="0" distR="0" wp14:anchorId="72736233" wp14:editId="674B5887">
            <wp:extent cx="3108960" cy="2314810"/>
            <wp:effectExtent l="0" t="0" r="0" b="9525"/>
            <wp:docPr id="600" name="Picture 600" descr="This figure shows a data summary of 'Measure 13.5 – One-year survival from colorectal cancer'. Specially this figure focuses on the trends in one-year relative survival from colorectal cancer by remoteness for the study period 2010-2016. The data set is available under 'Measure 13.5 – On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111544" cy="2316734"/>
                    </a:xfrm>
                    <a:prstGeom prst="rect">
                      <a:avLst/>
                    </a:prstGeom>
                    <a:noFill/>
                  </pic:spPr>
                </pic:pic>
              </a:graphicData>
            </a:graphic>
          </wp:inline>
        </w:drawing>
      </w:r>
    </w:p>
    <w:p w14:paraId="49CD0EDB" w14:textId="77777777" w:rsidR="00F0711A" w:rsidRDefault="00F0711A" w:rsidP="00AD1995">
      <w:pPr>
        <w:pStyle w:val="DHHSbody"/>
        <w:rPr>
          <w:b/>
          <w:lang w:eastAsia="en-AU"/>
        </w:rPr>
        <w:sectPr w:rsidR="00F0711A" w:rsidSect="00F0711A">
          <w:type w:val="continuous"/>
          <w:pgSz w:w="11906" w:h="16838"/>
          <w:pgMar w:top="1701" w:right="849" w:bottom="1134" w:left="426" w:header="454" w:footer="510" w:gutter="0"/>
          <w:cols w:num="2" w:space="720"/>
          <w:docGrid w:linePitch="360"/>
        </w:sectPr>
      </w:pPr>
    </w:p>
    <w:p w14:paraId="59AF5D30" w14:textId="5F6182B8" w:rsidR="004A36A2" w:rsidRPr="000F52F5" w:rsidRDefault="004A36A2" w:rsidP="00160602">
      <w:pPr>
        <w:pStyle w:val="DHHSbody"/>
        <w:numPr>
          <w:ilvl w:val="0"/>
          <w:numId w:val="45"/>
        </w:numPr>
        <w:ind w:left="567" w:hanging="425"/>
        <w:rPr>
          <w:b/>
          <w:lang w:eastAsia="en-AU"/>
        </w:rPr>
      </w:pPr>
      <w:r>
        <w:rPr>
          <w:b/>
          <w:lang w:eastAsia="en-AU"/>
        </w:rPr>
        <w:t>Integrated Cancer Service</w:t>
      </w:r>
    </w:p>
    <w:p w14:paraId="1453B90E" w14:textId="2E60B44A" w:rsidR="004A36A2" w:rsidRDefault="002311CF" w:rsidP="004A36A2">
      <w:pPr>
        <w:pStyle w:val="DHHSbody"/>
        <w:rPr>
          <w:b/>
          <w:lang w:eastAsia="en-AU"/>
        </w:rPr>
      </w:pPr>
      <w:r>
        <w:rPr>
          <w:b/>
          <w:noProof/>
          <w:lang w:eastAsia="en-AU"/>
        </w:rPr>
        <w:drawing>
          <wp:inline distT="0" distB="0" distL="0" distR="0" wp14:anchorId="54944E35" wp14:editId="16B8810A">
            <wp:extent cx="6730365" cy="2615565"/>
            <wp:effectExtent l="0" t="0" r="0" b="0"/>
            <wp:docPr id="601" name="Picture 601" descr="This figure shows a data summary of 'Measure 13.5 – One-year survival from colorectal cancer'. Specially this figure focuses on the trends in one-year relative survival from colorectal cancer by Integrated Cancer Service for the study period 2010-2016. The data set is available under 'Measure 13.5 – On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741328" cy="2619825"/>
                    </a:xfrm>
                    <a:prstGeom prst="rect">
                      <a:avLst/>
                    </a:prstGeom>
                    <a:noFill/>
                  </pic:spPr>
                </pic:pic>
              </a:graphicData>
            </a:graphic>
          </wp:inline>
        </w:drawing>
      </w:r>
    </w:p>
    <w:p w14:paraId="18273318" w14:textId="511B6C54" w:rsidR="0073300D" w:rsidRPr="0073300D" w:rsidRDefault="0073300D" w:rsidP="0073300D">
      <w:pPr>
        <w:pStyle w:val="DHHStablefigurenote"/>
      </w:pPr>
      <w:r w:rsidRPr="0073300D">
        <w:t>Note: Appendix 2 provides the dataset</w:t>
      </w:r>
      <w:r w:rsidR="00DC2D82">
        <w:t>.</w:t>
      </w:r>
    </w:p>
    <w:p w14:paraId="0928A0F3" w14:textId="18F8412E" w:rsidR="002E08FF" w:rsidRPr="00671C7A" w:rsidRDefault="002E08FF" w:rsidP="002E08FF">
      <w:pPr>
        <w:pStyle w:val="Heading4"/>
        <w:rPr>
          <w:lang w:eastAsia="en-AU"/>
        </w:rPr>
      </w:pPr>
      <w:r>
        <w:rPr>
          <w:lang w:eastAsia="en-AU"/>
        </w:rPr>
        <w:lastRenderedPageBreak/>
        <w:t>Measure assessment</w:t>
      </w:r>
    </w:p>
    <w:p w14:paraId="08F379E7" w14:textId="2E517FB9" w:rsidR="00026CF2" w:rsidRPr="00026CF2" w:rsidRDefault="002E08FF"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5F7E72"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5388FB7A" w14:textId="700A65FF" w:rsidR="002E08FF" w:rsidRDefault="002E08FF" w:rsidP="0097280A">
      <w:pPr>
        <w:spacing w:after="120" w:line="270" w:lineRule="atLeast"/>
        <w:rPr>
          <w:rFonts w:ascii="Arial" w:hAnsi="Arial" w:cs="Arial"/>
        </w:rPr>
      </w:pPr>
      <w:r>
        <w:rPr>
          <w:rFonts w:ascii="Arial" w:hAnsi="Arial" w:cs="Arial"/>
        </w:rPr>
        <w:t xml:space="preserve">Overall trend: </w:t>
      </w:r>
      <w:r w:rsidR="005F7E72">
        <w:rPr>
          <w:rFonts w:ascii="Arial" w:hAnsi="Arial" w:cs="Arial"/>
        </w:rPr>
        <w:t>Static or unchanging</w:t>
      </w:r>
    </w:p>
    <w:p w14:paraId="3D697832" w14:textId="41621AC9" w:rsidR="006C50CE" w:rsidRDefault="002E08FF" w:rsidP="009868BC">
      <w:pPr>
        <w:pStyle w:val="DHHSbody"/>
        <w:rPr>
          <w:rFonts w:cs="Arial"/>
        </w:rPr>
      </w:pPr>
      <w:r w:rsidRPr="009964FA">
        <w:rPr>
          <w:rFonts w:cs="Arial"/>
          <w:lang w:eastAsia="en-AU"/>
        </w:rPr>
        <w:t>Commentary:</w:t>
      </w:r>
      <w:r w:rsidR="00A85C5C">
        <w:rPr>
          <w:rFonts w:cs="Arial"/>
          <w:lang w:eastAsia="en-AU"/>
        </w:rPr>
        <w:t xml:space="preserve"> </w:t>
      </w:r>
      <w:r w:rsidR="004C102D">
        <w:rPr>
          <w:rFonts w:cs="Arial"/>
          <w:lang w:eastAsia="en-AU"/>
        </w:rPr>
        <w:t>CRC</w:t>
      </w:r>
      <w:r w:rsidR="005F7E72">
        <w:rPr>
          <w:rFonts w:cs="Arial"/>
          <w:lang w:eastAsia="en-AU"/>
        </w:rPr>
        <w:t xml:space="preserve"> </w:t>
      </w:r>
      <w:r w:rsidR="004C102D">
        <w:rPr>
          <w:rFonts w:cs="Arial"/>
          <w:lang w:eastAsia="en-AU"/>
        </w:rPr>
        <w:t>is a disease characteris</w:t>
      </w:r>
      <w:r w:rsidR="004C102D" w:rsidRPr="004C102D">
        <w:rPr>
          <w:rFonts w:cs="Arial"/>
          <w:lang w:eastAsia="en-AU"/>
        </w:rPr>
        <w:t xml:space="preserve">ed by </w:t>
      </w:r>
      <w:r w:rsidR="008336E6">
        <w:rPr>
          <w:rFonts w:cs="Arial"/>
          <w:lang w:eastAsia="en-AU"/>
        </w:rPr>
        <w:t xml:space="preserve">abnormal cells </w:t>
      </w:r>
      <w:r w:rsidR="00AA35AF">
        <w:rPr>
          <w:rFonts w:cs="Arial"/>
          <w:lang w:eastAsia="en-AU"/>
        </w:rPr>
        <w:t xml:space="preserve">that </w:t>
      </w:r>
      <w:r w:rsidR="008336E6">
        <w:rPr>
          <w:rFonts w:cs="Arial"/>
          <w:lang w:eastAsia="en-AU"/>
        </w:rPr>
        <w:t xml:space="preserve">grow </w:t>
      </w:r>
      <w:r w:rsidR="004C102D" w:rsidRPr="004C102D">
        <w:rPr>
          <w:rFonts w:cs="Arial"/>
          <w:lang w:eastAsia="en-AU"/>
        </w:rPr>
        <w:t>in the colon or rectum</w:t>
      </w:r>
      <w:r w:rsidR="008336E6">
        <w:rPr>
          <w:rFonts w:cs="Arial"/>
          <w:lang w:eastAsia="en-AU"/>
        </w:rPr>
        <w:t>.</w:t>
      </w:r>
      <w:r w:rsidR="008336E6" w:rsidRPr="008336E6">
        <w:rPr>
          <w:rFonts w:cs="Arial"/>
        </w:rPr>
        <w:t xml:space="preserve"> </w:t>
      </w:r>
      <w:r w:rsidR="008336E6" w:rsidRPr="004C102D">
        <w:rPr>
          <w:rFonts w:cs="Arial"/>
        </w:rPr>
        <w:t>Survival depends on the stage of the tumour at detection</w:t>
      </w:r>
      <w:r w:rsidR="008336E6">
        <w:rPr>
          <w:rFonts w:cs="Arial"/>
        </w:rPr>
        <w:t xml:space="preserve">. </w:t>
      </w:r>
      <w:r w:rsidR="004649B7">
        <w:rPr>
          <w:rFonts w:cs="Arial"/>
        </w:rPr>
        <w:t>However,</w:t>
      </w:r>
      <w:r w:rsidR="008336E6">
        <w:rPr>
          <w:rFonts w:cs="Arial"/>
        </w:rPr>
        <w:t xml:space="preserve"> because CRC </w:t>
      </w:r>
      <w:r w:rsidR="008336E6" w:rsidRPr="004C102D">
        <w:rPr>
          <w:rFonts w:cs="Arial"/>
        </w:rPr>
        <w:t xml:space="preserve">often produces symptoms </w:t>
      </w:r>
      <w:r w:rsidR="008336E6">
        <w:rPr>
          <w:rFonts w:cs="Arial"/>
        </w:rPr>
        <w:t>at an early enough stage</w:t>
      </w:r>
      <w:r w:rsidR="00AA35AF">
        <w:rPr>
          <w:rFonts w:cs="Arial"/>
        </w:rPr>
        <w:t xml:space="preserve"> </w:t>
      </w:r>
      <w:r w:rsidR="008336E6">
        <w:rPr>
          <w:rFonts w:cs="Arial"/>
        </w:rPr>
        <w:t>that</w:t>
      </w:r>
      <w:r w:rsidR="008336E6" w:rsidRPr="004C102D">
        <w:rPr>
          <w:rFonts w:cs="Arial"/>
        </w:rPr>
        <w:t xml:space="preserve"> </w:t>
      </w:r>
      <w:r w:rsidR="00AA35AF">
        <w:rPr>
          <w:rFonts w:cs="Arial"/>
        </w:rPr>
        <w:t>is</w:t>
      </w:r>
      <w:r w:rsidR="008336E6" w:rsidRPr="004C102D">
        <w:rPr>
          <w:rFonts w:cs="Arial"/>
        </w:rPr>
        <w:t xml:space="preserve"> treatable, survival rates are relatively high</w:t>
      </w:r>
      <w:r w:rsidR="008336E6">
        <w:rPr>
          <w:rFonts w:cs="Arial"/>
        </w:rPr>
        <w:t>.</w:t>
      </w:r>
      <w:r w:rsidR="008336E6">
        <w:rPr>
          <w:rStyle w:val="FootnoteReference"/>
          <w:rFonts w:cs="Arial"/>
        </w:rPr>
        <w:footnoteReference w:id="152"/>
      </w:r>
      <w:r w:rsidR="005F7E72">
        <w:rPr>
          <w:rFonts w:cs="Arial"/>
        </w:rPr>
        <w:t xml:space="preserve"> </w:t>
      </w:r>
    </w:p>
    <w:p w14:paraId="6310078D" w14:textId="13968FD1" w:rsidR="008336E6" w:rsidRDefault="005F7E72" w:rsidP="009868BC">
      <w:pPr>
        <w:pStyle w:val="DHHSbody"/>
        <w:rPr>
          <w:rFonts w:cs="Arial"/>
          <w:lang w:eastAsia="en-AU"/>
        </w:rPr>
      </w:pPr>
      <w:r w:rsidRPr="004C102D">
        <w:rPr>
          <w:rFonts w:cs="Arial"/>
          <w:lang w:eastAsia="en-AU"/>
        </w:rPr>
        <w:t>In Australia</w:t>
      </w:r>
      <w:r w:rsidR="00AA35AF">
        <w:rPr>
          <w:rFonts w:cs="Arial"/>
          <w:lang w:eastAsia="en-AU"/>
        </w:rPr>
        <w:t>,</w:t>
      </w:r>
      <w:r w:rsidRPr="004C102D">
        <w:rPr>
          <w:rFonts w:cs="Arial"/>
          <w:lang w:eastAsia="en-AU"/>
        </w:rPr>
        <w:t xml:space="preserve"> survival for people diagnosed with </w:t>
      </w:r>
      <w:r w:rsidR="00CC5CC5">
        <w:rPr>
          <w:rFonts w:cs="Arial"/>
          <w:lang w:eastAsia="en-AU"/>
        </w:rPr>
        <w:t>CRC</w:t>
      </w:r>
      <w:r w:rsidRPr="004C102D">
        <w:rPr>
          <w:rFonts w:cs="Arial"/>
          <w:lang w:eastAsia="en-AU"/>
        </w:rPr>
        <w:t xml:space="preserve"> in 2011 was 86 per cent at one year from diagnosis.</w:t>
      </w:r>
      <w:r>
        <w:rPr>
          <w:rStyle w:val="FootnoteReference"/>
          <w:rFonts w:cs="Arial"/>
          <w:lang w:eastAsia="en-AU"/>
        </w:rPr>
        <w:footnoteReference w:id="153"/>
      </w:r>
      <w:r w:rsidR="006C50CE">
        <w:rPr>
          <w:rFonts w:cs="Arial"/>
          <w:lang w:eastAsia="en-AU"/>
        </w:rPr>
        <w:t xml:space="preserve"> </w:t>
      </w:r>
      <w:r w:rsidR="008336E6">
        <w:rPr>
          <w:rFonts w:cs="Arial"/>
          <w:lang w:eastAsia="en-AU"/>
        </w:rPr>
        <w:t xml:space="preserve">Figure 13.5 </w:t>
      </w:r>
      <w:r>
        <w:rPr>
          <w:rFonts w:cs="Arial"/>
          <w:lang w:eastAsia="en-AU"/>
        </w:rPr>
        <w:t xml:space="preserve">(A) </w:t>
      </w:r>
      <w:r w:rsidR="008336E6">
        <w:rPr>
          <w:rFonts w:cs="Arial"/>
          <w:lang w:eastAsia="en-AU"/>
        </w:rPr>
        <w:t>shows that</w:t>
      </w:r>
      <w:r>
        <w:rPr>
          <w:rFonts w:cs="Arial"/>
          <w:lang w:eastAsia="en-AU"/>
        </w:rPr>
        <w:t xml:space="preserve"> in Victoria</w:t>
      </w:r>
      <w:r w:rsidR="008336E6">
        <w:rPr>
          <w:rFonts w:cs="Arial"/>
          <w:lang w:eastAsia="en-AU"/>
        </w:rPr>
        <w:t xml:space="preserve"> the relative survival rate for CRC </w:t>
      </w:r>
      <w:r w:rsidR="006C50CE">
        <w:rPr>
          <w:rFonts w:cs="Arial"/>
          <w:lang w:eastAsia="en-AU"/>
        </w:rPr>
        <w:t xml:space="preserve">was similar to the national figure </w:t>
      </w:r>
      <w:r w:rsidR="008336E6">
        <w:rPr>
          <w:rFonts w:cs="Arial"/>
          <w:lang w:eastAsia="en-AU"/>
        </w:rPr>
        <w:t xml:space="preserve">at one year following diagnosis </w:t>
      </w:r>
      <w:r w:rsidR="006C50CE">
        <w:rPr>
          <w:rFonts w:cs="Arial"/>
          <w:lang w:eastAsia="en-AU"/>
        </w:rPr>
        <w:t xml:space="preserve">ranging </w:t>
      </w:r>
      <w:r>
        <w:rPr>
          <w:rFonts w:cs="Arial"/>
          <w:lang w:eastAsia="en-AU"/>
        </w:rPr>
        <w:t>from 85.4 per cent (2010) to 86.8</w:t>
      </w:r>
      <w:r w:rsidR="006C50CE">
        <w:rPr>
          <w:rFonts w:cs="Arial"/>
          <w:lang w:eastAsia="en-AU"/>
        </w:rPr>
        <w:t xml:space="preserve"> per cent (2016</w:t>
      </w:r>
      <w:r>
        <w:rPr>
          <w:rFonts w:cs="Arial"/>
          <w:lang w:eastAsia="en-AU"/>
        </w:rPr>
        <w:t>).</w:t>
      </w:r>
      <w:r w:rsidR="00952FC7">
        <w:rPr>
          <w:rFonts w:cs="Arial"/>
          <w:lang w:eastAsia="en-AU"/>
        </w:rPr>
        <w:t xml:space="preserve"> </w:t>
      </w:r>
      <w:r w:rsidR="004649B7">
        <w:rPr>
          <w:rFonts w:cs="Arial"/>
          <w:lang w:eastAsia="en-AU"/>
        </w:rPr>
        <w:t>Survival did not vary between the genders</w:t>
      </w:r>
      <w:r w:rsidR="00AA35AF">
        <w:rPr>
          <w:rFonts w:cs="Arial"/>
          <w:lang w:eastAsia="en-AU"/>
        </w:rPr>
        <w:t>,</w:t>
      </w:r>
      <w:r w:rsidR="004649B7">
        <w:rPr>
          <w:rFonts w:cs="Arial"/>
          <w:lang w:eastAsia="en-AU"/>
        </w:rPr>
        <w:t xml:space="preserve"> although in 2016 females had higher survival than males (Figure 13.5 (B)).</w:t>
      </w:r>
      <w:r w:rsidR="00952FC7">
        <w:rPr>
          <w:rFonts w:cs="Arial"/>
          <w:lang w:eastAsia="en-AU"/>
        </w:rPr>
        <w:t xml:space="preserve"> </w:t>
      </w:r>
      <w:r w:rsidR="004649B7">
        <w:rPr>
          <w:rFonts w:cs="Arial"/>
          <w:lang w:eastAsia="en-AU"/>
        </w:rPr>
        <w:t>Survival did not</w:t>
      </w:r>
      <w:r w:rsidR="00CC5CC5">
        <w:rPr>
          <w:rFonts w:cs="Arial"/>
          <w:lang w:eastAsia="en-AU"/>
        </w:rPr>
        <w:t xml:space="preserve"> also</w:t>
      </w:r>
      <w:r w:rsidR="004649B7">
        <w:rPr>
          <w:rFonts w:cs="Arial"/>
          <w:lang w:eastAsia="en-AU"/>
        </w:rPr>
        <w:t xml:space="preserve"> vary much under the age of 74 years but d</w:t>
      </w:r>
      <w:r w:rsidR="00710006">
        <w:rPr>
          <w:rFonts w:cs="Arial"/>
          <w:lang w:eastAsia="en-AU"/>
        </w:rPr>
        <w:t>ecreased</w:t>
      </w:r>
      <w:r w:rsidR="004649B7">
        <w:rPr>
          <w:rFonts w:cs="Arial"/>
          <w:lang w:eastAsia="en-AU"/>
        </w:rPr>
        <w:t xml:space="preserve"> for those aged 75 years </w:t>
      </w:r>
      <w:r w:rsidR="001B50BF">
        <w:rPr>
          <w:rFonts w:cs="Arial"/>
          <w:lang w:eastAsia="en-AU"/>
        </w:rPr>
        <w:t xml:space="preserve">or </w:t>
      </w:r>
      <w:r w:rsidR="004649B7">
        <w:rPr>
          <w:rFonts w:cs="Arial"/>
          <w:lang w:eastAsia="en-AU"/>
        </w:rPr>
        <w:t>older.</w:t>
      </w:r>
    </w:p>
    <w:p w14:paraId="01035A67" w14:textId="2C2CA65A" w:rsidR="004649B7" w:rsidRPr="00656136" w:rsidRDefault="004649B7" w:rsidP="009868BC">
      <w:pPr>
        <w:pStyle w:val="DHHSbody"/>
      </w:pPr>
      <w:r w:rsidRPr="00656136">
        <w:t>There was no difference between survival and remoteness (Figure 13.</w:t>
      </w:r>
      <w:r w:rsidR="009868BC">
        <w:t>5</w:t>
      </w:r>
      <w:r w:rsidRPr="00656136">
        <w:t xml:space="preserve"> (C)) and </w:t>
      </w:r>
      <w:r w:rsidR="008439C8">
        <w:t>ICS</w:t>
      </w:r>
      <w:r w:rsidRPr="00656136">
        <w:t xml:space="preserve"> (Figure 13.</w:t>
      </w:r>
      <w:r w:rsidR="009868BC">
        <w:t>5</w:t>
      </w:r>
      <w:r w:rsidRPr="00656136">
        <w:t xml:space="preserve"> (D))</w:t>
      </w:r>
      <w:r w:rsidR="00CA067E">
        <w:t>. However,</w:t>
      </w:r>
      <w:r w:rsidRPr="00656136">
        <w:t xml:space="preserve"> caution should be taken when interpreting these results </w:t>
      </w:r>
      <w:r w:rsidR="00AA35AF">
        <w:t>because</w:t>
      </w:r>
      <w:r w:rsidR="00AA35AF" w:rsidRPr="00656136">
        <w:t xml:space="preserve"> </w:t>
      </w:r>
      <w:r w:rsidRPr="00656136">
        <w:t xml:space="preserve">the wide confidence intervals denote a small sample size that may not be well representative </w:t>
      </w:r>
      <w:r w:rsidR="00AA35AF">
        <w:t>of</w:t>
      </w:r>
      <w:r w:rsidR="00AA35AF" w:rsidRPr="00656136">
        <w:t xml:space="preserve"> </w:t>
      </w:r>
      <w:r w:rsidRPr="00656136">
        <w:t>the population</w:t>
      </w:r>
      <w:r w:rsidR="005B248D">
        <w:t>.</w:t>
      </w:r>
    </w:p>
    <w:p w14:paraId="1B7B852A" w14:textId="4EEA3533" w:rsidR="002E08FF" w:rsidRDefault="004649B7" w:rsidP="009868BC">
      <w:pPr>
        <w:spacing w:after="120" w:line="270" w:lineRule="atLeast"/>
        <w:rPr>
          <w:rFonts w:ascii="Arial" w:eastAsia="MS Gothic" w:hAnsi="Arial"/>
          <w:b/>
          <w:bCs/>
          <w:sz w:val="24"/>
          <w:szCs w:val="26"/>
        </w:rPr>
      </w:pPr>
      <w:r w:rsidRPr="00ED144E">
        <w:rPr>
          <w:rFonts w:ascii="Arial" w:hAnsi="Arial" w:cs="Arial"/>
        </w:rPr>
        <w:t>While no target has been set for this measure</w:t>
      </w:r>
      <w:r w:rsidR="00AA35AF" w:rsidRPr="00ED144E">
        <w:rPr>
          <w:rFonts w:ascii="Arial" w:hAnsi="Arial" w:cs="Arial"/>
        </w:rPr>
        <w:t>,</w:t>
      </w:r>
      <w:r w:rsidRPr="00ED144E">
        <w:rPr>
          <w:rFonts w:ascii="Arial" w:hAnsi="Arial" w:cs="Arial"/>
        </w:rPr>
        <w:t xml:space="preserve"> the </w:t>
      </w:r>
      <w:r w:rsidR="009868BC" w:rsidRPr="00ED144E">
        <w:rPr>
          <w:rFonts w:ascii="Arial" w:hAnsi="Arial" w:cs="Arial"/>
        </w:rPr>
        <w:t xml:space="preserve">higher </w:t>
      </w:r>
      <w:r w:rsidRPr="00ED144E">
        <w:rPr>
          <w:rFonts w:ascii="Arial" w:hAnsi="Arial" w:cs="Arial"/>
        </w:rPr>
        <w:t>one-year survival rate</w:t>
      </w:r>
      <w:r w:rsidR="009868BC" w:rsidRPr="00ED144E">
        <w:rPr>
          <w:rFonts w:ascii="Arial" w:hAnsi="Arial" w:cs="Arial"/>
        </w:rPr>
        <w:t>s</w:t>
      </w:r>
      <w:r w:rsidRPr="00ED144E">
        <w:rPr>
          <w:rFonts w:ascii="Arial" w:hAnsi="Arial" w:cs="Arial"/>
        </w:rPr>
        <w:t xml:space="preserve"> for those patients diagnosed with</w:t>
      </w:r>
      <w:r w:rsidR="009868BC" w:rsidRPr="00ED144E">
        <w:rPr>
          <w:rFonts w:ascii="Arial" w:hAnsi="Arial" w:cs="Arial"/>
        </w:rPr>
        <w:t xml:space="preserve"> </w:t>
      </w:r>
      <w:r w:rsidR="00CC5CC5" w:rsidRPr="00ED144E">
        <w:rPr>
          <w:rFonts w:ascii="Arial" w:hAnsi="Arial" w:cs="Arial"/>
        </w:rPr>
        <w:t>CRC</w:t>
      </w:r>
      <w:r w:rsidRPr="00ED144E">
        <w:rPr>
          <w:rFonts w:ascii="Arial" w:hAnsi="Arial" w:cs="Arial"/>
        </w:rPr>
        <w:t xml:space="preserve"> between 2010 and 2016 </w:t>
      </w:r>
      <w:r w:rsidR="009868BC" w:rsidRPr="00ED144E">
        <w:rPr>
          <w:rFonts w:ascii="Arial" w:hAnsi="Arial" w:cs="Arial"/>
        </w:rPr>
        <w:t xml:space="preserve">compared </w:t>
      </w:r>
      <w:r w:rsidR="001B50BF" w:rsidRPr="00ED144E">
        <w:rPr>
          <w:rFonts w:ascii="Arial" w:hAnsi="Arial" w:cs="Arial"/>
        </w:rPr>
        <w:t xml:space="preserve">with </w:t>
      </w:r>
      <w:r w:rsidR="009868BC" w:rsidRPr="00ED144E">
        <w:rPr>
          <w:rFonts w:ascii="Arial" w:hAnsi="Arial" w:cs="Arial"/>
        </w:rPr>
        <w:t xml:space="preserve">other cancers </w:t>
      </w:r>
      <w:r w:rsidRPr="00ED144E">
        <w:rPr>
          <w:rFonts w:ascii="Arial" w:hAnsi="Arial" w:cs="Arial"/>
        </w:rPr>
        <w:t xml:space="preserve">shows a </w:t>
      </w:r>
      <w:r w:rsidR="00ED144E" w:rsidRPr="00ED144E">
        <w:rPr>
          <w:rFonts w:ascii="Arial" w:hAnsi="Arial" w:cs="Arial"/>
        </w:rPr>
        <w:t>gradual</w:t>
      </w:r>
      <w:r w:rsidRPr="00ED144E">
        <w:rPr>
          <w:rFonts w:ascii="Arial" w:hAnsi="Arial" w:cs="Arial"/>
        </w:rPr>
        <w:t xml:space="preserve"> improvement in the proportion of those surviving the one-year period</w:t>
      </w:r>
      <w:r w:rsidR="00ED144E">
        <w:rPr>
          <w:rFonts w:ascii="Arial" w:hAnsi="Arial" w:cs="Arial"/>
        </w:rPr>
        <w:t xml:space="preserve"> over time</w:t>
      </w:r>
      <w:r w:rsidRPr="00656136">
        <w:rPr>
          <w:rFonts w:ascii="Arial" w:hAnsi="Arial" w:cs="Arial"/>
        </w:rPr>
        <w:t>.</w:t>
      </w:r>
      <w:r w:rsidR="002E08FF">
        <w:br w:type="page"/>
      </w:r>
    </w:p>
    <w:p w14:paraId="6B16EF51" w14:textId="474558C3" w:rsidR="005C15AA" w:rsidRDefault="005C15AA" w:rsidP="005C15AA">
      <w:pPr>
        <w:pStyle w:val="Heading3"/>
        <w:rPr>
          <w:lang w:eastAsia="en-AU"/>
        </w:rPr>
      </w:pPr>
      <w:bookmarkStart w:id="832" w:name="_Measure_13.6_–"/>
      <w:bookmarkStart w:id="833" w:name="_Toc19008164"/>
      <w:bookmarkEnd w:id="832"/>
      <w:r>
        <w:rPr>
          <w:lang w:eastAsia="en-AU"/>
        </w:rPr>
        <w:lastRenderedPageBreak/>
        <w:t>Measure 13.6 – One-year survival from brain cancer</w:t>
      </w:r>
      <w:r w:rsidR="007A0ACC">
        <w:rPr>
          <w:lang w:eastAsia="en-AU"/>
        </w:rPr>
        <w:t xml:space="preserve"> (C70</w:t>
      </w:r>
      <w:r w:rsidR="00AA35AF">
        <w:rPr>
          <w:lang w:eastAsia="en-AU"/>
        </w:rPr>
        <w:t>–</w:t>
      </w:r>
      <w:r w:rsidR="007A0ACC">
        <w:rPr>
          <w:lang w:eastAsia="en-AU"/>
        </w:rPr>
        <w:t>C72)</w:t>
      </w:r>
      <w:bookmarkEnd w:id="833"/>
    </w:p>
    <w:p w14:paraId="0671E9BF" w14:textId="04125215" w:rsidR="00661DD8" w:rsidRDefault="00CA0CDB" w:rsidP="00441D5B">
      <w:pPr>
        <w:pStyle w:val="DHHSfigurecaption"/>
      </w:pPr>
      <w:bookmarkStart w:id="834" w:name="_Toc19008165"/>
      <w:bookmarkStart w:id="835" w:name="_Toc19008367"/>
      <w:bookmarkStart w:id="836" w:name="_Toc19008514"/>
      <w:bookmarkStart w:id="837" w:name="_Toc19008661"/>
      <w:bookmarkStart w:id="838" w:name="_Toc27414369"/>
      <w:r w:rsidRPr="00186FD9">
        <w:t>Figure 13.</w:t>
      </w:r>
      <w:r>
        <w:t>6</w:t>
      </w:r>
      <w:r w:rsidR="009D0E1A">
        <w:t>:</w:t>
      </w:r>
      <w:r w:rsidR="00661DD8">
        <w:t xml:space="preserve"> </w:t>
      </w:r>
      <w:r w:rsidR="00661DD8" w:rsidRPr="00416D08">
        <w:t>Trends in one-year relative survival</w:t>
      </w:r>
      <w:r w:rsidR="00661DD8">
        <w:t xml:space="preserve"> from brain cancer overall (A) and by sex (B), age (C), remoteness (D) and </w:t>
      </w:r>
      <w:r w:rsidR="008439C8">
        <w:t>ICS</w:t>
      </w:r>
      <w:r w:rsidR="00661DD8">
        <w:t xml:space="preserve"> (E)</w:t>
      </w:r>
      <w:r w:rsidR="00661DD8" w:rsidRPr="00416D08">
        <w:t>, Victoria</w:t>
      </w:r>
      <w:r w:rsidR="00661DD8">
        <w:t>,</w:t>
      </w:r>
      <w:r w:rsidR="00661DD8" w:rsidRPr="00416D08">
        <w:t xml:space="preserve"> by year, 2010</w:t>
      </w:r>
      <w:r w:rsidR="009D0E1A">
        <w:t>–</w:t>
      </w:r>
      <w:r w:rsidR="00661DD8" w:rsidRPr="00416D08">
        <w:t>2016</w:t>
      </w:r>
      <w:bookmarkEnd w:id="834"/>
      <w:bookmarkEnd w:id="835"/>
      <w:bookmarkEnd w:id="836"/>
      <w:bookmarkEnd w:id="837"/>
      <w:bookmarkEnd w:id="838"/>
    </w:p>
    <w:p w14:paraId="195200E0" w14:textId="77777777" w:rsidR="00523277" w:rsidRDefault="00523277" w:rsidP="00160602">
      <w:pPr>
        <w:pStyle w:val="DHHSbody"/>
        <w:numPr>
          <w:ilvl w:val="0"/>
          <w:numId w:val="24"/>
        </w:numPr>
        <w:ind w:left="346" w:hanging="346"/>
        <w:rPr>
          <w:b/>
          <w:lang w:eastAsia="en-AU"/>
        </w:rPr>
        <w:sectPr w:rsidR="00523277" w:rsidSect="006116E6">
          <w:type w:val="continuous"/>
          <w:pgSz w:w="11906" w:h="16838"/>
          <w:pgMar w:top="1701" w:right="849" w:bottom="1134" w:left="426" w:header="454" w:footer="510" w:gutter="0"/>
          <w:cols w:space="720"/>
          <w:docGrid w:linePitch="360"/>
        </w:sectPr>
      </w:pPr>
    </w:p>
    <w:p w14:paraId="3B983F82" w14:textId="735830B8" w:rsidR="00523277" w:rsidRDefault="003611F2" w:rsidP="00160602">
      <w:pPr>
        <w:pStyle w:val="DHHSbody"/>
        <w:numPr>
          <w:ilvl w:val="0"/>
          <w:numId w:val="24"/>
        </w:numPr>
        <w:ind w:left="346" w:hanging="346"/>
        <w:rPr>
          <w:b/>
          <w:lang w:eastAsia="en-AU"/>
        </w:rPr>
      </w:pPr>
      <w:r>
        <w:rPr>
          <w:b/>
          <w:lang w:eastAsia="en-AU"/>
        </w:rPr>
        <w:t>Overall</w:t>
      </w:r>
    </w:p>
    <w:p w14:paraId="0EE426BD" w14:textId="358833D8" w:rsidR="00523277" w:rsidRDefault="003A2F58" w:rsidP="00523277">
      <w:pPr>
        <w:pStyle w:val="DHHSbody"/>
        <w:rPr>
          <w:lang w:eastAsia="en-AU"/>
        </w:rPr>
      </w:pPr>
      <w:r>
        <w:rPr>
          <w:noProof/>
          <w:lang w:eastAsia="en-AU"/>
        </w:rPr>
        <w:drawing>
          <wp:inline distT="0" distB="0" distL="0" distR="0" wp14:anchorId="1F568D44" wp14:editId="4817ADF3">
            <wp:extent cx="3093156" cy="1984016"/>
            <wp:effectExtent l="0" t="0" r="0" b="0"/>
            <wp:docPr id="602" name="Picture 602" descr="This figure shows a data summary of 'Measure 13.6 – One-year survival from brain cancer'. Specially this figure focuses on the trends in one-year relative survival from brain cancer overall for the study period 2010-2016. The data set is available under 'Measure 13.6 – On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94413" cy="1984822"/>
                    </a:xfrm>
                    <a:prstGeom prst="rect">
                      <a:avLst/>
                    </a:prstGeom>
                    <a:noFill/>
                  </pic:spPr>
                </pic:pic>
              </a:graphicData>
            </a:graphic>
          </wp:inline>
        </w:drawing>
      </w:r>
    </w:p>
    <w:p w14:paraId="3281C2A2" w14:textId="53ABBE2F" w:rsidR="003611F2" w:rsidRDefault="003611F2" w:rsidP="00160602">
      <w:pPr>
        <w:pStyle w:val="DHHSbody"/>
        <w:keepNext/>
        <w:numPr>
          <w:ilvl w:val="0"/>
          <w:numId w:val="24"/>
        </w:numPr>
        <w:ind w:left="346" w:hanging="346"/>
        <w:rPr>
          <w:b/>
          <w:lang w:eastAsia="en-AU"/>
        </w:rPr>
      </w:pPr>
      <w:r>
        <w:rPr>
          <w:b/>
          <w:lang w:eastAsia="en-AU"/>
        </w:rPr>
        <w:t>Sex</w:t>
      </w:r>
    </w:p>
    <w:p w14:paraId="7EABF3C0" w14:textId="12FEDACC" w:rsidR="003A2F58" w:rsidRPr="003A2F58" w:rsidRDefault="003A2F58" w:rsidP="003A2F58">
      <w:pPr>
        <w:pStyle w:val="DHHSbody"/>
      </w:pPr>
      <w:r>
        <w:rPr>
          <w:noProof/>
        </w:rPr>
        <w:drawing>
          <wp:inline distT="0" distB="0" distL="0" distR="0" wp14:anchorId="57371E99" wp14:editId="3EDD2E05">
            <wp:extent cx="3081867" cy="2014584"/>
            <wp:effectExtent l="0" t="0" r="4445" b="5080"/>
            <wp:docPr id="603" name="Picture 603" descr="This figure shows a data summary of 'Measure 13.6 – One-year survival from brain cancer'. Specially this figure focuses on the trends in one-year relative survival from brain cancer by sex for the study period 2010-2016. The data set is available under 'Measure 13.6 – On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82981" cy="2015312"/>
                    </a:xfrm>
                    <a:prstGeom prst="rect">
                      <a:avLst/>
                    </a:prstGeom>
                    <a:noFill/>
                  </pic:spPr>
                </pic:pic>
              </a:graphicData>
            </a:graphic>
          </wp:inline>
        </w:drawing>
      </w:r>
    </w:p>
    <w:p w14:paraId="567EDE5C" w14:textId="0698F232" w:rsidR="00523277" w:rsidRDefault="00523277" w:rsidP="00661DD8">
      <w:pPr>
        <w:pStyle w:val="DHHSbody"/>
        <w:rPr>
          <w:b/>
          <w:lang w:eastAsia="en-AU"/>
        </w:rPr>
        <w:sectPr w:rsidR="00523277" w:rsidSect="00523277">
          <w:type w:val="continuous"/>
          <w:pgSz w:w="11906" w:h="16838"/>
          <w:pgMar w:top="1701" w:right="849" w:bottom="1134" w:left="426" w:header="454" w:footer="510" w:gutter="0"/>
          <w:cols w:num="2" w:space="720"/>
          <w:docGrid w:linePitch="360"/>
        </w:sectPr>
      </w:pPr>
    </w:p>
    <w:p w14:paraId="2FB45526" w14:textId="3C50BF5E" w:rsidR="00523277" w:rsidRDefault="003611F2" w:rsidP="00160602">
      <w:pPr>
        <w:pStyle w:val="DHHSbody"/>
        <w:numPr>
          <w:ilvl w:val="0"/>
          <w:numId w:val="23"/>
        </w:numPr>
        <w:ind w:left="342" w:hanging="342"/>
        <w:rPr>
          <w:b/>
          <w:lang w:eastAsia="en-AU"/>
        </w:rPr>
      </w:pPr>
      <w:r>
        <w:rPr>
          <w:b/>
          <w:lang w:eastAsia="en-AU"/>
        </w:rPr>
        <w:t>Age</w:t>
      </w:r>
    </w:p>
    <w:p w14:paraId="6DFB18C7" w14:textId="2C41AE6C" w:rsidR="00523277" w:rsidRDefault="003A2F58" w:rsidP="00523277">
      <w:pPr>
        <w:pStyle w:val="DHHSbody"/>
        <w:rPr>
          <w:lang w:eastAsia="en-AU"/>
        </w:rPr>
      </w:pPr>
      <w:r>
        <w:rPr>
          <w:noProof/>
          <w:lang w:eastAsia="en-AU"/>
        </w:rPr>
        <w:drawing>
          <wp:inline distT="0" distB="0" distL="0" distR="0" wp14:anchorId="3B450158" wp14:editId="0746B2AD">
            <wp:extent cx="3115734" cy="2416514"/>
            <wp:effectExtent l="0" t="0" r="8890" b="3175"/>
            <wp:docPr id="604" name="Picture 604" descr="This figure shows a data summary of 'Measure 13.6 – One-year survival from brain cancer'. Specially this figure focuses on the trends in one-year relative survival from brain cancer by age for the study period 2010-2016. The data set is available under 'Measure 13.6 – On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117226" cy="2417671"/>
                    </a:xfrm>
                    <a:prstGeom prst="rect">
                      <a:avLst/>
                    </a:prstGeom>
                    <a:noFill/>
                  </pic:spPr>
                </pic:pic>
              </a:graphicData>
            </a:graphic>
          </wp:inline>
        </w:drawing>
      </w:r>
    </w:p>
    <w:p w14:paraId="610B4BB9" w14:textId="36F4B580" w:rsidR="003611F2" w:rsidRDefault="003611F2" w:rsidP="00160602">
      <w:pPr>
        <w:pStyle w:val="DHHSbody"/>
        <w:numPr>
          <w:ilvl w:val="0"/>
          <w:numId w:val="23"/>
        </w:numPr>
        <w:ind w:left="342" w:hanging="342"/>
        <w:rPr>
          <w:b/>
          <w:lang w:eastAsia="en-AU"/>
        </w:rPr>
      </w:pPr>
      <w:r>
        <w:rPr>
          <w:b/>
          <w:lang w:eastAsia="en-AU"/>
        </w:rPr>
        <w:t>Remoteness</w:t>
      </w:r>
    </w:p>
    <w:p w14:paraId="33ECD358" w14:textId="402B2107" w:rsidR="003611F2" w:rsidRDefault="003A2F58" w:rsidP="00661DD8">
      <w:pPr>
        <w:pStyle w:val="DHHSbody"/>
        <w:rPr>
          <w:b/>
          <w:lang w:eastAsia="en-AU"/>
        </w:rPr>
      </w:pPr>
      <w:r>
        <w:rPr>
          <w:b/>
          <w:noProof/>
          <w:lang w:eastAsia="en-AU"/>
        </w:rPr>
        <w:drawing>
          <wp:inline distT="0" distB="0" distL="0" distR="0" wp14:anchorId="1421642F" wp14:editId="46942419">
            <wp:extent cx="3059289" cy="2400787"/>
            <wp:effectExtent l="0" t="0" r="8255" b="0"/>
            <wp:docPr id="605" name="Picture 605" descr="This figure shows a data summary of 'Measure 13.6 – One-year survival from brain cancer'. Specially this figure focuses on the trends in one-year relative survival from brain cancer by remoteness for the study period 2010-2016. The data set is available under 'Measure 13.6 – On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63004" cy="2403703"/>
                    </a:xfrm>
                    <a:prstGeom prst="rect">
                      <a:avLst/>
                    </a:prstGeom>
                    <a:noFill/>
                  </pic:spPr>
                </pic:pic>
              </a:graphicData>
            </a:graphic>
          </wp:inline>
        </w:drawing>
      </w:r>
    </w:p>
    <w:p w14:paraId="47788E35" w14:textId="77777777" w:rsidR="00523277" w:rsidRDefault="00523277" w:rsidP="00160602">
      <w:pPr>
        <w:pStyle w:val="DHHSbody"/>
        <w:numPr>
          <w:ilvl w:val="0"/>
          <w:numId w:val="25"/>
        </w:numPr>
        <w:ind w:left="343" w:hanging="343"/>
        <w:rPr>
          <w:b/>
          <w:lang w:eastAsia="en-AU"/>
        </w:rPr>
        <w:sectPr w:rsidR="00523277" w:rsidSect="00523277">
          <w:type w:val="continuous"/>
          <w:pgSz w:w="11906" w:h="16838"/>
          <w:pgMar w:top="1701" w:right="849" w:bottom="1134" w:left="426" w:header="454" w:footer="510" w:gutter="0"/>
          <w:cols w:num="2" w:space="720"/>
          <w:docGrid w:linePitch="360"/>
        </w:sectPr>
      </w:pPr>
    </w:p>
    <w:p w14:paraId="77465274" w14:textId="79F858EE" w:rsidR="003611F2" w:rsidRPr="003611F2" w:rsidRDefault="003611F2" w:rsidP="00160602">
      <w:pPr>
        <w:pStyle w:val="DHHSbody"/>
        <w:numPr>
          <w:ilvl w:val="0"/>
          <w:numId w:val="25"/>
        </w:numPr>
        <w:ind w:left="343" w:hanging="343"/>
        <w:rPr>
          <w:b/>
          <w:lang w:eastAsia="en-AU"/>
        </w:rPr>
      </w:pPr>
      <w:r>
        <w:rPr>
          <w:b/>
          <w:lang w:eastAsia="en-AU"/>
        </w:rPr>
        <w:t>Integrated Cancer Service</w:t>
      </w:r>
    </w:p>
    <w:p w14:paraId="376172DA" w14:textId="3A4D5B77" w:rsidR="003611F2" w:rsidRDefault="003A2F58" w:rsidP="00661DD8">
      <w:pPr>
        <w:pStyle w:val="DHHSbody"/>
        <w:rPr>
          <w:b/>
          <w:lang w:eastAsia="en-AU"/>
        </w:rPr>
      </w:pPr>
      <w:r>
        <w:rPr>
          <w:b/>
          <w:noProof/>
          <w:lang w:eastAsia="en-AU"/>
        </w:rPr>
        <w:drawing>
          <wp:inline distT="0" distB="0" distL="0" distR="0" wp14:anchorId="44BC76B6" wp14:editId="1BE24DBD">
            <wp:extent cx="6739467" cy="2626995"/>
            <wp:effectExtent l="0" t="0" r="4445" b="1905"/>
            <wp:docPr id="606" name="Picture 606" descr="This figure shows a data summary of 'Measure 13.6 – One-year survival from brain cancer'. Specially this figure focuses on the trends in one-year relative survival from brain cancer by Integrated Cancer Service for the study period 2010-2016. The data set is available under 'Measure 13.6 – On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750074" cy="2631130"/>
                    </a:xfrm>
                    <a:prstGeom prst="rect">
                      <a:avLst/>
                    </a:prstGeom>
                    <a:noFill/>
                  </pic:spPr>
                </pic:pic>
              </a:graphicData>
            </a:graphic>
          </wp:inline>
        </w:drawing>
      </w:r>
    </w:p>
    <w:p w14:paraId="4A8DB08C" w14:textId="77777777" w:rsidR="00DC2D82" w:rsidRPr="0073300D" w:rsidRDefault="00DC2D82" w:rsidP="00DC2D82">
      <w:pPr>
        <w:pStyle w:val="DHHStablefigurenote"/>
      </w:pPr>
      <w:r w:rsidRPr="0073300D">
        <w:t>Note: Appendix 2 provides the dataset</w:t>
      </w:r>
      <w:r>
        <w:t>.</w:t>
      </w:r>
    </w:p>
    <w:p w14:paraId="55CA5706" w14:textId="68A88816" w:rsidR="002E08FF" w:rsidRPr="00671C7A" w:rsidRDefault="002E08FF" w:rsidP="002E08FF">
      <w:pPr>
        <w:pStyle w:val="Heading4"/>
        <w:rPr>
          <w:lang w:eastAsia="en-AU"/>
        </w:rPr>
      </w:pPr>
      <w:r>
        <w:rPr>
          <w:lang w:eastAsia="en-AU"/>
        </w:rPr>
        <w:lastRenderedPageBreak/>
        <w:t>Measure assessment</w:t>
      </w:r>
    </w:p>
    <w:p w14:paraId="4E797551" w14:textId="1577485F" w:rsidR="002E08FF" w:rsidRPr="00061321" w:rsidRDefault="002E08FF" w:rsidP="002E08FF">
      <w:pPr>
        <w:spacing w:after="120" w:line="270" w:lineRule="atLeast"/>
        <w:rPr>
          <w:rFonts w:ascii="Arial" w:hAnsi="Arial" w:cs="Arial"/>
          <w:color w:val="00B050"/>
        </w:rPr>
      </w:pPr>
      <w:r>
        <w:rPr>
          <w:rFonts w:ascii="Arial" w:hAnsi="Arial" w:cs="Arial"/>
        </w:rPr>
        <w:t xml:space="preserve">Traffic light rating: </w:t>
      </w:r>
      <w:r w:rsidR="00AB1639" w:rsidRPr="00026CF2">
        <w:rPr>
          <w:rFonts w:ascii="Arial" w:hAnsi="Arial" w:cs="Arial"/>
          <w:b/>
          <w:color w:val="C5511A"/>
        </w:rPr>
        <w:t>Amber</w:t>
      </w:r>
      <w:r w:rsidR="00AB1639">
        <w:rPr>
          <w:rFonts w:ascii="Arial" w:hAnsi="Arial" w:cs="Arial"/>
          <w:b/>
          <w:color w:val="C5511A"/>
        </w:rPr>
        <w:t xml:space="preserve"> </w:t>
      </w:r>
      <w:r w:rsidR="00AB1639" w:rsidRPr="00EA3932">
        <w:rPr>
          <w:rFonts w:ascii="Arial" w:hAnsi="Arial" w:cs="Arial"/>
          <w:color w:val="C5511A"/>
        </w:rPr>
        <w:t>(desired result not yet evident)</w:t>
      </w:r>
    </w:p>
    <w:p w14:paraId="24969319" w14:textId="07CCCC22" w:rsidR="002E08FF" w:rsidRDefault="002E08FF" w:rsidP="002E08FF">
      <w:pPr>
        <w:spacing w:after="120" w:line="270" w:lineRule="atLeast"/>
        <w:rPr>
          <w:rFonts w:ascii="Arial" w:hAnsi="Arial" w:cs="Arial"/>
        </w:rPr>
      </w:pPr>
      <w:r>
        <w:rPr>
          <w:rFonts w:ascii="Arial" w:hAnsi="Arial" w:cs="Arial"/>
        </w:rPr>
        <w:t xml:space="preserve">Overall trend: </w:t>
      </w:r>
      <w:r w:rsidR="00AB1639">
        <w:rPr>
          <w:rFonts w:ascii="Arial" w:hAnsi="Arial" w:cs="Arial"/>
        </w:rPr>
        <w:t>Static or unchanging</w:t>
      </w:r>
    </w:p>
    <w:p w14:paraId="6CFA9BDF" w14:textId="18D55C3F" w:rsidR="00BF5AF1" w:rsidRPr="00BF5AF1" w:rsidRDefault="002E08FF" w:rsidP="002945F6">
      <w:pPr>
        <w:pStyle w:val="DHHSbody"/>
        <w:rPr>
          <w:rFonts w:cs="Arial"/>
          <w:lang w:val="en-GB"/>
        </w:rPr>
      </w:pPr>
      <w:r w:rsidRPr="00466AF1">
        <w:rPr>
          <w:rFonts w:cs="Arial"/>
          <w:lang w:eastAsia="en-AU"/>
        </w:rPr>
        <w:t>Commentary:</w:t>
      </w:r>
      <w:r w:rsidR="006059EB" w:rsidRPr="00466AF1">
        <w:rPr>
          <w:rFonts w:cs="Arial"/>
          <w:lang w:eastAsia="en-AU"/>
        </w:rPr>
        <w:t xml:space="preserve"> </w:t>
      </w:r>
      <w:r w:rsidR="006059EB" w:rsidRPr="00466AF1">
        <w:rPr>
          <w:rFonts w:cs="Arial"/>
          <w:lang w:val="en-GB"/>
        </w:rPr>
        <w:t>Brain cancers include primary brain tumours, which start in the brain and almost never spread to other parts of the body, and secondary tumours (or metastases), which are caused by cancers that have begun in another part of the body.</w:t>
      </w:r>
      <w:r w:rsidR="006059EB" w:rsidRPr="00466AF1">
        <w:rPr>
          <w:rStyle w:val="FootnoteReference"/>
          <w:rFonts w:cs="Arial"/>
          <w:lang w:val="en-GB"/>
        </w:rPr>
        <w:footnoteReference w:id="154"/>
      </w:r>
      <w:r w:rsidR="00952FC7">
        <w:rPr>
          <w:rFonts w:cs="Arial"/>
          <w:lang w:val="en-GB"/>
        </w:rPr>
        <w:t xml:space="preserve"> </w:t>
      </w:r>
      <w:r w:rsidR="00BF5AF1">
        <w:rPr>
          <w:rFonts w:cs="Arial"/>
          <w:lang w:val="en-GB"/>
        </w:rPr>
        <w:t>In Australia</w:t>
      </w:r>
      <w:r w:rsidR="006E2C2B">
        <w:rPr>
          <w:rFonts w:cs="Arial"/>
          <w:lang w:val="en-GB"/>
        </w:rPr>
        <w:t>,</w:t>
      </w:r>
      <w:r w:rsidR="00BF5AF1">
        <w:rPr>
          <w:rFonts w:cs="Arial"/>
          <w:lang w:val="en-GB"/>
        </w:rPr>
        <w:t xml:space="preserve"> brain cancer accounts for 1.4 per cent of all cancers and is one of the most </w:t>
      </w:r>
      <w:r w:rsidR="00BF5AF1">
        <w:t>common cancers and leading causes of cancer death in young Australians.</w:t>
      </w:r>
      <w:r w:rsidR="00BF5AF1">
        <w:rPr>
          <w:rStyle w:val="FootnoteReference"/>
        </w:rPr>
        <w:footnoteReference w:id="155"/>
      </w:r>
      <w:r w:rsidR="00BF5AF1">
        <w:t xml:space="preserve"> </w:t>
      </w:r>
      <w:r w:rsidR="00BF5AF1">
        <w:rPr>
          <w:rFonts w:cs="Arial"/>
        </w:rPr>
        <w:t>B</w:t>
      </w:r>
      <w:r w:rsidR="002945F6" w:rsidRPr="00466AF1">
        <w:rPr>
          <w:rFonts w:cs="Arial"/>
        </w:rPr>
        <w:t xml:space="preserve">rain cancer survival rates are low and have hardly changed for 30 years, despite significant increases in survival for Australians diagnosed with other types of cancer, such as prostate and breast cancer. Treatment is challenging because it affects the most vital </w:t>
      </w:r>
      <w:r w:rsidR="00466AF1" w:rsidRPr="00466AF1">
        <w:rPr>
          <w:rFonts w:cs="Arial"/>
        </w:rPr>
        <w:t xml:space="preserve">human </w:t>
      </w:r>
      <w:r w:rsidR="002945F6" w:rsidRPr="00466AF1">
        <w:rPr>
          <w:rFonts w:cs="Arial"/>
        </w:rPr>
        <w:t>organ</w:t>
      </w:r>
      <w:r w:rsidR="00466AF1" w:rsidRPr="00466AF1">
        <w:rPr>
          <w:rFonts w:cs="Arial"/>
        </w:rPr>
        <w:t xml:space="preserve"> – the brain</w:t>
      </w:r>
      <w:r w:rsidR="002945F6" w:rsidRPr="00466AF1">
        <w:rPr>
          <w:rFonts w:cs="Arial"/>
        </w:rPr>
        <w:t>.</w:t>
      </w:r>
      <w:r w:rsidR="002945F6" w:rsidRPr="00466AF1">
        <w:rPr>
          <w:rStyle w:val="FootnoteReference"/>
          <w:rFonts w:cs="Arial"/>
        </w:rPr>
        <w:footnoteReference w:id="156"/>
      </w:r>
      <w:r w:rsidR="002945F6" w:rsidRPr="00466AF1">
        <w:rPr>
          <w:rFonts w:cs="Arial"/>
        </w:rPr>
        <w:t xml:space="preserve"> </w:t>
      </w:r>
    </w:p>
    <w:p w14:paraId="3DF6750C" w14:textId="4E4BCD18" w:rsidR="00BF5AF1" w:rsidRPr="00E44472" w:rsidRDefault="00BF5AF1" w:rsidP="00BF5AF1">
      <w:pPr>
        <w:pStyle w:val="DHHSbody"/>
      </w:pPr>
      <w:r w:rsidRPr="00E44472">
        <w:t xml:space="preserve">In Victoria, for people diagnosed with </w:t>
      </w:r>
      <w:r>
        <w:t>brain</w:t>
      </w:r>
      <w:r w:rsidRPr="00E44472">
        <w:t xml:space="preserve"> cancer between 2010 and 2016, the one-year relative survival ranged from </w:t>
      </w:r>
      <w:r>
        <w:t xml:space="preserve">50.9 </w:t>
      </w:r>
      <w:r w:rsidRPr="00E44472">
        <w:t xml:space="preserve">per cent in 2010 to </w:t>
      </w:r>
      <w:r>
        <w:t>56</w:t>
      </w:r>
      <w:r w:rsidRPr="00E44472">
        <w:t>.</w:t>
      </w:r>
      <w:r>
        <w:t>1</w:t>
      </w:r>
      <w:r w:rsidRPr="00E44472">
        <w:t xml:space="preserve"> per cent in 2016 (Figure 13.</w:t>
      </w:r>
      <w:r>
        <w:t>6</w:t>
      </w:r>
      <w:r w:rsidRPr="00E44472">
        <w:t xml:space="preserve"> (A)).</w:t>
      </w:r>
      <w:r w:rsidR="00952FC7">
        <w:t xml:space="preserve"> </w:t>
      </w:r>
      <w:r w:rsidRPr="00E44472">
        <w:t xml:space="preserve">Survival was </w:t>
      </w:r>
      <w:r>
        <w:t>slight</w:t>
      </w:r>
      <w:r w:rsidR="00122D8D">
        <w:t>ly</w:t>
      </w:r>
      <w:r>
        <w:t xml:space="preserve"> </w:t>
      </w:r>
      <w:r w:rsidRPr="00E44472">
        <w:t xml:space="preserve">higher for females than for males </w:t>
      </w:r>
      <w:r w:rsidR="00122D8D">
        <w:t>during the analysis period</w:t>
      </w:r>
      <w:r w:rsidRPr="00E44472">
        <w:t xml:space="preserve"> (Figure 13.</w:t>
      </w:r>
      <w:r w:rsidR="00122D8D">
        <w:t>6</w:t>
      </w:r>
      <w:r w:rsidRPr="00E44472">
        <w:t xml:space="preserve"> (B))</w:t>
      </w:r>
      <w:r w:rsidR="00122D8D">
        <w:t xml:space="preserve">. </w:t>
      </w:r>
      <w:r w:rsidRPr="00E44472">
        <w:t xml:space="preserve">Survival fell sharply with </w:t>
      </w:r>
      <w:r w:rsidR="00122D8D">
        <w:t xml:space="preserve">all </w:t>
      </w:r>
      <w:r w:rsidRPr="00E44472">
        <w:t>age</w:t>
      </w:r>
      <w:r w:rsidR="00122D8D">
        <w:t xml:space="preserve"> categories but was more pronounced</w:t>
      </w:r>
      <w:r w:rsidRPr="00E44472">
        <w:t xml:space="preserve"> for those aged 75 years </w:t>
      </w:r>
      <w:r w:rsidR="001B50BF">
        <w:t>or older</w:t>
      </w:r>
      <w:r w:rsidR="00122D8D">
        <w:t xml:space="preserve"> (Figure 13.6 (C)).</w:t>
      </w:r>
    </w:p>
    <w:p w14:paraId="32F52CE5" w14:textId="5235D96D" w:rsidR="00BF5AF1" w:rsidRPr="00E44472" w:rsidRDefault="00BF5AF1" w:rsidP="00BF5AF1">
      <w:pPr>
        <w:pStyle w:val="DHHSbody"/>
      </w:pPr>
      <w:r w:rsidRPr="00E44472">
        <w:t>Survival varied by remoteness</w:t>
      </w:r>
      <w:r w:rsidR="006E2C2B">
        <w:t>,</w:t>
      </w:r>
      <w:r w:rsidRPr="00E44472">
        <w:t xml:space="preserve"> with one-year survival higher in </w:t>
      </w:r>
      <w:r w:rsidR="00840304">
        <w:t>m</w:t>
      </w:r>
      <w:r w:rsidRPr="00E44472">
        <w:t xml:space="preserve">ajor cities for most years </w:t>
      </w:r>
      <w:r w:rsidR="00122D8D">
        <w:t xml:space="preserve">except for 2016 when </w:t>
      </w:r>
      <w:r w:rsidR="006E2C2B">
        <w:t>i</w:t>
      </w:r>
      <w:r w:rsidR="00122D8D">
        <w:t xml:space="preserve">nner </w:t>
      </w:r>
      <w:r w:rsidR="006E2C2B">
        <w:t>r</w:t>
      </w:r>
      <w:r w:rsidR="00122D8D">
        <w:t xml:space="preserve">egional areas </w:t>
      </w:r>
      <w:r w:rsidRPr="00E44472">
        <w:t xml:space="preserve">had </w:t>
      </w:r>
      <w:r w:rsidR="00122D8D">
        <w:t>a slightly</w:t>
      </w:r>
      <w:r w:rsidRPr="00E44472">
        <w:t xml:space="preserve"> highe</w:t>
      </w:r>
      <w:r w:rsidR="00122D8D">
        <w:t>r</w:t>
      </w:r>
      <w:r w:rsidRPr="00E44472">
        <w:t xml:space="preserve"> survival rate.</w:t>
      </w:r>
      <w:r w:rsidR="00952FC7">
        <w:t xml:space="preserve"> </w:t>
      </w:r>
      <w:r w:rsidR="00122D8D">
        <w:t>As with other measures</w:t>
      </w:r>
      <w:r w:rsidRPr="00E44472">
        <w:t xml:space="preserve">, caution should be taken when interpreting this result </w:t>
      </w:r>
      <w:r w:rsidR="006E2C2B">
        <w:t>because</w:t>
      </w:r>
      <w:r w:rsidR="006E2C2B" w:rsidRPr="00E44472">
        <w:t xml:space="preserve"> </w:t>
      </w:r>
      <w:r w:rsidRPr="00E44472">
        <w:t>the wide confidence interval</w:t>
      </w:r>
      <w:r w:rsidR="003D335F">
        <w:t>s</w:t>
      </w:r>
      <w:r w:rsidRPr="00E44472">
        <w:t xml:space="preserve"> shown for </w:t>
      </w:r>
      <w:r w:rsidR="00122D8D">
        <w:t>one-year survival rates</w:t>
      </w:r>
      <w:r w:rsidR="003357A9">
        <w:t xml:space="preserve"> particularly as they relate to inner regional outer regional/remote </w:t>
      </w:r>
      <w:r w:rsidR="00122D8D">
        <w:t xml:space="preserve">areas denotes </w:t>
      </w:r>
      <w:r w:rsidRPr="00E44472">
        <w:t xml:space="preserve">a small sample size that may not be well representative </w:t>
      </w:r>
      <w:r w:rsidR="006E2C2B">
        <w:t>of</w:t>
      </w:r>
      <w:r w:rsidR="006E2C2B" w:rsidRPr="00E44472">
        <w:t xml:space="preserve"> </w:t>
      </w:r>
      <w:r w:rsidRPr="00E44472">
        <w:t>the population (Figure 13.</w:t>
      </w:r>
      <w:r w:rsidR="00ED502F">
        <w:t>6</w:t>
      </w:r>
      <w:r w:rsidR="00EB13A5">
        <w:t xml:space="preserve"> </w:t>
      </w:r>
      <w:r w:rsidRPr="00E44472">
        <w:t>(D)).</w:t>
      </w:r>
      <w:r w:rsidR="00952FC7">
        <w:t xml:space="preserve"> </w:t>
      </w:r>
    </w:p>
    <w:p w14:paraId="02C81760" w14:textId="7F08B910" w:rsidR="00BF5AF1" w:rsidRPr="00E44472" w:rsidRDefault="00BF5AF1" w:rsidP="00BF5AF1">
      <w:pPr>
        <w:pStyle w:val="DHHSbody"/>
      </w:pPr>
      <w:r w:rsidRPr="00E44472">
        <w:t>One-year survival rates varied between regions when compared by ICS between 2010 and 201</w:t>
      </w:r>
      <w:r w:rsidR="00122D8D">
        <w:t>6</w:t>
      </w:r>
      <w:r w:rsidR="00C37676">
        <w:t xml:space="preserve">. </w:t>
      </w:r>
      <w:r w:rsidRPr="00E44472">
        <w:t xml:space="preserve">Higher rates of survival observed for </w:t>
      </w:r>
      <w:r w:rsidR="00C37676">
        <w:t xml:space="preserve">regional and rural </w:t>
      </w:r>
      <w:r w:rsidRPr="00E44472">
        <w:t>ICS</w:t>
      </w:r>
      <w:r>
        <w:t>s</w:t>
      </w:r>
      <w:r w:rsidRPr="00E44472">
        <w:t xml:space="preserve"> such as </w:t>
      </w:r>
      <w:r w:rsidR="00C37676">
        <w:t>G</w:t>
      </w:r>
      <w:r w:rsidRPr="00E44472">
        <w:t>RICS</w:t>
      </w:r>
      <w:r w:rsidR="00C37676">
        <w:t>, LMICS and GICS</w:t>
      </w:r>
      <w:r w:rsidR="005B248D">
        <w:t xml:space="preserve"> </w:t>
      </w:r>
      <w:r w:rsidRPr="00E44472">
        <w:t>should be interpreted with caution because of the wide confidence interval</w:t>
      </w:r>
      <w:r w:rsidR="00C37676">
        <w:t>s due to small sample sizes (Figure 13.6 (E)).</w:t>
      </w:r>
    </w:p>
    <w:p w14:paraId="42F570B6" w14:textId="33D3013E" w:rsidR="002E08FF" w:rsidRPr="001A2A05" w:rsidRDefault="00BF5AF1" w:rsidP="001A2A05">
      <w:pPr>
        <w:pStyle w:val="DHHSbody"/>
        <w:rPr>
          <w:rFonts w:cs="Arial"/>
        </w:rPr>
      </w:pPr>
      <w:r w:rsidRPr="00ED144E">
        <w:rPr>
          <w:rFonts w:cs="Arial"/>
          <w:lang w:eastAsia="en-AU"/>
        </w:rPr>
        <w:t>While no target has been set for this measure</w:t>
      </w:r>
      <w:r w:rsidR="006E2C2B" w:rsidRPr="00ED144E">
        <w:rPr>
          <w:rFonts w:cs="Arial"/>
          <w:lang w:eastAsia="en-AU"/>
        </w:rPr>
        <w:t>,</w:t>
      </w:r>
      <w:r w:rsidRPr="00ED144E">
        <w:rPr>
          <w:rFonts w:cs="Arial"/>
          <w:lang w:eastAsia="en-AU"/>
        </w:rPr>
        <w:t xml:space="preserve"> the one-year survival rate for those patients diagnosed with </w:t>
      </w:r>
      <w:r w:rsidR="00536D5F" w:rsidRPr="00ED144E">
        <w:rPr>
          <w:rFonts w:cs="Arial"/>
          <w:lang w:eastAsia="en-AU"/>
        </w:rPr>
        <w:t>brain</w:t>
      </w:r>
      <w:r w:rsidRPr="00ED144E">
        <w:rPr>
          <w:rFonts w:cs="Arial"/>
          <w:lang w:eastAsia="en-AU"/>
        </w:rPr>
        <w:t xml:space="preserve"> cancer between 2010 and 201</w:t>
      </w:r>
      <w:r w:rsidR="00C37676" w:rsidRPr="00ED144E">
        <w:rPr>
          <w:rFonts w:cs="Arial"/>
          <w:lang w:eastAsia="en-AU"/>
        </w:rPr>
        <w:t>6</w:t>
      </w:r>
      <w:r w:rsidRPr="00ED144E">
        <w:rPr>
          <w:rFonts w:cs="Arial"/>
          <w:lang w:eastAsia="en-AU"/>
        </w:rPr>
        <w:t xml:space="preserve"> shows a </w:t>
      </w:r>
      <w:r w:rsidR="00ED144E" w:rsidRPr="00ED144E">
        <w:rPr>
          <w:rFonts w:cs="Arial"/>
          <w:lang w:eastAsia="en-AU"/>
        </w:rPr>
        <w:t xml:space="preserve">gradual </w:t>
      </w:r>
      <w:r w:rsidRPr="00ED144E">
        <w:rPr>
          <w:rFonts w:cs="Arial"/>
          <w:lang w:eastAsia="en-AU"/>
        </w:rPr>
        <w:t>improvement in the proportion of those surviving the one-year period</w:t>
      </w:r>
      <w:r w:rsidR="00ED144E" w:rsidRPr="00ED144E">
        <w:rPr>
          <w:rFonts w:cs="Arial"/>
          <w:lang w:eastAsia="en-AU"/>
        </w:rPr>
        <w:t xml:space="preserve"> over time</w:t>
      </w:r>
      <w:r w:rsidRPr="00ED144E">
        <w:rPr>
          <w:rFonts w:cs="Arial"/>
          <w:lang w:eastAsia="en-AU"/>
        </w:rPr>
        <w:t>.</w:t>
      </w:r>
      <w:r>
        <w:rPr>
          <w:rFonts w:cs="Arial"/>
          <w:lang w:eastAsia="en-AU"/>
        </w:rPr>
        <w:t xml:space="preserve"> </w:t>
      </w:r>
      <w:r w:rsidR="002E08FF" w:rsidRPr="00466AF1">
        <w:rPr>
          <w:rFonts w:cs="Arial"/>
          <w:lang w:eastAsia="en-AU"/>
        </w:rPr>
        <w:br w:type="page"/>
      </w:r>
    </w:p>
    <w:p w14:paraId="69E7EE4F" w14:textId="6CB04FE2" w:rsidR="005C15AA" w:rsidRDefault="005C15AA" w:rsidP="005C15AA">
      <w:pPr>
        <w:pStyle w:val="Heading3"/>
        <w:rPr>
          <w:lang w:eastAsia="en-AU"/>
        </w:rPr>
      </w:pPr>
      <w:bookmarkStart w:id="839" w:name="_Measure_13.7_–"/>
      <w:bookmarkStart w:id="840" w:name="_Toc19008166"/>
      <w:bookmarkEnd w:id="839"/>
      <w:r>
        <w:rPr>
          <w:lang w:eastAsia="en-AU"/>
        </w:rPr>
        <w:lastRenderedPageBreak/>
        <w:t>Measure 13.7 – One-year survival from oesophagus cancer</w:t>
      </w:r>
      <w:bookmarkEnd w:id="840"/>
    </w:p>
    <w:p w14:paraId="46307D85" w14:textId="4D93F1E9" w:rsidR="00661DD8" w:rsidRDefault="00856C1B" w:rsidP="00441D5B">
      <w:pPr>
        <w:pStyle w:val="DHHSfigurecaption"/>
      </w:pPr>
      <w:bookmarkStart w:id="841" w:name="_Toc19008167"/>
      <w:bookmarkStart w:id="842" w:name="_Toc19008368"/>
      <w:bookmarkStart w:id="843" w:name="_Toc19008515"/>
      <w:bookmarkStart w:id="844" w:name="_Toc19008662"/>
      <w:bookmarkStart w:id="845" w:name="_Toc27414370"/>
      <w:r w:rsidRPr="00186FD9">
        <w:t>Figure 13.</w:t>
      </w:r>
      <w:r>
        <w:t>7</w:t>
      </w:r>
      <w:r w:rsidR="009D0E1A">
        <w:t>:</w:t>
      </w:r>
      <w:r w:rsidRPr="00186FD9">
        <w:t xml:space="preserve"> Trends in </w:t>
      </w:r>
      <w:r w:rsidR="00661DD8" w:rsidRPr="00416D08">
        <w:t>one-year relative survival</w:t>
      </w:r>
      <w:r w:rsidR="00661DD8">
        <w:t xml:space="preserve"> from oesophagus cancer overall (A) and by sex (B), age (C), remoteness (D) and </w:t>
      </w:r>
      <w:r w:rsidR="008439C8">
        <w:t>ICS</w:t>
      </w:r>
      <w:r w:rsidR="00661DD8">
        <w:t xml:space="preserve"> (E)</w:t>
      </w:r>
      <w:r w:rsidR="00661DD8" w:rsidRPr="00416D08">
        <w:t>, Victoria</w:t>
      </w:r>
      <w:r w:rsidR="00661DD8">
        <w:t>,</w:t>
      </w:r>
      <w:r w:rsidR="00661DD8" w:rsidRPr="00416D08">
        <w:t xml:space="preserve"> by year, 2010</w:t>
      </w:r>
      <w:r w:rsidR="009D0E1A">
        <w:t>–</w:t>
      </w:r>
      <w:r w:rsidR="00661DD8" w:rsidRPr="00416D08">
        <w:t>2016</w:t>
      </w:r>
      <w:bookmarkEnd w:id="841"/>
      <w:bookmarkEnd w:id="842"/>
      <w:bookmarkEnd w:id="843"/>
      <w:bookmarkEnd w:id="844"/>
      <w:bookmarkEnd w:id="845"/>
    </w:p>
    <w:p w14:paraId="127434A0" w14:textId="77777777" w:rsidR="00F87F4D" w:rsidRDefault="00F87F4D" w:rsidP="00160602">
      <w:pPr>
        <w:pStyle w:val="DHHSbody"/>
        <w:numPr>
          <w:ilvl w:val="0"/>
          <w:numId w:val="21"/>
        </w:numPr>
        <w:ind w:left="346" w:hanging="283"/>
        <w:rPr>
          <w:b/>
          <w:lang w:eastAsia="en-AU"/>
        </w:rPr>
        <w:sectPr w:rsidR="00F87F4D" w:rsidSect="006116E6">
          <w:type w:val="continuous"/>
          <w:pgSz w:w="11906" w:h="16838"/>
          <w:pgMar w:top="1701" w:right="849" w:bottom="1134" w:left="426" w:header="454" w:footer="510" w:gutter="0"/>
          <w:cols w:space="720"/>
          <w:docGrid w:linePitch="360"/>
        </w:sectPr>
      </w:pPr>
    </w:p>
    <w:p w14:paraId="378B8536" w14:textId="15D22491" w:rsidR="005822BC" w:rsidRDefault="005822BC" w:rsidP="00160602">
      <w:pPr>
        <w:pStyle w:val="DHHSbody"/>
        <w:numPr>
          <w:ilvl w:val="0"/>
          <w:numId w:val="21"/>
        </w:numPr>
        <w:ind w:left="346" w:hanging="283"/>
        <w:rPr>
          <w:b/>
          <w:lang w:eastAsia="en-AU"/>
        </w:rPr>
      </w:pPr>
      <w:r>
        <w:rPr>
          <w:b/>
          <w:lang w:eastAsia="en-AU"/>
        </w:rPr>
        <w:t>Overall</w:t>
      </w:r>
    </w:p>
    <w:p w14:paraId="3FB46351" w14:textId="3014EBA7" w:rsidR="005822BC" w:rsidRDefault="000A26F5" w:rsidP="00661DD8">
      <w:pPr>
        <w:pStyle w:val="DHHSbody"/>
        <w:rPr>
          <w:b/>
          <w:lang w:eastAsia="en-AU"/>
        </w:rPr>
      </w:pPr>
      <w:r>
        <w:rPr>
          <w:b/>
          <w:noProof/>
          <w:lang w:eastAsia="en-AU"/>
        </w:rPr>
        <w:drawing>
          <wp:inline distT="0" distB="0" distL="0" distR="0" wp14:anchorId="7C5F5BFE" wp14:editId="62116502">
            <wp:extent cx="3032729" cy="2043289"/>
            <wp:effectExtent l="0" t="0" r="0" b="0"/>
            <wp:docPr id="37" name="Picture 37" descr="This figure shows a data summary of 'Measure 13.7 – One-year survival from oesophagus cancer'. Specially this figure focuses on the trends in one-year relative survival from oesophagus cancer overall for the study period 2010-2016. The data set is available under 'Measure 13.7 – On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038957" cy="2047485"/>
                    </a:xfrm>
                    <a:prstGeom prst="rect">
                      <a:avLst/>
                    </a:prstGeom>
                    <a:noFill/>
                  </pic:spPr>
                </pic:pic>
              </a:graphicData>
            </a:graphic>
          </wp:inline>
        </w:drawing>
      </w:r>
    </w:p>
    <w:p w14:paraId="47807560" w14:textId="74CA933E" w:rsidR="00F87F4D" w:rsidRDefault="00F87F4D" w:rsidP="00160602">
      <w:pPr>
        <w:pStyle w:val="DHHSbody"/>
        <w:numPr>
          <w:ilvl w:val="0"/>
          <w:numId w:val="21"/>
        </w:numPr>
        <w:ind w:left="284" w:hanging="284"/>
        <w:rPr>
          <w:b/>
          <w:lang w:eastAsia="en-AU"/>
        </w:rPr>
      </w:pPr>
      <w:r>
        <w:rPr>
          <w:b/>
          <w:lang w:eastAsia="en-AU"/>
        </w:rPr>
        <w:t xml:space="preserve">Sex </w:t>
      </w:r>
    </w:p>
    <w:p w14:paraId="2EC0EA88" w14:textId="5B669A98" w:rsidR="00F87F4D" w:rsidRDefault="003A2F58" w:rsidP="005A5151">
      <w:pPr>
        <w:pStyle w:val="DHHSbody"/>
        <w:rPr>
          <w:b/>
          <w:lang w:eastAsia="en-AU"/>
        </w:rPr>
      </w:pPr>
      <w:r>
        <w:rPr>
          <w:b/>
          <w:noProof/>
          <w:lang w:eastAsia="en-AU"/>
        </w:rPr>
        <w:drawing>
          <wp:inline distT="0" distB="0" distL="0" distR="0" wp14:anchorId="03D9DB83" wp14:editId="47832BB7">
            <wp:extent cx="3025422" cy="2095419"/>
            <wp:effectExtent l="0" t="0" r="3810" b="635"/>
            <wp:docPr id="608" name="Picture 608" descr="This figure shows a data summary of 'Measure 13.7 – One-year survival from oesophagus cancer'. Specially this figure focuses on the trends in one-year relative survival from oesophagus cancer by sex for the study period 2010-2016. The data set is available under 'Measure 13.7 – On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31922" cy="2099921"/>
                    </a:xfrm>
                    <a:prstGeom prst="rect">
                      <a:avLst/>
                    </a:prstGeom>
                    <a:noFill/>
                  </pic:spPr>
                </pic:pic>
              </a:graphicData>
            </a:graphic>
          </wp:inline>
        </w:drawing>
      </w:r>
    </w:p>
    <w:p w14:paraId="7EB6DC3E" w14:textId="77777777" w:rsidR="00F87F4D" w:rsidRDefault="00F87F4D" w:rsidP="00160602">
      <w:pPr>
        <w:pStyle w:val="DHHSbody"/>
        <w:numPr>
          <w:ilvl w:val="0"/>
          <w:numId w:val="21"/>
        </w:numPr>
        <w:rPr>
          <w:b/>
          <w:lang w:eastAsia="en-AU"/>
        </w:rPr>
        <w:sectPr w:rsidR="00F87F4D" w:rsidSect="00E2648C">
          <w:type w:val="continuous"/>
          <w:pgSz w:w="11906" w:h="16838"/>
          <w:pgMar w:top="1701" w:right="849" w:bottom="1134" w:left="426" w:header="454" w:footer="510" w:gutter="0"/>
          <w:cols w:num="2" w:space="720"/>
          <w:docGrid w:linePitch="360"/>
        </w:sectPr>
      </w:pPr>
    </w:p>
    <w:p w14:paraId="7D8DD31C" w14:textId="665B17FB" w:rsidR="002A769F" w:rsidRPr="002A769F" w:rsidRDefault="002A769F" w:rsidP="00160602">
      <w:pPr>
        <w:pStyle w:val="DHHSbody"/>
        <w:numPr>
          <w:ilvl w:val="0"/>
          <w:numId w:val="21"/>
        </w:numPr>
        <w:ind w:left="284" w:hanging="284"/>
        <w:rPr>
          <w:b/>
          <w:lang w:eastAsia="en-AU"/>
        </w:rPr>
      </w:pPr>
      <w:r>
        <w:rPr>
          <w:b/>
          <w:lang w:eastAsia="en-AU"/>
        </w:rPr>
        <w:t>Age</w:t>
      </w:r>
    </w:p>
    <w:p w14:paraId="33443112" w14:textId="05A1BFD3" w:rsidR="002A769F" w:rsidRDefault="003A2F58" w:rsidP="00661DD8">
      <w:pPr>
        <w:pStyle w:val="DHHSbody"/>
        <w:rPr>
          <w:b/>
          <w:lang w:eastAsia="en-AU"/>
        </w:rPr>
      </w:pPr>
      <w:r>
        <w:rPr>
          <w:b/>
          <w:noProof/>
          <w:lang w:eastAsia="en-AU"/>
        </w:rPr>
        <w:drawing>
          <wp:inline distT="0" distB="0" distL="0" distR="0" wp14:anchorId="328A9652" wp14:editId="27DC405E">
            <wp:extent cx="3070578" cy="2411184"/>
            <wp:effectExtent l="0" t="0" r="0" b="8255"/>
            <wp:docPr id="609" name="Picture 609" descr="This figure shows a data summary of 'Measure 13.7 – One-year survival from oesophagus cancer'. Specially this figure focuses on the trends in one-year relative survival from oesophagus cancer by age for the study period 2010-2016. The data set is available under 'Measure 13.7 – On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076956" cy="2416192"/>
                    </a:xfrm>
                    <a:prstGeom prst="rect">
                      <a:avLst/>
                    </a:prstGeom>
                    <a:noFill/>
                  </pic:spPr>
                </pic:pic>
              </a:graphicData>
            </a:graphic>
          </wp:inline>
        </w:drawing>
      </w:r>
    </w:p>
    <w:p w14:paraId="7198BADA" w14:textId="4FB3D82B" w:rsidR="00F87F4D" w:rsidRDefault="00F87F4D" w:rsidP="00160602">
      <w:pPr>
        <w:pStyle w:val="DHHSbody"/>
        <w:numPr>
          <w:ilvl w:val="0"/>
          <w:numId w:val="21"/>
        </w:numPr>
        <w:ind w:left="284" w:hanging="284"/>
        <w:rPr>
          <w:b/>
          <w:lang w:eastAsia="en-AU"/>
        </w:rPr>
      </w:pPr>
      <w:r>
        <w:rPr>
          <w:b/>
          <w:lang w:eastAsia="en-AU"/>
        </w:rPr>
        <w:t>Remoteness</w:t>
      </w:r>
    </w:p>
    <w:p w14:paraId="4178B73F" w14:textId="5E20FA98" w:rsidR="00F87F4D" w:rsidRDefault="003A2F58" w:rsidP="00E2648C">
      <w:pPr>
        <w:pStyle w:val="DHHSbody"/>
        <w:rPr>
          <w:b/>
          <w:lang w:eastAsia="en-AU"/>
        </w:rPr>
      </w:pPr>
      <w:r>
        <w:rPr>
          <w:b/>
          <w:noProof/>
          <w:lang w:eastAsia="en-AU"/>
        </w:rPr>
        <w:drawing>
          <wp:inline distT="0" distB="0" distL="0" distR="0" wp14:anchorId="5CB2CF09" wp14:editId="334A8C84">
            <wp:extent cx="3048000" cy="2343345"/>
            <wp:effectExtent l="0" t="0" r="0" b="0"/>
            <wp:docPr id="610" name="Picture 610" descr="This figure shows a data summary of 'Measure 13.7 – One-year survival from oesophagus cancer'. Specially this figure focuses on the trends in one-year relative survival from oesophagus cancer by remoteness for the study period 2010-2016. The data set is available under 'Measure 13.7 – On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056878" cy="2350171"/>
                    </a:xfrm>
                    <a:prstGeom prst="rect">
                      <a:avLst/>
                    </a:prstGeom>
                    <a:noFill/>
                  </pic:spPr>
                </pic:pic>
              </a:graphicData>
            </a:graphic>
          </wp:inline>
        </w:drawing>
      </w:r>
    </w:p>
    <w:p w14:paraId="41603FE6" w14:textId="77777777" w:rsidR="00F87F4D" w:rsidRDefault="00F87F4D" w:rsidP="00160602">
      <w:pPr>
        <w:pStyle w:val="DHHSbody"/>
        <w:numPr>
          <w:ilvl w:val="0"/>
          <w:numId w:val="21"/>
        </w:numPr>
        <w:rPr>
          <w:b/>
          <w:lang w:eastAsia="en-AU"/>
        </w:rPr>
        <w:sectPr w:rsidR="00F87F4D" w:rsidSect="00E2648C">
          <w:type w:val="continuous"/>
          <w:pgSz w:w="11906" w:h="16838"/>
          <w:pgMar w:top="1701" w:right="849" w:bottom="1134" w:left="426" w:header="454" w:footer="510" w:gutter="0"/>
          <w:cols w:num="2" w:space="720"/>
          <w:docGrid w:linePitch="360"/>
        </w:sectPr>
      </w:pPr>
    </w:p>
    <w:p w14:paraId="22A30271" w14:textId="346C7F66" w:rsidR="002A769F" w:rsidRDefault="002A769F" w:rsidP="00160602">
      <w:pPr>
        <w:pStyle w:val="DHHSbody"/>
        <w:numPr>
          <w:ilvl w:val="0"/>
          <w:numId w:val="21"/>
        </w:numPr>
        <w:ind w:left="284" w:hanging="284"/>
        <w:rPr>
          <w:b/>
          <w:lang w:eastAsia="en-AU"/>
        </w:rPr>
      </w:pPr>
      <w:r>
        <w:rPr>
          <w:b/>
          <w:lang w:eastAsia="en-AU"/>
        </w:rPr>
        <w:t>Integrated Cancer Service</w:t>
      </w:r>
    </w:p>
    <w:p w14:paraId="526628C6" w14:textId="50ED8D0F" w:rsidR="002A769F" w:rsidRDefault="003A2F58" w:rsidP="00661DD8">
      <w:pPr>
        <w:pStyle w:val="DHHSbody"/>
        <w:rPr>
          <w:b/>
          <w:lang w:eastAsia="en-AU"/>
        </w:rPr>
      </w:pPr>
      <w:r>
        <w:rPr>
          <w:b/>
          <w:noProof/>
          <w:lang w:eastAsia="en-AU"/>
        </w:rPr>
        <w:drawing>
          <wp:inline distT="0" distB="0" distL="0" distR="0" wp14:anchorId="2A1704F8" wp14:editId="4C2CB1EE">
            <wp:extent cx="6547556" cy="2508006"/>
            <wp:effectExtent l="0" t="0" r="5715" b="6985"/>
            <wp:docPr id="611" name="Picture 611" descr="This figure shows a data summary of 'Measure 13.7 – One-year survival from oesophagus cancer'. Specially this figure focuses on the trends in one-year relative survival from oesophagus cancer by Integrated Cancer Service for the study period 2010-2016. The data set is available under 'Measure 13.7 – On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575377" cy="2518663"/>
                    </a:xfrm>
                    <a:prstGeom prst="rect">
                      <a:avLst/>
                    </a:prstGeom>
                    <a:noFill/>
                  </pic:spPr>
                </pic:pic>
              </a:graphicData>
            </a:graphic>
          </wp:inline>
        </w:drawing>
      </w:r>
    </w:p>
    <w:p w14:paraId="4E0E99B9" w14:textId="77777777" w:rsidR="00DC2D82" w:rsidRPr="0073300D" w:rsidRDefault="00DC2D82" w:rsidP="00DC2D82">
      <w:pPr>
        <w:pStyle w:val="DHHStablefigurenote"/>
      </w:pPr>
      <w:r w:rsidRPr="0073300D">
        <w:t>Note: Appendix 2 provides the dataset</w:t>
      </w:r>
      <w:r>
        <w:t>.</w:t>
      </w:r>
    </w:p>
    <w:p w14:paraId="278C5165" w14:textId="56EB3A98" w:rsidR="002E08FF" w:rsidRPr="00671C7A" w:rsidRDefault="002E08FF" w:rsidP="002E08FF">
      <w:pPr>
        <w:pStyle w:val="Heading4"/>
        <w:rPr>
          <w:lang w:eastAsia="en-AU"/>
        </w:rPr>
      </w:pPr>
      <w:r>
        <w:rPr>
          <w:lang w:eastAsia="en-AU"/>
        </w:rPr>
        <w:lastRenderedPageBreak/>
        <w:t>Measure assessment</w:t>
      </w:r>
    </w:p>
    <w:p w14:paraId="0B0A2A76" w14:textId="32B0F781" w:rsidR="0097280A" w:rsidRPr="0097280A" w:rsidRDefault="002E08FF" w:rsidP="0097280A">
      <w:pPr>
        <w:autoSpaceDE w:val="0"/>
        <w:autoSpaceDN w:val="0"/>
        <w:adjustRightInd w:val="0"/>
        <w:spacing w:after="120" w:line="270" w:lineRule="atLeast"/>
        <w:rPr>
          <w:rFonts w:ascii="Arial" w:hAnsi="Arial" w:cs="Arial"/>
          <w:color w:val="FF0000"/>
        </w:rPr>
      </w:pPr>
      <w:r>
        <w:rPr>
          <w:rFonts w:ascii="Arial" w:hAnsi="Arial" w:cs="Arial"/>
        </w:rPr>
        <w:t xml:space="preserve">Traffic light rating: </w:t>
      </w:r>
      <w:r w:rsidR="00A408A8" w:rsidRPr="0097280A">
        <w:rPr>
          <w:rFonts w:ascii="Arial" w:hAnsi="Arial" w:cs="Arial"/>
          <w:b/>
          <w:color w:val="C00000"/>
        </w:rPr>
        <w:t>Red</w:t>
      </w:r>
      <w:r w:rsidR="0097280A">
        <w:rPr>
          <w:rFonts w:ascii="Arial" w:hAnsi="Arial" w:cs="Arial"/>
          <w:b/>
          <w:color w:val="C00000"/>
        </w:rPr>
        <w:t xml:space="preserve"> </w:t>
      </w:r>
      <w:r w:rsidR="0097280A">
        <w:rPr>
          <w:rFonts w:ascii="Arial" w:hAnsi="Arial" w:cs="Arial"/>
          <w:color w:val="C00000"/>
        </w:rPr>
        <w:t>(result is of concern)</w:t>
      </w:r>
    </w:p>
    <w:p w14:paraId="2D4253E2" w14:textId="3AFBE6F9" w:rsidR="002E08FF" w:rsidRDefault="002E08FF" w:rsidP="0097280A">
      <w:pPr>
        <w:pStyle w:val="DHHSbody"/>
        <w:rPr>
          <w:rFonts w:cs="Arial"/>
          <w:lang w:eastAsia="en-AU"/>
        </w:rPr>
      </w:pPr>
      <w:r>
        <w:rPr>
          <w:rFonts w:cs="Arial"/>
        </w:rPr>
        <w:t xml:space="preserve">Overall trend: </w:t>
      </w:r>
      <w:r w:rsidR="00A408A8">
        <w:rPr>
          <w:rFonts w:cs="Arial"/>
          <w:lang w:eastAsia="en-AU"/>
        </w:rPr>
        <w:t>Static or unchanging</w:t>
      </w:r>
    </w:p>
    <w:p w14:paraId="53C6BA1A" w14:textId="242B4CBF" w:rsidR="00A408A8" w:rsidRPr="00A408A8" w:rsidRDefault="002E08FF" w:rsidP="0097280A">
      <w:pPr>
        <w:pStyle w:val="DHHSbody"/>
        <w:rPr>
          <w:lang w:val="en-GB"/>
        </w:rPr>
      </w:pPr>
      <w:r w:rsidRPr="009964FA">
        <w:rPr>
          <w:rFonts w:cs="Arial"/>
          <w:lang w:eastAsia="en-AU"/>
        </w:rPr>
        <w:t>Commentary:</w:t>
      </w:r>
      <w:r w:rsidR="00717BDD">
        <w:rPr>
          <w:rFonts w:cs="Arial"/>
          <w:lang w:eastAsia="en-AU"/>
        </w:rPr>
        <w:t xml:space="preserve"> </w:t>
      </w:r>
      <w:r w:rsidR="00401577">
        <w:rPr>
          <w:lang w:val="en-GB"/>
        </w:rPr>
        <w:t>C</w:t>
      </w:r>
      <w:r w:rsidR="00A408A8">
        <w:rPr>
          <w:lang w:val="en-GB"/>
        </w:rPr>
        <w:t>ancer</w:t>
      </w:r>
      <w:r w:rsidR="00401577">
        <w:rPr>
          <w:lang w:val="en-GB"/>
        </w:rPr>
        <w:t xml:space="preserve"> of the oesophagus (stomach cancer)</w:t>
      </w:r>
      <w:r w:rsidR="00A408A8">
        <w:rPr>
          <w:lang w:val="en-GB"/>
        </w:rPr>
        <w:t xml:space="preserve"> is a relatively common cancer in Australia</w:t>
      </w:r>
      <w:r w:rsidR="00B40166">
        <w:rPr>
          <w:lang w:val="en-GB"/>
        </w:rPr>
        <w:t>;</w:t>
      </w:r>
      <w:r w:rsidR="00A408A8">
        <w:rPr>
          <w:lang w:val="en-GB"/>
        </w:rPr>
        <w:t xml:space="preserve"> however</w:t>
      </w:r>
      <w:r w:rsidR="00B40166">
        <w:rPr>
          <w:lang w:val="en-GB"/>
        </w:rPr>
        <w:t>,</w:t>
      </w:r>
      <w:r w:rsidR="00A408A8">
        <w:rPr>
          <w:lang w:val="en-GB"/>
        </w:rPr>
        <w:t xml:space="preserve"> the number of people diagnosed has been falling. Nationally it is rare in people under 50 years of age and affects more men than women.</w:t>
      </w:r>
      <w:r w:rsidR="00A408A8">
        <w:rPr>
          <w:rStyle w:val="FootnoteReference"/>
          <w:lang w:val="en-GB"/>
        </w:rPr>
        <w:footnoteReference w:id="157"/>
      </w:r>
    </w:p>
    <w:p w14:paraId="78F53BE7" w14:textId="30FAF1F8" w:rsidR="003D335F" w:rsidRDefault="00717BDD" w:rsidP="00717BDD">
      <w:pPr>
        <w:pStyle w:val="DHHSbody"/>
      </w:pPr>
      <w:r w:rsidRPr="00E44472">
        <w:t xml:space="preserve">In Victoria, for people diagnosed with </w:t>
      </w:r>
      <w:r>
        <w:t>oesophagus</w:t>
      </w:r>
      <w:r w:rsidRPr="00E44472">
        <w:t xml:space="preserve"> cancer between 2010 and 2016, the one-year relative survival </w:t>
      </w:r>
      <w:r w:rsidR="003D335F">
        <w:t>showed very little change</w:t>
      </w:r>
      <w:r w:rsidR="00A6081D">
        <w:t>,</w:t>
      </w:r>
      <w:r w:rsidR="003D335F">
        <w:t xml:space="preserve"> </w:t>
      </w:r>
      <w:r w:rsidRPr="00E44472">
        <w:t>rang</w:t>
      </w:r>
      <w:r w:rsidR="003D335F">
        <w:t>ing</w:t>
      </w:r>
      <w:r w:rsidRPr="00E44472">
        <w:t xml:space="preserve"> from </w:t>
      </w:r>
      <w:r>
        <w:t xml:space="preserve">48.1 </w:t>
      </w:r>
      <w:r w:rsidRPr="00E44472">
        <w:t xml:space="preserve">per cent in 2010 to </w:t>
      </w:r>
      <w:r w:rsidR="003D335F">
        <w:t>48</w:t>
      </w:r>
      <w:r w:rsidRPr="00E44472">
        <w:t>.</w:t>
      </w:r>
      <w:r w:rsidR="003D335F">
        <w:t>4</w:t>
      </w:r>
      <w:r w:rsidRPr="00E44472">
        <w:t xml:space="preserve"> per cent in 2016 (Figure 13.</w:t>
      </w:r>
      <w:r w:rsidR="003D335F">
        <w:t>7</w:t>
      </w:r>
      <w:r w:rsidRPr="00E44472">
        <w:t xml:space="preserve"> (A)).</w:t>
      </w:r>
      <w:r w:rsidR="00952FC7">
        <w:t xml:space="preserve"> </w:t>
      </w:r>
      <w:r w:rsidRPr="00E44472">
        <w:t xml:space="preserve">Survival </w:t>
      </w:r>
      <w:r w:rsidR="003D335F">
        <w:t>fluctuated between genders</w:t>
      </w:r>
      <w:r w:rsidR="00A6081D">
        <w:t>,</w:t>
      </w:r>
      <w:r w:rsidR="003D335F">
        <w:t xml:space="preserve"> although it </w:t>
      </w:r>
      <w:r w:rsidRPr="00E44472">
        <w:t xml:space="preserve">was </w:t>
      </w:r>
      <w:r>
        <w:t xml:space="preserve">slightly </w:t>
      </w:r>
      <w:r w:rsidRPr="00E44472">
        <w:t xml:space="preserve">higher for females than for males </w:t>
      </w:r>
      <w:r w:rsidR="003D335F">
        <w:t xml:space="preserve">in 2012, 2014 and 2016 </w:t>
      </w:r>
      <w:r>
        <w:t>during the analysis period</w:t>
      </w:r>
      <w:r w:rsidRPr="00E44472">
        <w:t xml:space="preserve"> (Figure 13.</w:t>
      </w:r>
      <w:r w:rsidR="003D335F">
        <w:t>7</w:t>
      </w:r>
      <w:r w:rsidRPr="00E44472">
        <w:t xml:space="preserve"> (B))</w:t>
      </w:r>
      <w:r>
        <w:t xml:space="preserve">. </w:t>
      </w:r>
      <w:r w:rsidRPr="00E44472">
        <w:t xml:space="preserve">Survival </w:t>
      </w:r>
      <w:r w:rsidR="003D335F">
        <w:t>was generally higher for those aged under 65 years</w:t>
      </w:r>
      <w:r w:rsidR="00A6081D">
        <w:t>,</w:t>
      </w:r>
      <w:r w:rsidR="003D335F">
        <w:t xml:space="preserve"> although wide confidence intervals infer the likelihood of a small sample size </w:t>
      </w:r>
      <w:r w:rsidR="001E73C8">
        <w:t xml:space="preserve">that </w:t>
      </w:r>
      <w:r w:rsidR="003D335F">
        <w:t xml:space="preserve">may not be well representative </w:t>
      </w:r>
      <w:r w:rsidR="001E73C8">
        <w:t xml:space="preserve">of </w:t>
      </w:r>
      <w:r w:rsidR="003D335F">
        <w:t>the respective age categories (0</w:t>
      </w:r>
      <w:r w:rsidR="009D0E1A">
        <w:t>–</w:t>
      </w:r>
      <w:r w:rsidR="003D335F">
        <w:t>54 and 55</w:t>
      </w:r>
      <w:r w:rsidR="009D0E1A">
        <w:t>–</w:t>
      </w:r>
      <w:r w:rsidR="003D335F">
        <w:t>64).</w:t>
      </w:r>
      <w:r w:rsidR="00952FC7">
        <w:t xml:space="preserve"> </w:t>
      </w:r>
      <w:r w:rsidR="003D335F">
        <w:t xml:space="preserve">However, survival fell for those aged 75 years </w:t>
      </w:r>
      <w:r w:rsidR="001B50BF">
        <w:t xml:space="preserve">or </w:t>
      </w:r>
      <w:r w:rsidR="003D335F">
        <w:t>older for each of the reporting years (Figure 13.7 (C)).</w:t>
      </w:r>
    </w:p>
    <w:p w14:paraId="79BEEB00" w14:textId="299A89CB" w:rsidR="00717BDD" w:rsidRPr="00E44472" w:rsidRDefault="00717BDD" w:rsidP="00717BDD">
      <w:pPr>
        <w:pStyle w:val="DHHSbody"/>
      </w:pPr>
      <w:r w:rsidRPr="00E44472">
        <w:t>Survival varied by remoteness</w:t>
      </w:r>
      <w:r w:rsidR="001E73C8">
        <w:t>,</w:t>
      </w:r>
      <w:r w:rsidRPr="00E44472">
        <w:t xml:space="preserve"> with one-year survival </w:t>
      </w:r>
      <w:r w:rsidR="003D335F">
        <w:t xml:space="preserve">generally </w:t>
      </w:r>
      <w:r w:rsidRPr="00E44472">
        <w:t xml:space="preserve">higher in </w:t>
      </w:r>
      <w:r w:rsidR="001B50BF">
        <w:t>m</w:t>
      </w:r>
      <w:r w:rsidRPr="00E44472">
        <w:t xml:space="preserve">ajor cities for most years </w:t>
      </w:r>
      <w:r w:rsidR="003D335F">
        <w:t>reported</w:t>
      </w:r>
      <w:r w:rsidR="00CA067E">
        <w:t>.</w:t>
      </w:r>
      <w:r w:rsidR="003D335F">
        <w:t xml:space="preserve"> </w:t>
      </w:r>
      <w:r w:rsidR="00CA067E">
        <w:t xml:space="preserve">However, </w:t>
      </w:r>
      <w:r w:rsidR="003D335F">
        <w:t>a</w:t>
      </w:r>
      <w:r>
        <w:t>s with other measures</w:t>
      </w:r>
      <w:r w:rsidRPr="00E44472">
        <w:t>, caution should be taken when interpreting th</w:t>
      </w:r>
      <w:r w:rsidR="003D335F">
        <w:t>ese</w:t>
      </w:r>
      <w:r w:rsidRPr="00E44472">
        <w:t xml:space="preserve"> result</w:t>
      </w:r>
      <w:r w:rsidR="003D335F">
        <w:t>s</w:t>
      </w:r>
      <w:r w:rsidRPr="00E44472">
        <w:t xml:space="preserve"> </w:t>
      </w:r>
      <w:r w:rsidR="001E73C8">
        <w:t>because</w:t>
      </w:r>
      <w:r w:rsidR="001E73C8" w:rsidRPr="00E44472">
        <w:t xml:space="preserve"> </w:t>
      </w:r>
      <w:r w:rsidRPr="00E44472">
        <w:t>the wide confidence interval</w:t>
      </w:r>
      <w:r w:rsidR="003D335F">
        <w:t>s</w:t>
      </w:r>
      <w:r w:rsidRPr="00E44472">
        <w:t xml:space="preserve"> shown for </w:t>
      </w:r>
      <w:r>
        <w:t xml:space="preserve">one-year survival rates </w:t>
      </w:r>
      <w:r w:rsidR="00536D5F">
        <w:t xml:space="preserve">particularly </w:t>
      </w:r>
      <w:r>
        <w:t>as they re</w:t>
      </w:r>
      <w:r w:rsidR="00536D5F">
        <w:t xml:space="preserve">late to </w:t>
      </w:r>
      <w:r w:rsidR="001E73C8">
        <w:t>o</w:t>
      </w:r>
      <w:r>
        <w:t xml:space="preserve">uter </w:t>
      </w:r>
      <w:r w:rsidR="001E73C8">
        <w:t>r</w:t>
      </w:r>
      <w:r>
        <w:t>egional/</w:t>
      </w:r>
      <w:r w:rsidR="001E73C8">
        <w:t>r</w:t>
      </w:r>
      <w:r>
        <w:t xml:space="preserve">emote areas denotes </w:t>
      </w:r>
      <w:r w:rsidRPr="00E44472">
        <w:t xml:space="preserve">a small sample size that may not be well representative </w:t>
      </w:r>
      <w:r w:rsidR="001E73C8">
        <w:t>of</w:t>
      </w:r>
      <w:r w:rsidRPr="00E44472">
        <w:t xml:space="preserve"> the population (Figure 13.</w:t>
      </w:r>
      <w:r w:rsidR="00536D5F">
        <w:t>7</w:t>
      </w:r>
      <w:r w:rsidRPr="00E44472">
        <w:t xml:space="preserve"> (D)).</w:t>
      </w:r>
      <w:r w:rsidR="00952FC7">
        <w:t xml:space="preserve"> </w:t>
      </w:r>
    </w:p>
    <w:p w14:paraId="2C4A4F2B" w14:textId="0CB08E0E" w:rsidR="00717BDD" w:rsidRPr="00E44472" w:rsidRDefault="00717BDD" w:rsidP="00717BDD">
      <w:pPr>
        <w:pStyle w:val="DHHSbody"/>
      </w:pPr>
      <w:r w:rsidRPr="00E44472">
        <w:t>One-year survival rates varied between regions when compared by ICS between 2010 and 201</w:t>
      </w:r>
      <w:r>
        <w:t>6</w:t>
      </w:r>
      <w:r w:rsidR="001E73C8">
        <w:t>,</w:t>
      </w:r>
      <w:r w:rsidR="00536D5F">
        <w:t xml:space="preserve"> with higher rates generally observed in metropolitan ICSs such as NE</w:t>
      </w:r>
      <w:r w:rsidR="005B248D">
        <w:t>M</w:t>
      </w:r>
      <w:r w:rsidR="00536D5F">
        <w:t>ICS and SMICS</w:t>
      </w:r>
      <w:r>
        <w:t xml:space="preserve">. </w:t>
      </w:r>
      <w:r w:rsidR="00536D5F">
        <w:t xml:space="preserve">Survival </w:t>
      </w:r>
      <w:r w:rsidRPr="00E44472">
        <w:t xml:space="preserve">rates observed for </w:t>
      </w:r>
      <w:r>
        <w:t xml:space="preserve">regional and rural </w:t>
      </w:r>
      <w:r w:rsidRPr="00E44472">
        <w:t>ICS</w:t>
      </w:r>
      <w:r>
        <w:t>s</w:t>
      </w:r>
      <w:r w:rsidRPr="00E44472">
        <w:t xml:space="preserve"> should be interpreted with caution because of the wide confidence interval</w:t>
      </w:r>
      <w:r>
        <w:t>s due to small sample sizes</w:t>
      </w:r>
      <w:r w:rsidR="00536D5F">
        <w:t xml:space="preserve"> for these categories</w:t>
      </w:r>
      <w:r>
        <w:t xml:space="preserve"> (Figure 13.</w:t>
      </w:r>
      <w:r w:rsidR="00536D5F">
        <w:t>7</w:t>
      </w:r>
      <w:r>
        <w:t xml:space="preserve"> (E)).</w:t>
      </w:r>
    </w:p>
    <w:p w14:paraId="22E032AD" w14:textId="64FBEA48" w:rsidR="007666D2" w:rsidRPr="001A2A05" w:rsidRDefault="00717BDD" w:rsidP="001A2A05">
      <w:pPr>
        <w:pStyle w:val="DHHSbody"/>
        <w:rPr>
          <w:rFonts w:cs="Arial"/>
          <w:lang w:eastAsia="en-AU"/>
        </w:rPr>
      </w:pPr>
      <w:r w:rsidRPr="00C26BFB">
        <w:rPr>
          <w:rFonts w:cs="Arial"/>
          <w:lang w:eastAsia="en-AU"/>
        </w:rPr>
        <w:t>While no target has been set for this measure</w:t>
      </w:r>
      <w:r w:rsidR="001E73C8" w:rsidRPr="00C26BFB">
        <w:rPr>
          <w:rFonts w:cs="Arial"/>
          <w:lang w:eastAsia="en-AU"/>
        </w:rPr>
        <w:t>,</w:t>
      </w:r>
      <w:r w:rsidRPr="00C26BFB">
        <w:rPr>
          <w:rFonts w:cs="Arial"/>
          <w:lang w:eastAsia="en-AU"/>
        </w:rPr>
        <w:t xml:space="preserve"> the one-year survival rate for those patients diagnosed with </w:t>
      </w:r>
      <w:r w:rsidR="007A2D95" w:rsidRPr="00C26BFB">
        <w:rPr>
          <w:rFonts w:cs="Arial"/>
          <w:lang w:eastAsia="en-AU"/>
        </w:rPr>
        <w:t>oesophagus</w:t>
      </w:r>
      <w:r w:rsidRPr="00C26BFB">
        <w:rPr>
          <w:rFonts w:cs="Arial"/>
          <w:lang w:eastAsia="en-AU"/>
        </w:rPr>
        <w:t xml:space="preserve"> cancer between 2010 and 2016 shows </w:t>
      </w:r>
      <w:r w:rsidR="007A2D95" w:rsidRPr="00C26BFB">
        <w:rPr>
          <w:rFonts w:cs="Arial"/>
          <w:lang w:eastAsia="en-AU"/>
        </w:rPr>
        <w:t xml:space="preserve">no </w:t>
      </w:r>
      <w:r w:rsidRPr="00C26BFB">
        <w:rPr>
          <w:rFonts w:cs="Arial"/>
          <w:lang w:eastAsia="en-AU"/>
        </w:rPr>
        <w:t>improvement in the proportion of those surviving the one-year period</w:t>
      </w:r>
      <w:r w:rsidR="00C26BFB">
        <w:rPr>
          <w:rFonts w:cs="Arial"/>
          <w:lang w:eastAsia="en-AU"/>
        </w:rPr>
        <w:t>.</w:t>
      </w:r>
      <w:r>
        <w:rPr>
          <w:rFonts w:cs="Arial"/>
          <w:lang w:eastAsia="en-AU"/>
        </w:rPr>
        <w:t xml:space="preserve"> </w:t>
      </w:r>
      <w:r w:rsidR="002E08FF">
        <w:rPr>
          <w:lang w:eastAsia="en-AU"/>
        </w:rPr>
        <w:br w:type="page"/>
      </w:r>
    </w:p>
    <w:p w14:paraId="01AE3E85" w14:textId="22B7BC90" w:rsidR="005C15AA" w:rsidRDefault="005C15AA" w:rsidP="005C15AA">
      <w:pPr>
        <w:pStyle w:val="Heading3"/>
        <w:rPr>
          <w:lang w:eastAsia="en-AU"/>
        </w:rPr>
      </w:pPr>
      <w:bookmarkStart w:id="846" w:name="_Measure_13.8_–"/>
      <w:bookmarkStart w:id="847" w:name="_Toc19008168"/>
      <w:bookmarkEnd w:id="846"/>
      <w:r>
        <w:rPr>
          <w:lang w:eastAsia="en-AU"/>
        </w:rPr>
        <w:lastRenderedPageBreak/>
        <w:t>Measure 13.8 – One-year survival from acute myeloid leukaemia</w:t>
      </w:r>
      <w:bookmarkEnd w:id="847"/>
    </w:p>
    <w:p w14:paraId="187B16D2" w14:textId="04F93E0D" w:rsidR="00661DD8" w:rsidRDefault="003127BF" w:rsidP="008D320F">
      <w:pPr>
        <w:pStyle w:val="DHHSfigurecaption"/>
      </w:pPr>
      <w:bookmarkStart w:id="848" w:name="_Toc19008169"/>
      <w:bookmarkStart w:id="849" w:name="_Toc19008369"/>
      <w:bookmarkStart w:id="850" w:name="_Toc19008516"/>
      <w:bookmarkStart w:id="851" w:name="_Toc19008663"/>
      <w:bookmarkStart w:id="852" w:name="_Toc27414371"/>
      <w:r w:rsidRPr="00186FD9">
        <w:t>Figure 13.</w:t>
      </w:r>
      <w:r>
        <w:t>8</w:t>
      </w:r>
      <w:r w:rsidR="009D0E1A">
        <w:t>:</w:t>
      </w:r>
      <w:r w:rsidRPr="00186FD9">
        <w:t xml:space="preserve"> Trends in </w:t>
      </w:r>
      <w:r w:rsidR="00661DD8" w:rsidRPr="00416D08">
        <w:t>one-year relative survival</w:t>
      </w:r>
      <w:r w:rsidR="00661DD8">
        <w:t xml:space="preserve"> from acute myeloid leukaemia overall (A) and by sex (B), age (C), remoteness (D) and </w:t>
      </w:r>
      <w:r w:rsidR="008439C8">
        <w:t>ICS</w:t>
      </w:r>
      <w:r w:rsidR="00661DD8">
        <w:t xml:space="preserve"> (E)</w:t>
      </w:r>
      <w:r w:rsidR="00661DD8" w:rsidRPr="00416D08">
        <w:t>, Victoria</w:t>
      </w:r>
      <w:r w:rsidR="00661DD8">
        <w:t>,</w:t>
      </w:r>
      <w:r w:rsidR="00661DD8" w:rsidRPr="00416D08">
        <w:t xml:space="preserve"> by year, 2010</w:t>
      </w:r>
      <w:r w:rsidR="009D0E1A">
        <w:t>–</w:t>
      </w:r>
      <w:r w:rsidR="00661DD8" w:rsidRPr="00416D08">
        <w:t>2016</w:t>
      </w:r>
      <w:bookmarkEnd w:id="848"/>
      <w:bookmarkEnd w:id="849"/>
      <w:bookmarkEnd w:id="850"/>
      <w:bookmarkEnd w:id="851"/>
      <w:bookmarkEnd w:id="852"/>
    </w:p>
    <w:p w14:paraId="47A9A82B" w14:textId="77777777" w:rsidR="00E759BF" w:rsidRDefault="00E759BF" w:rsidP="00160602">
      <w:pPr>
        <w:pStyle w:val="DHHSbody"/>
        <w:numPr>
          <w:ilvl w:val="0"/>
          <w:numId w:val="22"/>
        </w:numPr>
        <w:ind w:left="346" w:hanging="346"/>
        <w:rPr>
          <w:b/>
          <w:lang w:eastAsia="en-AU"/>
        </w:rPr>
        <w:sectPr w:rsidR="00E759BF" w:rsidSect="006116E6">
          <w:type w:val="continuous"/>
          <w:pgSz w:w="11906" w:h="16838"/>
          <w:pgMar w:top="1701" w:right="849" w:bottom="1134" w:left="426" w:header="454" w:footer="510" w:gutter="0"/>
          <w:cols w:space="720"/>
          <w:docGrid w:linePitch="360"/>
        </w:sectPr>
      </w:pPr>
    </w:p>
    <w:p w14:paraId="495168E3" w14:textId="72D7461C" w:rsidR="002A769F" w:rsidRDefault="002A769F" w:rsidP="00160602">
      <w:pPr>
        <w:pStyle w:val="DHHSbody"/>
        <w:numPr>
          <w:ilvl w:val="0"/>
          <w:numId w:val="22"/>
        </w:numPr>
        <w:ind w:left="346" w:hanging="346"/>
        <w:rPr>
          <w:b/>
          <w:lang w:eastAsia="en-AU"/>
        </w:rPr>
      </w:pPr>
      <w:r>
        <w:rPr>
          <w:b/>
          <w:lang w:eastAsia="en-AU"/>
        </w:rPr>
        <w:t>Overall</w:t>
      </w:r>
    </w:p>
    <w:p w14:paraId="46E3BD11" w14:textId="04560704" w:rsidR="002A769F" w:rsidRDefault="00071C19" w:rsidP="002A769F">
      <w:pPr>
        <w:pStyle w:val="DHHSbody"/>
        <w:ind w:left="346" w:hanging="346"/>
        <w:rPr>
          <w:b/>
          <w:lang w:eastAsia="en-AU"/>
        </w:rPr>
      </w:pPr>
      <w:r>
        <w:rPr>
          <w:b/>
          <w:noProof/>
          <w:lang w:eastAsia="en-AU"/>
        </w:rPr>
        <w:drawing>
          <wp:inline distT="0" distB="0" distL="0" distR="0" wp14:anchorId="698A2D5F" wp14:editId="42674D9D">
            <wp:extent cx="3048000" cy="2324154"/>
            <wp:effectExtent l="0" t="0" r="0" b="0"/>
            <wp:docPr id="612" name="Picture 612" descr="This figure shows a data summary of 'Measure 13.8 – One-year survival from acute myeloid leukaemia'. Specially this figure focuses on the trends in one-year relative survival from acute myeloid leukaemia overall for the study period 2010-2016. The data set is available under 'Measure 13.8 – One-year survival from acute myeloid leukaemi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53764" cy="2328549"/>
                    </a:xfrm>
                    <a:prstGeom prst="rect">
                      <a:avLst/>
                    </a:prstGeom>
                    <a:noFill/>
                  </pic:spPr>
                </pic:pic>
              </a:graphicData>
            </a:graphic>
          </wp:inline>
        </w:drawing>
      </w:r>
    </w:p>
    <w:p w14:paraId="1D23E4B6" w14:textId="5A22C8A2" w:rsidR="00E759BF" w:rsidRDefault="00E759BF" w:rsidP="00160602">
      <w:pPr>
        <w:pStyle w:val="DHHSbody"/>
        <w:numPr>
          <w:ilvl w:val="0"/>
          <w:numId w:val="22"/>
        </w:numPr>
        <w:ind w:left="357" w:hanging="357"/>
        <w:rPr>
          <w:b/>
          <w:lang w:eastAsia="en-AU"/>
        </w:rPr>
      </w:pPr>
      <w:r>
        <w:rPr>
          <w:b/>
          <w:lang w:eastAsia="en-AU"/>
        </w:rPr>
        <w:t>Sex</w:t>
      </w:r>
    </w:p>
    <w:p w14:paraId="67264F1A" w14:textId="110F4F62" w:rsidR="00E759BF" w:rsidRDefault="00071C19" w:rsidP="000D6582">
      <w:pPr>
        <w:pStyle w:val="DHHSbody"/>
        <w:rPr>
          <w:b/>
          <w:lang w:eastAsia="en-AU"/>
        </w:rPr>
      </w:pPr>
      <w:r>
        <w:rPr>
          <w:b/>
          <w:noProof/>
          <w:lang w:eastAsia="en-AU"/>
        </w:rPr>
        <w:drawing>
          <wp:inline distT="0" distB="0" distL="0" distR="0" wp14:anchorId="23273A7F" wp14:editId="78BC9BA4">
            <wp:extent cx="3014133" cy="2336074"/>
            <wp:effectExtent l="0" t="0" r="0" b="7620"/>
            <wp:docPr id="613" name="Picture 613" descr="This figure shows a data summary of 'Measure 13.8 – One-year survival from acute myeloid leukaemia'. Specially this figure focuses on the trends in one-year relative survival from acute myeloid leukaemia by sex for the study period 2010-2016. The data set is available under 'Measure 13.8 – One-year survival from acute myeloid leukaemi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22957" cy="2342913"/>
                    </a:xfrm>
                    <a:prstGeom prst="rect">
                      <a:avLst/>
                    </a:prstGeom>
                    <a:noFill/>
                  </pic:spPr>
                </pic:pic>
              </a:graphicData>
            </a:graphic>
          </wp:inline>
        </w:drawing>
      </w:r>
    </w:p>
    <w:p w14:paraId="29A83CC0" w14:textId="77777777" w:rsidR="00E759BF" w:rsidRDefault="00E759BF" w:rsidP="00E759BF">
      <w:pPr>
        <w:pStyle w:val="DHHSbody"/>
        <w:ind w:left="346"/>
        <w:rPr>
          <w:b/>
          <w:lang w:eastAsia="en-AU"/>
        </w:rPr>
        <w:sectPr w:rsidR="00E759BF" w:rsidSect="000D6582">
          <w:type w:val="continuous"/>
          <w:pgSz w:w="11906" w:h="16838"/>
          <w:pgMar w:top="1701" w:right="849" w:bottom="1134" w:left="426" w:header="454" w:footer="510" w:gutter="0"/>
          <w:cols w:num="2" w:space="720"/>
          <w:docGrid w:linePitch="360"/>
        </w:sectPr>
      </w:pPr>
    </w:p>
    <w:p w14:paraId="30BD44A4" w14:textId="12352447" w:rsidR="002A769F" w:rsidRPr="002A769F" w:rsidRDefault="002A769F" w:rsidP="00160602">
      <w:pPr>
        <w:pStyle w:val="DHHSbody"/>
        <w:numPr>
          <w:ilvl w:val="0"/>
          <w:numId w:val="22"/>
        </w:numPr>
        <w:ind w:left="357" w:hanging="357"/>
        <w:rPr>
          <w:b/>
          <w:lang w:eastAsia="en-AU"/>
        </w:rPr>
      </w:pPr>
      <w:r>
        <w:rPr>
          <w:b/>
          <w:lang w:eastAsia="en-AU"/>
        </w:rPr>
        <w:t>Age</w:t>
      </w:r>
    </w:p>
    <w:p w14:paraId="744A8D16" w14:textId="0A390BA4" w:rsidR="002A769F" w:rsidRDefault="00071C19" w:rsidP="002A769F">
      <w:pPr>
        <w:pStyle w:val="DHHSbody"/>
        <w:rPr>
          <w:b/>
          <w:lang w:eastAsia="en-AU"/>
        </w:rPr>
      </w:pPr>
      <w:r>
        <w:rPr>
          <w:b/>
          <w:noProof/>
          <w:lang w:eastAsia="en-AU"/>
        </w:rPr>
        <w:drawing>
          <wp:inline distT="0" distB="0" distL="0" distR="0" wp14:anchorId="12B4ADE7" wp14:editId="186C242A">
            <wp:extent cx="3048000" cy="2244470"/>
            <wp:effectExtent l="0" t="0" r="0" b="3810"/>
            <wp:docPr id="614" name="Picture 614" descr="This figure shows a data summary of 'Measure 13.8 – One-year survival from acute myeloid leukaemia'. Specially this figure focuses on the trends in one-year relative survival from acute myeloid leukaemia by age for the study period 2010-2016. The data set is available under 'Measure 13.8 – One-year survival from acute myeloid leukaemi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55506" cy="2249997"/>
                    </a:xfrm>
                    <a:prstGeom prst="rect">
                      <a:avLst/>
                    </a:prstGeom>
                    <a:noFill/>
                  </pic:spPr>
                </pic:pic>
              </a:graphicData>
            </a:graphic>
          </wp:inline>
        </w:drawing>
      </w:r>
    </w:p>
    <w:p w14:paraId="3E9C7CE3" w14:textId="6C45A0DB" w:rsidR="00E759BF" w:rsidRDefault="00E759BF" w:rsidP="00160602">
      <w:pPr>
        <w:pStyle w:val="DHHSbody"/>
        <w:numPr>
          <w:ilvl w:val="0"/>
          <w:numId w:val="22"/>
        </w:numPr>
        <w:ind w:left="357" w:hanging="357"/>
        <w:rPr>
          <w:b/>
          <w:lang w:eastAsia="en-AU"/>
        </w:rPr>
      </w:pPr>
      <w:r>
        <w:rPr>
          <w:b/>
          <w:lang w:eastAsia="en-AU"/>
        </w:rPr>
        <w:t>Remoteness</w:t>
      </w:r>
    </w:p>
    <w:p w14:paraId="48DF8CE0" w14:textId="18C4AF31" w:rsidR="00E759BF" w:rsidRDefault="00071C19" w:rsidP="000D6582">
      <w:pPr>
        <w:pStyle w:val="DHHSbody"/>
        <w:rPr>
          <w:b/>
          <w:lang w:eastAsia="en-AU"/>
        </w:rPr>
      </w:pPr>
      <w:r>
        <w:rPr>
          <w:b/>
          <w:noProof/>
          <w:lang w:eastAsia="en-AU"/>
        </w:rPr>
        <w:drawing>
          <wp:inline distT="0" distB="0" distL="0" distR="0" wp14:anchorId="725E94E7" wp14:editId="27BBA931">
            <wp:extent cx="3093155" cy="2273132"/>
            <wp:effectExtent l="0" t="0" r="0" b="0"/>
            <wp:docPr id="615" name="Picture 615" descr="This figure shows a data summary of 'Measure 13.8 – One-year survival from acute myeloid leukaemia'. Specially this figure focuses on the trends in one-year relative survival from acute myeloid leukaemia by remoteness for the study period 2010-2016. The data set is available under 'Measure 13.8 – One-year survival from acute myeloid leukaemi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099734" cy="2277967"/>
                    </a:xfrm>
                    <a:prstGeom prst="rect">
                      <a:avLst/>
                    </a:prstGeom>
                    <a:noFill/>
                  </pic:spPr>
                </pic:pic>
              </a:graphicData>
            </a:graphic>
          </wp:inline>
        </w:drawing>
      </w:r>
    </w:p>
    <w:p w14:paraId="0B141B1C" w14:textId="77777777" w:rsidR="00E759BF" w:rsidRDefault="00E759BF" w:rsidP="00E759BF">
      <w:pPr>
        <w:pStyle w:val="DHHSbody"/>
        <w:ind w:left="346"/>
        <w:rPr>
          <w:b/>
          <w:lang w:eastAsia="en-AU"/>
        </w:rPr>
        <w:sectPr w:rsidR="00E759BF" w:rsidSect="000D6582">
          <w:type w:val="continuous"/>
          <w:pgSz w:w="11906" w:h="16838"/>
          <w:pgMar w:top="1701" w:right="849" w:bottom="1134" w:left="426" w:header="454" w:footer="510" w:gutter="0"/>
          <w:cols w:num="2" w:space="720"/>
          <w:docGrid w:linePitch="360"/>
        </w:sectPr>
      </w:pPr>
    </w:p>
    <w:p w14:paraId="180FCAA7" w14:textId="131FDFF6" w:rsidR="002A769F" w:rsidRDefault="002A769F" w:rsidP="00160602">
      <w:pPr>
        <w:pStyle w:val="DHHSbody"/>
        <w:numPr>
          <w:ilvl w:val="0"/>
          <w:numId w:val="22"/>
        </w:numPr>
        <w:ind w:left="357" w:hanging="357"/>
        <w:rPr>
          <w:b/>
          <w:lang w:eastAsia="en-AU"/>
        </w:rPr>
      </w:pPr>
      <w:r>
        <w:rPr>
          <w:b/>
          <w:lang w:eastAsia="en-AU"/>
        </w:rPr>
        <w:t>Integrated Cancer Service</w:t>
      </w:r>
    </w:p>
    <w:p w14:paraId="68CE3197" w14:textId="069073B0" w:rsidR="002A769F" w:rsidRDefault="00071C19" w:rsidP="00661DD8">
      <w:pPr>
        <w:pStyle w:val="DHHSbody"/>
        <w:rPr>
          <w:b/>
          <w:lang w:eastAsia="en-AU"/>
        </w:rPr>
      </w:pPr>
      <w:r>
        <w:rPr>
          <w:b/>
          <w:noProof/>
          <w:lang w:eastAsia="en-AU"/>
        </w:rPr>
        <w:drawing>
          <wp:inline distT="0" distB="0" distL="0" distR="0" wp14:anchorId="37F93A6A" wp14:editId="1592CF20">
            <wp:extent cx="6592711" cy="2443630"/>
            <wp:effectExtent l="0" t="0" r="0" b="0"/>
            <wp:docPr id="616" name="Picture 616" descr="This figure shows a data summary of 'Measure 13.8 – One-year survival from acute myeloid leukaemia'. Specially this figure focuses on the trends in one-year relative survival from acute myeloid leukaemia by Integrated Cancer Service for the study period 2010-2016. The data set is available under 'Measure 13.8 – One-year survival from acute myeloid leukaemia'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607356" cy="2449058"/>
                    </a:xfrm>
                    <a:prstGeom prst="rect">
                      <a:avLst/>
                    </a:prstGeom>
                    <a:noFill/>
                  </pic:spPr>
                </pic:pic>
              </a:graphicData>
            </a:graphic>
          </wp:inline>
        </w:drawing>
      </w:r>
    </w:p>
    <w:p w14:paraId="5F047F95" w14:textId="77777777" w:rsidR="00DC2D82" w:rsidRPr="0073300D" w:rsidRDefault="00DC2D82" w:rsidP="00DC2D82">
      <w:pPr>
        <w:pStyle w:val="DHHStablefigurenote"/>
      </w:pPr>
      <w:r w:rsidRPr="0073300D">
        <w:t>Note: Appendix 2 provides the dataset</w:t>
      </w:r>
      <w:r>
        <w:t>.</w:t>
      </w:r>
    </w:p>
    <w:p w14:paraId="3AB137AA" w14:textId="013D7DE5" w:rsidR="002E08FF" w:rsidRPr="00671C7A" w:rsidRDefault="002E08FF" w:rsidP="002E08FF">
      <w:pPr>
        <w:pStyle w:val="Heading4"/>
        <w:rPr>
          <w:lang w:eastAsia="en-AU"/>
        </w:rPr>
      </w:pPr>
      <w:r>
        <w:rPr>
          <w:lang w:eastAsia="en-AU"/>
        </w:rPr>
        <w:lastRenderedPageBreak/>
        <w:t>Measure assessment</w:t>
      </w:r>
    </w:p>
    <w:p w14:paraId="3BB1586A" w14:textId="7FB57714" w:rsidR="002E08FF" w:rsidRPr="00061321" w:rsidRDefault="002E08FF" w:rsidP="002E08FF">
      <w:pPr>
        <w:spacing w:after="120" w:line="270" w:lineRule="atLeast"/>
        <w:rPr>
          <w:rFonts w:ascii="Arial" w:hAnsi="Arial" w:cs="Arial"/>
          <w:color w:val="00B050"/>
        </w:rPr>
      </w:pPr>
      <w:r>
        <w:rPr>
          <w:rFonts w:ascii="Arial" w:hAnsi="Arial" w:cs="Arial"/>
        </w:rPr>
        <w:t xml:space="preserve">Traffic light rating: </w:t>
      </w:r>
      <w:r w:rsidR="0022786E" w:rsidRPr="00061321">
        <w:rPr>
          <w:rFonts w:ascii="Arial" w:hAnsi="Arial" w:cs="Arial"/>
          <w:b/>
          <w:color w:val="007B4B"/>
        </w:rPr>
        <w:t>Green</w:t>
      </w:r>
      <w:r w:rsidR="00061321">
        <w:rPr>
          <w:rFonts w:ascii="Arial" w:hAnsi="Arial" w:cs="Arial"/>
          <w:b/>
          <w:color w:val="007B4B"/>
        </w:rPr>
        <w:t xml:space="preserve"> </w:t>
      </w:r>
      <w:r w:rsidR="00061321">
        <w:rPr>
          <w:rFonts w:ascii="Arial" w:hAnsi="Arial" w:cs="Arial"/>
          <w:color w:val="007B4B"/>
        </w:rPr>
        <w:t>(satisfactory result)</w:t>
      </w:r>
    </w:p>
    <w:p w14:paraId="1D99A451" w14:textId="49B02C73" w:rsidR="002E08FF" w:rsidRDefault="002E08FF" w:rsidP="002E08FF">
      <w:pPr>
        <w:spacing w:after="120" w:line="270" w:lineRule="atLeast"/>
        <w:rPr>
          <w:rFonts w:ascii="Arial" w:hAnsi="Arial" w:cs="Arial"/>
        </w:rPr>
      </w:pPr>
      <w:r>
        <w:rPr>
          <w:rFonts w:ascii="Arial" w:hAnsi="Arial" w:cs="Arial"/>
        </w:rPr>
        <w:t xml:space="preserve">Overall trend: </w:t>
      </w:r>
      <w:r w:rsidR="0022786E">
        <w:rPr>
          <w:rFonts w:ascii="Arial" w:hAnsi="Arial" w:cs="Arial"/>
        </w:rPr>
        <w:t>Moving in the right direction</w:t>
      </w:r>
    </w:p>
    <w:p w14:paraId="0A05968A" w14:textId="11CFA98B" w:rsidR="00B635EF" w:rsidRDefault="002E08FF" w:rsidP="001122EB">
      <w:pPr>
        <w:pStyle w:val="DHHSbody"/>
      </w:pPr>
      <w:r w:rsidRPr="009964FA">
        <w:rPr>
          <w:rFonts w:cs="Arial"/>
          <w:lang w:eastAsia="en-AU"/>
        </w:rPr>
        <w:t>Commentary:</w:t>
      </w:r>
      <w:r w:rsidR="00B635EF">
        <w:rPr>
          <w:rFonts w:cs="Arial"/>
          <w:lang w:eastAsia="en-AU"/>
        </w:rPr>
        <w:t xml:space="preserve"> </w:t>
      </w:r>
      <w:r w:rsidR="001122EB">
        <w:t>A</w:t>
      </w:r>
      <w:r w:rsidR="00B635EF">
        <w:t>cute myeloid leukemia (AML) is a cancer of the blood and bone marrow.</w:t>
      </w:r>
      <w:r w:rsidR="001E73C8">
        <w:t xml:space="preserve"> I</w:t>
      </w:r>
      <w:r w:rsidR="001122EB">
        <w:t>t is a rare disease</w:t>
      </w:r>
      <w:r w:rsidR="001E73C8" w:rsidRPr="001E73C8">
        <w:t xml:space="preserve"> </w:t>
      </w:r>
      <w:r w:rsidR="001E73C8">
        <w:t>in Australia</w:t>
      </w:r>
      <w:r w:rsidR="001122EB">
        <w:t>, accounting for 0.8 per cent of all cancer diagnosed nationally.</w:t>
      </w:r>
      <w:r w:rsidR="00952FC7">
        <w:t xml:space="preserve"> </w:t>
      </w:r>
      <w:r w:rsidR="001E73C8">
        <w:t>Because</w:t>
      </w:r>
      <w:r w:rsidR="001122EB">
        <w:t xml:space="preserve"> AML is </w:t>
      </w:r>
      <w:r w:rsidR="00B635EF">
        <w:t>a heterogeneous disease with different treatments</w:t>
      </w:r>
      <w:r w:rsidR="001E73C8">
        <w:t>,</w:t>
      </w:r>
      <w:r w:rsidR="00B635EF">
        <w:t xml:space="preserve"> survival outcomes depend on the genetic makeup of leukaemic cells (Milligan 2008)</w:t>
      </w:r>
      <w:r w:rsidR="00710006">
        <w:t>.</w:t>
      </w:r>
      <w:r w:rsidR="00710006">
        <w:rPr>
          <w:rStyle w:val="FootnoteReference"/>
        </w:rPr>
        <w:footnoteReference w:id="158"/>
      </w:r>
      <w:r w:rsidR="00952FC7">
        <w:t xml:space="preserve"> </w:t>
      </w:r>
    </w:p>
    <w:p w14:paraId="6880A5DF" w14:textId="63B4805B" w:rsidR="001D7730" w:rsidRDefault="001D7730" w:rsidP="001D7730">
      <w:pPr>
        <w:pStyle w:val="DHHSbody"/>
      </w:pPr>
      <w:r>
        <w:t>In Victoria</w:t>
      </w:r>
      <w:r w:rsidR="00950BCF">
        <w:t xml:space="preserve">, </w:t>
      </w:r>
      <w:r w:rsidRPr="00E44472">
        <w:t xml:space="preserve">for people diagnosed with </w:t>
      </w:r>
      <w:r w:rsidR="00950BCF">
        <w:t xml:space="preserve">AML </w:t>
      </w:r>
      <w:r w:rsidRPr="00E44472">
        <w:t xml:space="preserve">between 2010 and 2016, the one-year relative survival </w:t>
      </w:r>
      <w:r w:rsidR="00950BCF">
        <w:t>increase</w:t>
      </w:r>
      <w:r w:rsidR="001E73C8">
        <w:t>d</w:t>
      </w:r>
      <w:r>
        <w:t xml:space="preserve"> </w:t>
      </w:r>
      <w:r w:rsidRPr="00E44472">
        <w:t xml:space="preserve">from </w:t>
      </w:r>
      <w:r>
        <w:t>4</w:t>
      </w:r>
      <w:r w:rsidR="00950BCF">
        <w:t>9</w:t>
      </w:r>
      <w:r>
        <w:t>.</w:t>
      </w:r>
      <w:r w:rsidR="00950BCF">
        <w:t>2</w:t>
      </w:r>
      <w:r>
        <w:t xml:space="preserve"> </w:t>
      </w:r>
      <w:r w:rsidRPr="00E44472">
        <w:t xml:space="preserve">per cent in 2010 to </w:t>
      </w:r>
      <w:r w:rsidR="00950BCF">
        <w:t>56</w:t>
      </w:r>
      <w:r w:rsidRPr="00E44472">
        <w:t>.</w:t>
      </w:r>
      <w:r w:rsidR="00950BCF">
        <w:t>3</w:t>
      </w:r>
      <w:r w:rsidRPr="00E44472">
        <w:t xml:space="preserve"> per cent in 2016 (Figure 13.</w:t>
      </w:r>
      <w:r w:rsidR="00950BCF">
        <w:t>8</w:t>
      </w:r>
      <w:r w:rsidRPr="00E44472">
        <w:t xml:space="preserve"> (A)).</w:t>
      </w:r>
      <w:r w:rsidR="00952FC7">
        <w:t xml:space="preserve"> </w:t>
      </w:r>
      <w:r w:rsidRPr="00E44472">
        <w:t xml:space="preserve">Survival </w:t>
      </w:r>
      <w:r>
        <w:t xml:space="preserve">fluctuated between genders </w:t>
      </w:r>
      <w:r w:rsidR="00950BCF">
        <w:t xml:space="preserve">but from 2014 </w:t>
      </w:r>
      <w:r w:rsidRPr="00E44472">
        <w:t>was higher for females than for males</w:t>
      </w:r>
      <w:r w:rsidR="00950BCF">
        <w:t xml:space="preserve">. </w:t>
      </w:r>
      <w:r w:rsidRPr="00E44472">
        <w:t>(Figure 13.</w:t>
      </w:r>
      <w:r w:rsidR="00950BCF">
        <w:t>8</w:t>
      </w:r>
      <w:r w:rsidRPr="00E44472">
        <w:t xml:space="preserve"> (B))</w:t>
      </w:r>
      <w:r>
        <w:t xml:space="preserve">. </w:t>
      </w:r>
      <w:r w:rsidRPr="00E44472">
        <w:t xml:space="preserve">Survival </w:t>
      </w:r>
      <w:r>
        <w:t>was</w:t>
      </w:r>
      <w:r w:rsidR="00950BCF">
        <w:t xml:space="preserve"> </w:t>
      </w:r>
      <w:r>
        <w:t xml:space="preserve">higher for those aged under </w:t>
      </w:r>
      <w:r w:rsidR="00950BCF">
        <w:t>44</w:t>
      </w:r>
      <w:r>
        <w:t xml:space="preserve"> years </w:t>
      </w:r>
      <w:r w:rsidR="00950BCF">
        <w:t>and decreased with age</w:t>
      </w:r>
      <w:r w:rsidR="001E73C8">
        <w:t>,</w:t>
      </w:r>
      <w:r w:rsidR="00950BCF">
        <w:t xml:space="preserve"> </w:t>
      </w:r>
      <w:r>
        <w:t xml:space="preserve">although wide confidence intervals infer the likelihood of a small sample size </w:t>
      </w:r>
      <w:r w:rsidR="001E73C8">
        <w:t xml:space="preserve">that </w:t>
      </w:r>
      <w:r>
        <w:t>may not be well</w:t>
      </w:r>
      <w:r w:rsidR="00BD697A">
        <w:t xml:space="preserve"> </w:t>
      </w:r>
      <w:r>
        <w:t xml:space="preserve">representative </w:t>
      </w:r>
      <w:r w:rsidR="001E73C8">
        <w:t>of</w:t>
      </w:r>
      <w:r>
        <w:t xml:space="preserve"> the respective age categories (</w:t>
      </w:r>
      <w:r w:rsidR="00950BCF">
        <w:t>45</w:t>
      </w:r>
      <w:r w:rsidR="00840304">
        <w:t>–</w:t>
      </w:r>
      <w:r>
        <w:t>54 and 55</w:t>
      </w:r>
      <w:r w:rsidR="00840304">
        <w:t>–</w:t>
      </w:r>
      <w:r>
        <w:t xml:space="preserve">64). </w:t>
      </w:r>
      <w:r w:rsidR="00950BCF">
        <w:t>Figure 13.</w:t>
      </w:r>
      <w:r w:rsidR="00CC5CC5">
        <w:t>8</w:t>
      </w:r>
      <w:r w:rsidR="00950BCF">
        <w:t xml:space="preserve"> (C) shows that </w:t>
      </w:r>
      <w:r>
        <w:t xml:space="preserve">survival fell </w:t>
      </w:r>
      <w:r w:rsidR="00950BCF">
        <w:t xml:space="preserve">significantly </w:t>
      </w:r>
      <w:r>
        <w:t xml:space="preserve">for those aged 75 years </w:t>
      </w:r>
      <w:r w:rsidR="001B50BF">
        <w:t xml:space="preserve">or </w:t>
      </w:r>
      <w:r>
        <w:t>older for each of the reporting years</w:t>
      </w:r>
      <w:r w:rsidR="00950BCF">
        <w:t>.</w:t>
      </w:r>
    </w:p>
    <w:p w14:paraId="2A685792" w14:textId="51D671CE" w:rsidR="001D7730" w:rsidRPr="00E44472" w:rsidRDefault="001D7730" w:rsidP="001D7730">
      <w:pPr>
        <w:pStyle w:val="DHHSbody"/>
      </w:pPr>
      <w:r w:rsidRPr="00E44472">
        <w:t>Survival varied by remoteness</w:t>
      </w:r>
      <w:r w:rsidR="001E73C8">
        <w:t>,</w:t>
      </w:r>
      <w:r w:rsidRPr="00E44472">
        <w:t xml:space="preserve"> with one-year survival </w:t>
      </w:r>
      <w:r>
        <w:t xml:space="preserve">generally </w:t>
      </w:r>
      <w:r w:rsidRPr="00E44472">
        <w:t xml:space="preserve">higher in </w:t>
      </w:r>
      <w:r w:rsidR="00ED7DBA">
        <w:t>m</w:t>
      </w:r>
      <w:r w:rsidRPr="00E44472">
        <w:t xml:space="preserve">ajor cities for most years </w:t>
      </w:r>
      <w:r>
        <w:t>reported</w:t>
      </w:r>
      <w:r w:rsidR="002522DB">
        <w:t>.</w:t>
      </w:r>
      <w:r>
        <w:t xml:space="preserve"> </w:t>
      </w:r>
      <w:r w:rsidR="002522DB">
        <w:t xml:space="preserve">However, </w:t>
      </w:r>
      <w:r>
        <w:t>as with other measures</w:t>
      </w:r>
      <w:r w:rsidRPr="00E44472">
        <w:t>, caution should be taken when interpreting th</w:t>
      </w:r>
      <w:r>
        <w:t>ese</w:t>
      </w:r>
      <w:r w:rsidRPr="00E44472">
        <w:t xml:space="preserve"> result</w:t>
      </w:r>
      <w:r>
        <w:t>s</w:t>
      </w:r>
      <w:r w:rsidRPr="00E44472">
        <w:t xml:space="preserve"> </w:t>
      </w:r>
      <w:r w:rsidR="001E73C8">
        <w:t>because</w:t>
      </w:r>
      <w:r w:rsidRPr="00E44472">
        <w:t xml:space="preserve"> the wide confidence interval</w:t>
      </w:r>
      <w:r>
        <w:t>s</w:t>
      </w:r>
      <w:r w:rsidRPr="00E44472">
        <w:t xml:space="preserve"> shown for </w:t>
      </w:r>
      <w:r>
        <w:t xml:space="preserve">one-year survival rates particularly as they relate to </w:t>
      </w:r>
      <w:r w:rsidR="001B50BF">
        <w:t>o</w:t>
      </w:r>
      <w:r>
        <w:t xml:space="preserve">uter </w:t>
      </w:r>
      <w:r w:rsidR="001B50BF">
        <w:t>r</w:t>
      </w:r>
      <w:r>
        <w:t>egional/</w:t>
      </w:r>
      <w:r w:rsidR="001B50BF">
        <w:t>r</w:t>
      </w:r>
      <w:r>
        <w:t xml:space="preserve">emote areas denotes </w:t>
      </w:r>
      <w:r w:rsidRPr="00E44472">
        <w:t xml:space="preserve">a small sample size that may not be well representative </w:t>
      </w:r>
      <w:r w:rsidR="001E73C8">
        <w:t>of</w:t>
      </w:r>
      <w:r w:rsidRPr="00E44472">
        <w:t xml:space="preserve"> the population (Figure 13.</w:t>
      </w:r>
      <w:r w:rsidR="00CC5CC5">
        <w:t>8</w:t>
      </w:r>
      <w:r w:rsidRPr="00E44472">
        <w:t xml:space="preserve"> (D)).</w:t>
      </w:r>
      <w:r w:rsidR="00952FC7">
        <w:t xml:space="preserve"> </w:t>
      </w:r>
    </w:p>
    <w:p w14:paraId="7FF443AB" w14:textId="33B31F2C" w:rsidR="001D7730" w:rsidRPr="00E44472" w:rsidRDefault="00964855" w:rsidP="001D7730">
      <w:pPr>
        <w:pStyle w:val="DHHSbody"/>
      </w:pPr>
      <w:r>
        <w:t>Figure 13.8 (D) shows no significant differences in one-year survival by remoteness or by</w:t>
      </w:r>
      <w:r w:rsidR="00A31F4E">
        <w:t xml:space="preserve"> </w:t>
      </w:r>
      <w:r w:rsidR="001D7730" w:rsidRPr="00E44472">
        <w:t>ICS between 2010 and 201</w:t>
      </w:r>
      <w:r w:rsidR="001D7730">
        <w:t>6 (Figure 13.</w:t>
      </w:r>
      <w:r>
        <w:t>8</w:t>
      </w:r>
      <w:r w:rsidR="001D7730">
        <w:t xml:space="preserve"> (E)).</w:t>
      </w:r>
    </w:p>
    <w:p w14:paraId="577165DE" w14:textId="39BC82BF" w:rsidR="00CA067E" w:rsidRDefault="001D7730" w:rsidP="00395D33">
      <w:pPr>
        <w:pStyle w:val="DHHSbody"/>
      </w:pPr>
      <w:r w:rsidRPr="00890645">
        <w:t>While no target has been set for th</w:t>
      </w:r>
      <w:r>
        <w:t>is</w:t>
      </w:r>
      <w:r w:rsidRPr="00890645">
        <w:t xml:space="preserve"> measure</w:t>
      </w:r>
      <w:r w:rsidR="00E944CA">
        <w:t>,</w:t>
      </w:r>
      <w:r>
        <w:t xml:space="preserve"> the one-year survival rate for those patients diagnosed with </w:t>
      </w:r>
      <w:r w:rsidR="00710006">
        <w:t>AML</w:t>
      </w:r>
      <w:r>
        <w:t xml:space="preserve"> between 2010 and 2016 shows </w:t>
      </w:r>
      <w:r w:rsidR="0022786E">
        <w:t xml:space="preserve">some </w:t>
      </w:r>
      <w:r>
        <w:t>improvement in the proportion of those surviving the one-year period.</w:t>
      </w:r>
    </w:p>
    <w:p w14:paraId="14A1246C" w14:textId="0ECEBB92" w:rsidR="005C15AA" w:rsidRPr="001A2A05" w:rsidRDefault="001D7730" w:rsidP="00395D33">
      <w:pPr>
        <w:pStyle w:val="Heading3"/>
      </w:pPr>
      <w:bookmarkStart w:id="853" w:name="_Measure_13.9_–"/>
      <w:bookmarkEnd w:id="853"/>
      <w:r>
        <w:t xml:space="preserve"> </w:t>
      </w:r>
      <w:r w:rsidR="006C654C">
        <w:br w:type="page"/>
      </w:r>
      <w:bookmarkStart w:id="854" w:name="_Toc19008170"/>
      <w:r w:rsidR="005C15AA" w:rsidRPr="003C375D">
        <w:lastRenderedPageBreak/>
        <w:t xml:space="preserve">Measure 13.9 – </w:t>
      </w:r>
      <w:r w:rsidR="00B543C4" w:rsidRPr="003C375D">
        <w:t xml:space="preserve">Five-year </w:t>
      </w:r>
      <w:r w:rsidR="00707755" w:rsidRPr="003C375D">
        <w:t xml:space="preserve">relative </w:t>
      </w:r>
      <w:r w:rsidR="00B543C4" w:rsidRPr="003C375D">
        <w:t>survival from all cancers</w:t>
      </w:r>
      <w:bookmarkEnd w:id="854"/>
    </w:p>
    <w:p w14:paraId="04FF0E3E" w14:textId="29B070A6" w:rsidR="006C654C" w:rsidRDefault="00391488" w:rsidP="008D320F">
      <w:pPr>
        <w:pStyle w:val="DHHSfigurecaption"/>
      </w:pPr>
      <w:bookmarkStart w:id="855" w:name="_Toc19008171"/>
      <w:bookmarkStart w:id="856" w:name="_Toc19008370"/>
      <w:bookmarkStart w:id="857" w:name="_Toc19008517"/>
      <w:bookmarkStart w:id="858" w:name="_Toc19008664"/>
      <w:bookmarkStart w:id="859" w:name="_Toc27414372"/>
      <w:r>
        <w:t>Figure 13.9</w:t>
      </w:r>
      <w:r w:rsidR="009D0E1A">
        <w:t>:</w:t>
      </w:r>
      <w:r>
        <w:t xml:space="preserve"> Five</w:t>
      </w:r>
      <w:r w:rsidR="00AA5069">
        <w:t>-year relative survival from</w:t>
      </w:r>
      <w:r w:rsidR="006C654C" w:rsidRPr="006C654C">
        <w:t xml:space="preserve"> all cancers (nationally) combined and selected cancer types</w:t>
      </w:r>
      <w:r w:rsidR="00266A9F">
        <w:t>,</w:t>
      </w:r>
      <w:r w:rsidR="006C654C" w:rsidRPr="006C654C">
        <w:t xml:space="preserve"> by sex, 2010</w:t>
      </w:r>
      <w:r w:rsidR="009D0E1A">
        <w:t>–</w:t>
      </w:r>
      <w:r w:rsidR="006C654C" w:rsidRPr="006C654C">
        <w:t>2014</w:t>
      </w:r>
      <w:r w:rsidR="00160C1F">
        <w:rPr>
          <w:rStyle w:val="FootnoteReference"/>
          <w:b w:val="0"/>
          <w:lang w:eastAsia="en-AU"/>
        </w:rPr>
        <w:footnoteReference w:id="159"/>
      </w:r>
      <w:bookmarkEnd w:id="855"/>
      <w:bookmarkEnd w:id="856"/>
      <w:bookmarkEnd w:id="857"/>
      <w:bookmarkEnd w:id="858"/>
      <w:bookmarkEnd w:id="859"/>
    </w:p>
    <w:p w14:paraId="12E2BB1B" w14:textId="0C5FD66E" w:rsidR="000A3EC2" w:rsidRDefault="00C656A9" w:rsidP="00EC5CB0">
      <w:pPr>
        <w:pStyle w:val="DHHSbody"/>
        <w:ind w:hanging="284"/>
        <w:jc w:val="center"/>
        <w:rPr>
          <w:b/>
          <w:lang w:eastAsia="en-AU"/>
        </w:rPr>
      </w:pPr>
      <w:r>
        <w:rPr>
          <w:noProof/>
        </w:rPr>
        <w:drawing>
          <wp:inline distT="0" distB="0" distL="0" distR="0" wp14:anchorId="6E77DFC5" wp14:editId="7B06E0D6">
            <wp:extent cx="6791297" cy="4583016"/>
            <wp:effectExtent l="0" t="0" r="0" b="8255"/>
            <wp:docPr id="199" name="Picture 199" descr="This figure forms part of the section that is specific to Measure 13.9 - Five-year relative survival from all cancers.  It shows the five-year relative survival from all cancers (nationally) combined and selected cancer types,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796253" cy="4586361"/>
                    </a:xfrm>
                    <a:prstGeom prst="rect">
                      <a:avLst/>
                    </a:prstGeom>
                  </pic:spPr>
                </pic:pic>
              </a:graphicData>
            </a:graphic>
          </wp:inline>
        </w:drawing>
      </w:r>
    </w:p>
    <w:p w14:paraId="25034B7D" w14:textId="21873F96" w:rsidR="005813A7" w:rsidRDefault="002528CF"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6DDBA463" w14:textId="77777777" w:rsidR="00EC5CB0" w:rsidRDefault="00EC5CB0">
      <w:pPr>
        <w:rPr>
          <w:rFonts w:ascii="Arial" w:eastAsia="Times" w:hAnsi="Arial"/>
          <w:b/>
        </w:rPr>
      </w:pPr>
      <w:r>
        <w:rPr>
          <w:b/>
        </w:rPr>
        <w:br w:type="page"/>
      </w:r>
    </w:p>
    <w:p w14:paraId="1B498E96" w14:textId="46E7FA78" w:rsidR="0008542B" w:rsidRDefault="0008542B" w:rsidP="005E1660">
      <w:pPr>
        <w:pStyle w:val="DHHSbody"/>
        <w:rPr>
          <w:b/>
          <w:lang w:eastAsia="en-AU"/>
        </w:rPr>
      </w:pPr>
      <w:r>
        <w:rPr>
          <w:b/>
          <w:lang w:eastAsia="en-AU"/>
        </w:rPr>
        <w:lastRenderedPageBreak/>
        <w:t>Figure 13.9</w:t>
      </w:r>
      <w:r w:rsidR="002528CF">
        <w:rPr>
          <w:b/>
          <w:lang w:eastAsia="en-AU"/>
        </w:rPr>
        <w:t>.1</w:t>
      </w:r>
      <w:r w:rsidR="009D0E1A">
        <w:rPr>
          <w:b/>
          <w:lang w:eastAsia="en-AU"/>
        </w:rPr>
        <w:t>:</w:t>
      </w:r>
      <w:r>
        <w:rPr>
          <w:b/>
          <w:lang w:eastAsia="en-AU"/>
        </w:rPr>
        <w:t xml:space="preserve"> Five-year relative survival from</w:t>
      </w:r>
      <w:r w:rsidRPr="006C654C">
        <w:rPr>
          <w:b/>
          <w:lang w:eastAsia="en-AU"/>
        </w:rPr>
        <w:t xml:space="preserve"> all cancers (nationally) combined and selected cancer types</w:t>
      </w:r>
      <w:r w:rsidR="00266A9F">
        <w:rPr>
          <w:b/>
          <w:lang w:eastAsia="en-AU"/>
        </w:rPr>
        <w:t>,</w:t>
      </w:r>
      <w:r w:rsidRPr="006C654C">
        <w:rPr>
          <w:b/>
          <w:lang w:eastAsia="en-AU"/>
        </w:rPr>
        <w:t xml:space="preserve"> by age and sex, 2010</w:t>
      </w:r>
      <w:r w:rsidR="009D0E1A">
        <w:rPr>
          <w:b/>
          <w:lang w:eastAsia="en-AU"/>
        </w:rPr>
        <w:t>–</w:t>
      </w:r>
      <w:r w:rsidRPr="006C654C">
        <w:rPr>
          <w:b/>
          <w:lang w:eastAsia="en-AU"/>
        </w:rPr>
        <w:t>2014</w:t>
      </w:r>
      <w:r w:rsidR="00933769">
        <w:rPr>
          <w:rStyle w:val="FootnoteReference"/>
          <w:b/>
          <w:lang w:eastAsia="en-AU"/>
        </w:rPr>
        <w:footnoteReference w:id="160"/>
      </w:r>
    </w:p>
    <w:p w14:paraId="4C80AB7A" w14:textId="2ACF7539" w:rsidR="00C656A9" w:rsidRPr="006C654C" w:rsidRDefault="00C656A9" w:rsidP="005E1660">
      <w:pPr>
        <w:pStyle w:val="DHHSbody"/>
        <w:rPr>
          <w:b/>
          <w:lang w:eastAsia="en-AU"/>
        </w:rPr>
      </w:pPr>
      <w:r>
        <w:rPr>
          <w:noProof/>
        </w:rPr>
        <w:drawing>
          <wp:inline distT="0" distB="0" distL="0" distR="0" wp14:anchorId="73D0DFB3" wp14:editId="19E34359">
            <wp:extent cx="6363623" cy="3625403"/>
            <wp:effectExtent l="0" t="0" r="0" b="0"/>
            <wp:docPr id="1" name="Picture 1" descr="This figure forms part of the section that is specific to Measure 13.9 - Five-year relative survival from all cancers.  It shows the five-year relative survival from all cancers (nationally) combined and selected cancer types, by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370788" cy="3629485"/>
                    </a:xfrm>
                    <a:prstGeom prst="rect">
                      <a:avLst/>
                    </a:prstGeom>
                  </pic:spPr>
                </pic:pic>
              </a:graphicData>
            </a:graphic>
          </wp:inline>
        </w:drawing>
      </w:r>
    </w:p>
    <w:p w14:paraId="49F39942" w14:textId="0DED6A60"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60985A66" w14:textId="310B1EF8" w:rsidR="006C654C" w:rsidRPr="000A37BC" w:rsidRDefault="006C654C" w:rsidP="005A5151">
      <w:pPr>
        <w:pStyle w:val="DHHStablefigurenote"/>
        <w:rPr>
          <w:lang w:val="en"/>
        </w:rPr>
      </w:pPr>
      <w:r w:rsidRPr="000A37BC">
        <w:rPr>
          <w:lang w:val="en"/>
        </w:rPr>
        <w:t>Notes</w:t>
      </w:r>
      <w:r w:rsidR="00CA067E">
        <w:rPr>
          <w:lang w:val="en"/>
        </w:rPr>
        <w:t>:</w:t>
      </w:r>
      <w:r w:rsidRPr="000A37BC">
        <w:rPr>
          <w:lang w:val="en"/>
        </w:rPr>
        <w:t> </w:t>
      </w:r>
    </w:p>
    <w:p w14:paraId="0A71AB95" w14:textId="45D02807" w:rsidR="00C0080C" w:rsidRDefault="006C654C" w:rsidP="005A5151">
      <w:pPr>
        <w:pStyle w:val="DHHStablefigurenote"/>
        <w:rPr>
          <w:lang w:val="en"/>
        </w:rPr>
      </w:pPr>
      <w:r w:rsidRPr="000A37BC">
        <w:rPr>
          <w:lang w:val="en"/>
        </w:rPr>
        <w:t>Relative survival was calculated with the period meth</w:t>
      </w:r>
      <w:r w:rsidR="00B80BEA" w:rsidRPr="000A37BC">
        <w:rPr>
          <w:lang w:val="en"/>
        </w:rPr>
        <w:t>od, using the period 2010–2014.</w:t>
      </w:r>
      <w:r w:rsidR="00952FC7">
        <w:rPr>
          <w:lang w:val="en"/>
        </w:rPr>
        <w:t xml:space="preserve"> </w:t>
      </w:r>
      <w:r w:rsidRPr="000A37BC">
        <w:rPr>
          <w:lang w:val="en"/>
        </w:rPr>
        <w:t>Note that this period does not contain incidence data for 2014 for N</w:t>
      </w:r>
      <w:r w:rsidR="00CA067E">
        <w:rPr>
          <w:lang w:val="en"/>
        </w:rPr>
        <w:t>ew South Wales</w:t>
      </w:r>
      <w:r w:rsidRPr="000A37BC">
        <w:rPr>
          <w:lang w:val="en"/>
        </w:rPr>
        <w:t xml:space="preserve"> because </w:t>
      </w:r>
      <w:r w:rsidR="00CA067E">
        <w:rPr>
          <w:lang w:val="en"/>
        </w:rPr>
        <w:t xml:space="preserve">that </w:t>
      </w:r>
      <w:r w:rsidR="005F72D6">
        <w:rPr>
          <w:lang w:val="en"/>
        </w:rPr>
        <w:t xml:space="preserve">data </w:t>
      </w:r>
      <w:r w:rsidR="00CA067E">
        <w:rPr>
          <w:lang w:val="en"/>
        </w:rPr>
        <w:t xml:space="preserve">was </w:t>
      </w:r>
      <w:r w:rsidR="005F72D6">
        <w:rPr>
          <w:lang w:val="en"/>
        </w:rPr>
        <w:t>un</w:t>
      </w:r>
      <w:r w:rsidRPr="000A37BC">
        <w:rPr>
          <w:lang w:val="en"/>
        </w:rPr>
        <w:t>available.</w:t>
      </w:r>
    </w:p>
    <w:p w14:paraId="6007B7C4" w14:textId="3035C645" w:rsidR="009578BC" w:rsidRPr="009F3CFE" w:rsidRDefault="0074175B" w:rsidP="005A5151">
      <w:pPr>
        <w:pStyle w:val="DHHStablefigurenote"/>
        <w:rPr>
          <w:lang w:val="en"/>
        </w:rPr>
      </w:pPr>
      <w:r>
        <w:rPr>
          <w:lang w:val="en"/>
        </w:rPr>
        <w:t>Error ba</w:t>
      </w:r>
      <w:r w:rsidR="00CD4ADB">
        <w:rPr>
          <w:lang w:val="en"/>
        </w:rPr>
        <w:t>rs</w:t>
      </w:r>
      <w:r>
        <w:rPr>
          <w:lang w:val="en"/>
        </w:rPr>
        <w:t xml:space="preserve"> indicate 95</w:t>
      </w:r>
      <w:r w:rsidR="00C5056C">
        <w:rPr>
          <w:lang w:val="en"/>
        </w:rPr>
        <w:t xml:space="preserve"> per cent</w:t>
      </w:r>
      <w:r w:rsidR="000A3EC2">
        <w:rPr>
          <w:lang w:val="en"/>
        </w:rPr>
        <w:t xml:space="preserve"> confidence intervals.</w:t>
      </w:r>
    </w:p>
    <w:p w14:paraId="73EB9C9D" w14:textId="0C7961B9" w:rsidR="009F3CFE" w:rsidRDefault="009F3CFE" w:rsidP="008D320F">
      <w:pPr>
        <w:pStyle w:val="DHHSfigurecaption"/>
      </w:pPr>
      <w:bookmarkStart w:id="860" w:name="_Toc19008172"/>
      <w:bookmarkStart w:id="861" w:name="_Toc19008371"/>
      <w:bookmarkStart w:id="862" w:name="_Toc19008518"/>
      <w:bookmarkStart w:id="863" w:name="_Toc19008665"/>
      <w:bookmarkStart w:id="864" w:name="_Toc27414373"/>
      <w:r w:rsidRPr="008A5FEF">
        <w:t>Figure 13.</w:t>
      </w:r>
      <w:r>
        <w:t>9.2</w:t>
      </w:r>
      <w:r w:rsidR="009D0E1A">
        <w:t>:</w:t>
      </w:r>
      <w:r>
        <w:t xml:space="preserve"> Five-year relative survival from all cancers combined</w:t>
      </w:r>
      <w:r w:rsidR="00266A9F">
        <w:t>,</w:t>
      </w:r>
      <w:r>
        <w:t xml:space="preserve"> by age (A), remoteness (B)</w:t>
      </w:r>
      <w:r w:rsidR="007B134E">
        <w:t xml:space="preserve">, </w:t>
      </w:r>
      <w:r w:rsidR="00DE7FFE">
        <w:t>SES</w:t>
      </w:r>
      <w:r w:rsidR="007B134E">
        <w:t xml:space="preserve"> (C) </w:t>
      </w:r>
      <w:r>
        <w:t xml:space="preserve">and </w:t>
      </w:r>
      <w:r w:rsidR="008439C8">
        <w:t>ICS</w:t>
      </w:r>
      <w:r>
        <w:t xml:space="preserve"> (</w:t>
      </w:r>
      <w:r w:rsidR="007B134E">
        <w:t>D</w:t>
      </w:r>
      <w:r>
        <w:t>), Victoria, 2010</w:t>
      </w:r>
      <w:r w:rsidR="009D0E1A">
        <w:t>–</w:t>
      </w:r>
      <w:r>
        <w:t>2014</w:t>
      </w:r>
      <w:bookmarkEnd w:id="860"/>
      <w:bookmarkEnd w:id="861"/>
      <w:bookmarkEnd w:id="862"/>
      <w:bookmarkEnd w:id="863"/>
      <w:bookmarkEnd w:id="864"/>
    </w:p>
    <w:p w14:paraId="39F7FE98" w14:textId="77777777" w:rsidR="00EC5CB0" w:rsidRDefault="00EC5CB0" w:rsidP="00160602">
      <w:pPr>
        <w:pStyle w:val="DHHSbody"/>
        <w:numPr>
          <w:ilvl w:val="0"/>
          <w:numId w:val="38"/>
        </w:numPr>
        <w:ind w:left="284" w:hanging="284"/>
        <w:rPr>
          <w:b/>
          <w:lang w:eastAsia="en-AU"/>
        </w:rPr>
        <w:sectPr w:rsidR="00EC5CB0" w:rsidSect="006116E6">
          <w:type w:val="continuous"/>
          <w:pgSz w:w="11906" w:h="16838"/>
          <w:pgMar w:top="1701" w:right="849" w:bottom="1134" w:left="426" w:header="454" w:footer="510" w:gutter="0"/>
          <w:cols w:space="720"/>
          <w:docGrid w:linePitch="360"/>
        </w:sectPr>
      </w:pPr>
    </w:p>
    <w:p w14:paraId="27A6B2C0" w14:textId="3270FC89" w:rsidR="0039359A" w:rsidRDefault="00E21ED4" w:rsidP="00160602">
      <w:pPr>
        <w:pStyle w:val="DHHSbody"/>
        <w:numPr>
          <w:ilvl w:val="0"/>
          <w:numId w:val="38"/>
        </w:numPr>
        <w:ind w:left="284" w:hanging="284"/>
        <w:rPr>
          <w:b/>
          <w:lang w:eastAsia="en-AU"/>
        </w:rPr>
      </w:pPr>
      <w:r>
        <w:rPr>
          <w:b/>
          <w:lang w:eastAsia="en-AU"/>
        </w:rPr>
        <w:t>Age</w:t>
      </w:r>
    </w:p>
    <w:p w14:paraId="48167261" w14:textId="075A41C0" w:rsidR="00E21ED4" w:rsidRDefault="00071C19" w:rsidP="00E21ED4">
      <w:pPr>
        <w:pStyle w:val="DHHSbody"/>
        <w:ind w:left="720" w:hanging="720"/>
        <w:rPr>
          <w:b/>
          <w:lang w:eastAsia="en-AU"/>
        </w:rPr>
      </w:pPr>
      <w:r>
        <w:rPr>
          <w:b/>
          <w:noProof/>
          <w:lang w:eastAsia="en-AU"/>
        </w:rPr>
        <w:drawing>
          <wp:inline distT="0" distB="0" distL="0" distR="0" wp14:anchorId="59291E69" wp14:editId="37CBA7BA">
            <wp:extent cx="3133725" cy="2548255"/>
            <wp:effectExtent l="0" t="0" r="9525" b="4445"/>
            <wp:docPr id="617" name="Picture 617" descr="This figure shows a data summary of 'Measure 13.9 – Five-year survival from all cancers'. Specially this figure focuses on the five-year relative survival from all cancers by age for the study period 2010-2014. The data set is available under 'Measure 13.9 – Fiv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133725" cy="2548255"/>
                    </a:xfrm>
                    <a:prstGeom prst="rect">
                      <a:avLst/>
                    </a:prstGeom>
                    <a:noFill/>
                  </pic:spPr>
                </pic:pic>
              </a:graphicData>
            </a:graphic>
          </wp:inline>
        </w:drawing>
      </w:r>
    </w:p>
    <w:p w14:paraId="351D60E1" w14:textId="4C8A330F" w:rsidR="00EC5CB0" w:rsidRDefault="00EC5CB0" w:rsidP="00160602">
      <w:pPr>
        <w:pStyle w:val="DHHSbody"/>
        <w:numPr>
          <w:ilvl w:val="0"/>
          <w:numId w:val="38"/>
        </w:numPr>
        <w:ind w:left="284" w:hanging="284"/>
        <w:rPr>
          <w:b/>
          <w:lang w:eastAsia="en-AU"/>
        </w:rPr>
      </w:pPr>
      <w:r>
        <w:rPr>
          <w:b/>
          <w:lang w:eastAsia="en-AU"/>
        </w:rPr>
        <w:t>Remoteness</w:t>
      </w:r>
    </w:p>
    <w:p w14:paraId="6CD5B69D" w14:textId="3B6DB1EB" w:rsidR="00EC5CB0" w:rsidRDefault="00071C19" w:rsidP="00EC5CB0">
      <w:pPr>
        <w:pStyle w:val="DHHSbody"/>
        <w:rPr>
          <w:b/>
          <w:lang w:eastAsia="en-AU"/>
        </w:rPr>
      </w:pPr>
      <w:r>
        <w:rPr>
          <w:b/>
          <w:noProof/>
          <w:lang w:eastAsia="en-AU"/>
        </w:rPr>
        <w:drawing>
          <wp:inline distT="0" distB="0" distL="0" distR="0" wp14:anchorId="79E05D45" wp14:editId="22D23D2F">
            <wp:extent cx="3133725" cy="2524125"/>
            <wp:effectExtent l="0" t="0" r="9525" b="9525"/>
            <wp:docPr id="618" name="Picture 618" descr="This figure shows a data summary of 'Measure 13.9 – Five-year survival from all cancers'. Specially this figure focuses on the five-year relative survival from all cancers by remoteness for the study period 2010-2014. The data set is available under 'Measure 13.9 – Fiv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133725" cy="2524125"/>
                    </a:xfrm>
                    <a:prstGeom prst="rect">
                      <a:avLst/>
                    </a:prstGeom>
                    <a:noFill/>
                  </pic:spPr>
                </pic:pic>
              </a:graphicData>
            </a:graphic>
          </wp:inline>
        </w:drawing>
      </w:r>
    </w:p>
    <w:p w14:paraId="5AC19789" w14:textId="77777777" w:rsidR="00EC5CB0" w:rsidRDefault="00EC5CB0" w:rsidP="00EC5CB0">
      <w:pPr>
        <w:pStyle w:val="DHHSbody"/>
        <w:rPr>
          <w:b/>
          <w:lang w:eastAsia="en-AU"/>
        </w:rPr>
        <w:sectPr w:rsidR="00EC5CB0" w:rsidSect="00EC5CB0">
          <w:type w:val="continuous"/>
          <w:pgSz w:w="11906" w:h="16838"/>
          <w:pgMar w:top="1701" w:right="849" w:bottom="1134" w:left="426" w:header="454" w:footer="510" w:gutter="0"/>
          <w:cols w:num="2" w:space="720"/>
          <w:docGrid w:linePitch="360"/>
        </w:sectPr>
      </w:pPr>
    </w:p>
    <w:p w14:paraId="43B4A513" w14:textId="77777777" w:rsidR="00EC5CB0" w:rsidRDefault="00EC5CB0" w:rsidP="00EC5CB0">
      <w:pPr>
        <w:pStyle w:val="DHHSbody"/>
        <w:rPr>
          <w:b/>
          <w:lang w:eastAsia="en-AU"/>
        </w:rPr>
      </w:pPr>
    </w:p>
    <w:p w14:paraId="28F33485" w14:textId="77777777" w:rsidR="009A720C" w:rsidRDefault="009A720C" w:rsidP="00160602">
      <w:pPr>
        <w:pStyle w:val="DHHSbody"/>
        <w:numPr>
          <w:ilvl w:val="0"/>
          <w:numId w:val="38"/>
        </w:numPr>
        <w:rPr>
          <w:b/>
          <w:lang w:eastAsia="en-AU"/>
        </w:rPr>
        <w:sectPr w:rsidR="009A720C" w:rsidSect="006116E6">
          <w:type w:val="continuous"/>
          <w:pgSz w:w="11906" w:h="16838"/>
          <w:pgMar w:top="1701" w:right="849" w:bottom="1134" w:left="426" w:header="454" w:footer="510" w:gutter="0"/>
          <w:cols w:space="720"/>
          <w:docGrid w:linePitch="360"/>
        </w:sectPr>
      </w:pPr>
    </w:p>
    <w:p w14:paraId="2B460288" w14:textId="4DF66CD5" w:rsidR="00E21ED4" w:rsidRDefault="00E21ED4" w:rsidP="00160602">
      <w:pPr>
        <w:pStyle w:val="DHHSbody"/>
        <w:numPr>
          <w:ilvl w:val="0"/>
          <w:numId w:val="38"/>
        </w:numPr>
        <w:tabs>
          <w:tab w:val="left" w:pos="426"/>
        </w:tabs>
        <w:ind w:hanging="578"/>
        <w:rPr>
          <w:b/>
          <w:lang w:eastAsia="en-AU"/>
        </w:rPr>
      </w:pPr>
      <w:r w:rsidRPr="00847CE6">
        <w:rPr>
          <w:b/>
          <w:lang w:eastAsia="en-AU"/>
        </w:rPr>
        <w:t>Socioeconomic status</w:t>
      </w:r>
    </w:p>
    <w:p w14:paraId="0B523B53" w14:textId="7E7EE084" w:rsidR="00E21ED4" w:rsidRDefault="00071C19" w:rsidP="00E21ED4">
      <w:pPr>
        <w:pStyle w:val="DHHSbody"/>
        <w:ind w:left="720" w:hanging="578"/>
        <w:rPr>
          <w:b/>
          <w:lang w:eastAsia="en-AU"/>
        </w:rPr>
      </w:pPr>
      <w:r>
        <w:rPr>
          <w:b/>
          <w:noProof/>
          <w:lang w:eastAsia="en-AU"/>
        </w:rPr>
        <w:drawing>
          <wp:inline distT="0" distB="0" distL="0" distR="0" wp14:anchorId="6E9E48D8" wp14:editId="648CA298">
            <wp:extent cx="3060700" cy="2237740"/>
            <wp:effectExtent l="0" t="0" r="6350" b="0"/>
            <wp:docPr id="619" name="Picture 619" descr="This figure shows a data summary of 'Measure 13.9 – Five-year survival from all cancers'. Specially this figure focuses on the five-year relative survival from all cancers by socioeconomic status for the study period 2010-2014. The data set is available under 'Measure 13.9 – Fiv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060700" cy="2237740"/>
                    </a:xfrm>
                    <a:prstGeom prst="rect">
                      <a:avLst/>
                    </a:prstGeom>
                    <a:noFill/>
                  </pic:spPr>
                </pic:pic>
              </a:graphicData>
            </a:graphic>
          </wp:inline>
        </w:drawing>
      </w:r>
    </w:p>
    <w:p w14:paraId="111F57DB" w14:textId="1C95E5E9" w:rsidR="009A720C" w:rsidRDefault="009A720C" w:rsidP="00160602">
      <w:pPr>
        <w:pStyle w:val="DHHSbody"/>
        <w:keepNext/>
        <w:numPr>
          <w:ilvl w:val="0"/>
          <w:numId w:val="38"/>
        </w:numPr>
        <w:ind w:left="284" w:hanging="284"/>
        <w:rPr>
          <w:b/>
          <w:lang w:eastAsia="en-AU"/>
        </w:rPr>
      </w:pPr>
      <w:r>
        <w:rPr>
          <w:b/>
          <w:lang w:eastAsia="en-AU"/>
        </w:rPr>
        <w:t>Integrated Cancer Service</w:t>
      </w:r>
    </w:p>
    <w:p w14:paraId="2DA27C37" w14:textId="1063CCEF" w:rsidR="009A720C" w:rsidRDefault="00071C19" w:rsidP="009A720C">
      <w:pPr>
        <w:pStyle w:val="DHHSbody"/>
        <w:rPr>
          <w:b/>
          <w:lang w:eastAsia="en-AU"/>
        </w:rPr>
      </w:pPr>
      <w:r>
        <w:rPr>
          <w:b/>
          <w:noProof/>
          <w:lang w:eastAsia="en-AU"/>
        </w:rPr>
        <w:drawing>
          <wp:inline distT="0" distB="0" distL="0" distR="0" wp14:anchorId="0CD28CFD" wp14:editId="4E52B81E">
            <wp:extent cx="3133725" cy="2456815"/>
            <wp:effectExtent l="0" t="0" r="9525" b="635"/>
            <wp:docPr id="620" name="Picture 620" descr="This figure shows a data summary of 'Measure 13.9 – Five-year survival from all cancers'. Specially this figure focuses on the five-year relative survival from all cancers by Integrated Cancer Service for the study period 2010-2014. The data set is available under 'Measure 13.9 – Five-year survival from all cancer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133725" cy="2456815"/>
                    </a:xfrm>
                    <a:prstGeom prst="rect">
                      <a:avLst/>
                    </a:prstGeom>
                    <a:noFill/>
                  </pic:spPr>
                </pic:pic>
              </a:graphicData>
            </a:graphic>
          </wp:inline>
        </w:drawing>
      </w:r>
    </w:p>
    <w:p w14:paraId="5009B9FC" w14:textId="77777777" w:rsidR="009A720C" w:rsidRDefault="009A720C" w:rsidP="009A720C">
      <w:pPr>
        <w:pStyle w:val="DHHSbody"/>
        <w:ind w:left="720"/>
        <w:rPr>
          <w:b/>
          <w:lang w:eastAsia="en-AU"/>
        </w:rPr>
        <w:sectPr w:rsidR="009A720C" w:rsidSect="007103E2">
          <w:type w:val="continuous"/>
          <w:pgSz w:w="11906" w:h="16838"/>
          <w:pgMar w:top="1701" w:right="849" w:bottom="1134" w:left="426" w:header="454" w:footer="510" w:gutter="0"/>
          <w:cols w:num="2" w:space="720"/>
          <w:docGrid w:linePitch="360"/>
        </w:sectPr>
      </w:pPr>
    </w:p>
    <w:p w14:paraId="3AFBA077" w14:textId="77777777" w:rsidR="00E21ED4" w:rsidRDefault="00E21ED4" w:rsidP="005A5151">
      <w:pPr>
        <w:pStyle w:val="DHHStablefigurenote"/>
      </w:pPr>
      <w:r w:rsidRPr="00514E0F">
        <w:t xml:space="preserve">Notes: </w:t>
      </w:r>
    </w:p>
    <w:p w14:paraId="6247D091" w14:textId="34F23847" w:rsidR="00E21ED4" w:rsidRDefault="00E21ED4" w:rsidP="005A5151">
      <w:pPr>
        <w:pStyle w:val="DHHStablefigurenote"/>
      </w:pPr>
      <w:r w:rsidRPr="00514E0F">
        <w:t xml:space="preserve">Error bars </w:t>
      </w:r>
      <w:r w:rsidR="0013211D">
        <w:t>indicate</w:t>
      </w:r>
      <w:r w:rsidRPr="00514E0F">
        <w:t xml:space="preserve"> 95</w:t>
      </w:r>
      <w:r>
        <w:t xml:space="preserve"> per cent</w:t>
      </w:r>
      <w:r w:rsidRPr="00514E0F">
        <w:t xml:space="preserve"> </w:t>
      </w:r>
      <w:r>
        <w:t>confidence intervals.</w:t>
      </w:r>
    </w:p>
    <w:p w14:paraId="7819349F" w14:textId="77777777" w:rsidR="00E21ED4" w:rsidRPr="00E141E2" w:rsidRDefault="00E21ED4" w:rsidP="005A5151">
      <w:pPr>
        <w:pStyle w:val="DHHStablefigurenote"/>
      </w:pPr>
      <w:r w:rsidRPr="00514E0F">
        <w:t>Remoteness is classified according to the Australian Standard Geo</w:t>
      </w:r>
      <w:r>
        <w:t>graphical Classification (ASGC) Remoteness Areas.</w:t>
      </w:r>
    </w:p>
    <w:p w14:paraId="0EB5F111" w14:textId="62BEC6F6" w:rsidR="00E21ED4" w:rsidRDefault="00E21ED4" w:rsidP="005A5151">
      <w:pPr>
        <w:pStyle w:val="DHHStablefigurenote"/>
      </w:pPr>
      <w:r>
        <w:t>SES</w:t>
      </w:r>
      <w:r w:rsidRPr="00E141E2">
        <w:t xml:space="preserve"> is classified according to the ABS Socioeconomic Indexes for Areas (SEIFA) Index of Relative Socio-economic Disadvantage – 1= lowest and 5 = highest.</w:t>
      </w:r>
    </w:p>
    <w:p w14:paraId="4BE3C68D" w14:textId="41C6D417" w:rsidR="006F4568" w:rsidRPr="006F4568" w:rsidRDefault="006F4568" w:rsidP="005A5151">
      <w:pPr>
        <w:pStyle w:val="DHHStablefigurenote"/>
      </w:pPr>
      <w:r w:rsidRPr="0073300D">
        <w:t>Appendix 2 provides the dataset</w:t>
      </w:r>
      <w:r>
        <w:t>.</w:t>
      </w:r>
    </w:p>
    <w:p w14:paraId="6791B8CB" w14:textId="52E8161F" w:rsidR="00CD628B" w:rsidRPr="00671C7A" w:rsidRDefault="00CD628B" w:rsidP="00F3087E">
      <w:pPr>
        <w:pStyle w:val="Heading4"/>
        <w:rPr>
          <w:lang w:eastAsia="en-AU"/>
        </w:rPr>
      </w:pPr>
      <w:r>
        <w:rPr>
          <w:lang w:eastAsia="en-AU"/>
        </w:rPr>
        <w:t>Measure assessment</w:t>
      </w:r>
    </w:p>
    <w:p w14:paraId="4FA9CBD2" w14:textId="5FCA6BA5" w:rsidR="00026CF2" w:rsidRPr="00026CF2" w:rsidRDefault="00CD628B"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E860C8"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19069F5E" w14:textId="52760283" w:rsidR="00CD628B" w:rsidRDefault="00CD628B" w:rsidP="0097280A">
      <w:pPr>
        <w:spacing w:after="120" w:line="270" w:lineRule="atLeast"/>
        <w:rPr>
          <w:rFonts w:ascii="Arial" w:hAnsi="Arial" w:cs="Arial"/>
        </w:rPr>
      </w:pPr>
      <w:r>
        <w:rPr>
          <w:rFonts w:ascii="Arial" w:hAnsi="Arial" w:cs="Arial"/>
        </w:rPr>
        <w:t xml:space="preserve">Overall trend: </w:t>
      </w:r>
      <w:r w:rsidR="00E860C8">
        <w:rPr>
          <w:rFonts w:ascii="Arial" w:hAnsi="Arial" w:cs="Arial"/>
        </w:rPr>
        <w:t xml:space="preserve">Could </w:t>
      </w:r>
      <w:r w:rsidR="00414B45">
        <w:rPr>
          <w:rFonts w:ascii="Arial" w:hAnsi="Arial" w:cs="Arial"/>
        </w:rPr>
        <w:t xml:space="preserve">not </w:t>
      </w:r>
      <w:r w:rsidR="00E860C8">
        <w:rPr>
          <w:rFonts w:ascii="Arial" w:hAnsi="Arial" w:cs="Arial"/>
        </w:rPr>
        <w:t>be calculated due to only one data point (2010</w:t>
      </w:r>
      <w:r w:rsidR="009D0E1A">
        <w:rPr>
          <w:rFonts w:ascii="Arial" w:hAnsi="Arial" w:cs="Arial"/>
        </w:rPr>
        <w:t>–</w:t>
      </w:r>
      <w:r w:rsidR="00E860C8">
        <w:rPr>
          <w:rFonts w:ascii="Arial" w:hAnsi="Arial" w:cs="Arial"/>
        </w:rPr>
        <w:t>2014)</w:t>
      </w:r>
    </w:p>
    <w:p w14:paraId="5243686A" w14:textId="02075F74" w:rsidR="009964FA" w:rsidRPr="00AC7AFA" w:rsidRDefault="00CD628B" w:rsidP="0097280A">
      <w:pPr>
        <w:pStyle w:val="DHHSbody"/>
        <w:rPr>
          <w:rFonts w:cs="Arial"/>
          <w:lang w:eastAsia="en-AU"/>
        </w:rPr>
      </w:pPr>
      <w:r w:rsidRPr="00AC7AFA">
        <w:rPr>
          <w:rFonts w:cs="Arial"/>
          <w:lang w:eastAsia="en-AU"/>
        </w:rPr>
        <w:t>Commentary:</w:t>
      </w:r>
      <w:r w:rsidR="00CF2B69" w:rsidRPr="00AC7AFA">
        <w:rPr>
          <w:rFonts w:cs="Arial"/>
          <w:lang w:eastAsia="en-AU"/>
        </w:rPr>
        <w:t xml:space="preserve"> </w:t>
      </w:r>
      <w:r w:rsidR="00266A9F">
        <w:rPr>
          <w:rFonts w:cs="Arial"/>
          <w:lang w:eastAsia="en-AU"/>
        </w:rPr>
        <w:t>S</w:t>
      </w:r>
      <w:r w:rsidR="00916529" w:rsidRPr="00AC7AFA">
        <w:rPr>
          <w:rFonts w:cs="Arial"/>
          <w:lang w:val="en"/>
        </w:rPr>
        <w:t>urvival</w:t>
      </w:r>
      <w:r w:rsidR="009964FA" w:rsidRPr="00AC7AFA">
        <w:rPr>
          <w:rFonts w:cs="Arial"/>
          <w:lang w:val="en"/>
        </w:rPr>
        <w:t xml:space="preserve"> from cancer can be influenced by </w:t>
      </w:r>
      <w:r w:rsidR="00D57E2B" w:rsidRPr="00AC7AFA">
        <w:rPr>
          <w:rFonts w:cs="Arial"/>
          <w:lang w:val="en"/>
        </w:rPr>
        <w:t xml:space="preserve">a variety of different </w:t>
      </w:r>
      <w:r w:rsidR="009964FA" w:rsidRPr="00AC7AFA">
        <w:rPr>
          <w:rFonts w:cs="Arial"/>
          <w:lang w:val="en"/>
        </w:rPr>
        <w:t>factors including demographic characteristics, tumour type, stage of the cancer at diagnosis, other prognostic indicators and availability of treatment.</w:t>
      </w:r>
      <w:r w:rsidR="009964FA" w:rsidRPr="00AC7AFA">
        <w:rPr>
          <w:rStyle w:val="FootnoteReference"/>
          <w:rFonts w:cs="Arial"/>
          <w:lang w:val="en"/>
        </w:rPr>
        <w:footnoteReference w:id="161"/>
      </w:r>
    </w:p>
    <w:p w14:paraId="192D923A" w14:textId="40185005" w:rsidR="00A31D6D" w:rsidRPr="00C35C11" w:rsidRDefault="00CF2B69" w:rsidP="00C35C11">
      <w:pPr>
        <w:pStyle w:val="DHHSbody"/>
        <w:rPr>
          <w:rFonts w:cs="Arial"/>
          <w:lang w:val="en"/>
        </w:rPr>
      </w:pPr>
      <w:r w:rsidRPr="00AC7AFA">
        <w:rPr>
          <w:rFonts w:cs="Arial"/>
        </w:rPr>
        <w:t>Information on survival from cancer</w:t>
      </w:r>
      <w:r w:rsidR="00B02763" w:rsidRPr="00AC7AFA">
        <w:rPr>
          <w:rFonts w:cs="Arial"/>
        </w:rPr>
        <w:t xml:space="preserve"> provides an indication of </w:t>
      </w:r>
      <w:r w:rsidRPr="00AC7AFA">
        <w:rPr>
          <w:rFonts w:cs="Arial"/>
        </w:rPr>
        <w:t>a cancer prognosis and the effectiveness of treatment available. Relative survival of less than 100</w:t>
      </w:r>
      <w:r w:rsidR="00BF0E37" w:rsidRPr="00AC7AFA">
        <w:rPr>
          <w:rFonts w:cs="Arial"/>
        </w:rPr>
        <w:t xml:space="preserve"> per cent</w:t>
      </w:r>
      <w:r w:rsidRPr="00AC7AFA">
        <w:rPr>
          <w:rFonts w:cs="Arial"/>
        </w:rPr>
        <w:t xml:space="preserve"> means that people with cancer had a lower chance of surviving for at least </w:t>
      </w:r>
      <w:r w:rsidR="00690CD3">
        <w:rPr>
          <w:rFonts w:cs="Arial"/>
        </w:rPr>
        <w:t>five</w:t>
      </w:r>
      <w:r w:rsidRPr="00AC7AFA">
        <w:rPr>
          <w:rFonts w:cs="Arial"/>
        </w:rPr>
        <w:t xml:space="preserve"> years after diagnosis than the general population.</w:t>
      </w:r>
      <w:r w:rsidR="00B02763" w:rsidRPr="00AC7AFA">
        <w:rPr>
          <w:rStyle w:val="FootnoteReference"/>
          <w:rFonts w:cs="Arial"/>
        </w:rPr>
        <w:footnoteReference w:id="162"/>
      </w:r>
      <w:r w:rsidR="00883B13" w:rsidRPr="00AC7AFA">
        <w:rPr>
          <w:rFonts w:cs="Arial"/>
        </w:rPr>
        <w:t xml:space="preserve"> </w:t>
      </w:r>
      <w:r w:rsidR="00BC0354" w:rsidRPr="00AC7AFA">
        <w:rPr>
          <w:rFonts w:cs="Arial"/>
          <w:lang w:val="en"/>
        </w:rPr>
        <w:t>In Australia</w:t>
      </w:r>
      <w:r w:rsidR="00A813BC" w:rsidRPr="00AC7AFA">
        <w:rPr>
          <w:rFonts w:cs="Arial"/>
          <w:lang w:val="en"/>
        </w:rPr>
        <w:t>,</w:t>
      </w:r>
      <w:r w:rsidR="00BC0354" w:rsidRPr="00AC7AFA">
        <w:rPr>
          <w:rFonts w:cs="Arial"/>
          <w:lang w:val="en"/>
        </w:rPr>
        <w:t xml:space="preserve"> the national </w:t>
      </w:r>
      <w:r w:rsidR="00690CD3">
        <w:rPr>
          <w:rFonts w:cs="Arial"/>
          <w:lang w:val="en"/>
        </w:rPr>
        <w:t>five</w:t>
      </w:r>
      <w:r w:rsidR="00BC0354" w:rsidRPr="00AC7AFA">
        <w:rPr>
          <w:rFonts w:cs="Arial"/>
          <w:lang w:val="en"/>
        </w:rPr>
        <w:t>-year relative survival was 6</w:t>
      </w:r>
      <w:r w:rsidR="00F8653D">
        <w:rPr>
          <w:rFonts w:cs="Arial"/>
          <w:lang w:val="en"/>
        </w:rPr>
        <w:t>9</w:t>
      </w:r>
      <w:r w:rsidR="00BC0354" w:rsidRPr="00AC7AFA">
        <w:rPr>
          <w:rFonts w:cs="Arial"/>
          <w:lang w:val="en"/>
        </w:rPr>
        <w:t xml:space="preserve"> per cent</w:t>
      </w:r>
      <w:r w:rsidR="008D2B37" w:rsidRPr="00AC7AFA">
        <w:rPr>
          <w:rFonts w:cs="Arial"/>
          <w:lang w:val="en"/>
        </w:rPr>
        <w:t xml:space="preserve"> in 20</w:t>
      </w:r>
      <w:r w:rsidR="009B3D94">
        <w:rPr>
          <w:rFonts w:cs="Arial"/>
          <w:lang w:val="en"/>
        </w:rPr>
        <w:t>10</w:t>
      </w:r>
      <w:r w:rsidR="00690CD3">
        <w:rPr>
          <w:rFonts w:cs="Arial"/>
          <w:lang w:val="en"/>
        </w:rPr>
        <w:t>–</w:t>
      </w:r>
      <w:r w:rsidR="008D2B37" w:rsidRPr="00AC7AFA">
        <w:rPr>
          <w:rFonts w:cs="Arial"/>
          <w:lang w:val="en"/>
        </w:rPr>
        <w:t>201</w:t>
      </w:r>
      <w:r w:rsidR="00F8653D">
        <w:rPr>
          <w:rFonts w:cs="Arial"/>
          <w:lang w:val="en"/>
        </w:rPr>
        <w:t>4</w:t>
      </w:r>
      <w:r w:rsidR="00A813BC" w:rsidRPr="00AC7AFA">
        <w:rPr>
          <w:rFonts w:cs="Arial"/>
          <w:lang w:val="en"/>
        </w:rPr>
        <w:t xml:space="preserve"> (Figure 13.9)</w:t>
      </w:r>
      <w:r w:rsidR="00266A9F">
        <w:rPr>
          <w:rFonts w:cs="Arial"/>
          <w:lang w:val="en"/>
        </w:rPr>
        <w:t>;</w:t>
      </w:r>
      <w:r w:rsidR="008D2B37" w:rsidRPr="00AC7AFA">
        <w:rPr>
          <w:rFonts w:cs="Arial"/>
          <w:lang w:val="en"/>
        </w:rPr>
        <w:t xml:space="preserve"> that is</w:t>
      </w:r>
      <w:r w:rsidR="00266A9F">
        <w:rPr>
          <w:rFonts w:cs="Arial"/>
          <w:lang w:val="en"/>
        </w:rPr>
        <w:t>,</w:t>
      </w:r>
      <w:r w:rsidR="008D2B37" w:rsidRPr="00AC7AFA">
        <w:rPr>
          <w:rFonts w:cs="Arial"/>
          <w:lang w:val="en"/>
        </w:rPr>
        <w:t xml:space="preserve"> people</w:t>
      </w:r>
      <w:r w:rsidR="008D2B37" w:rsidRPr="00AC7AFA">
        <w:rPr>
          <w:rFonts w:cs="Arial"/>
          <w:lang w:eastAsia="en-AU"/>
        </w:rPr>
        <w:t xml:space="preserve"> </w:t>
      </w:r>
      <w:r w:rsidR="00BC0354" w:rsidRPr="00AC7AFA">
        <w:rPr>
          <w:rFonts w:cs="Arial"/>
          <w:lang w:eastAsia="en-AU"/>
        </w:rPr>
        <w:t>diagnosed with cancer had a</w:t>
      </w:r>
      <w:r w:rsidR="008D2B37" w:rsidRPr="00AC7AFA">
        <w:rPr>
          <w:rFonts w:cs="Arial"/>
          <w:lang w:eastAsia="en-AU"/>
        </w:rPr>
        <w:t xml:space="preserve"> </w:t>
      </w:r>
      <w:r w:rsidR="00BC0354" w:rsidRPr="00AC7AFA">
        <w:rPr>
          <w:rFonts w:cs="Arial"/>
          <w:lang w:eastAsia="en-AU"/>
        </w:rPr>
        <w:t>6</w:t>
      </w:r>
      <w:r w:rsidR="00F8653D">
        <w:rPr>
          <w:rFonts w:cs="Arial"/>
          <w:lang w:eastAsia="en-AU"/>
        </w:rPr>
        <w:t>9</w:t>
      </w:r>
      <w:r w:rsidR="008D2B37" w:rsidRPr="00AC7AFA">
        <w:rPr>
          <w:rFonts w:cs="Arial"/>
          <w:lang w:eastAsia="en-AU"/>
        </w:rPr>
        <w:t xml:space="preserve"> per cent</w:t>
      </w:r>
      <w:r w:rsidR="00BC0354" w:rsidRPr="00AC7AFA">
        <w:rPr>
          <w:rFonts w:cs="Arial"/>
          <w:lang w:eastAsia="en-AU"/>
        </w:rPr>
        <w:t xml:space="preserve"> chance of surviving for at least </w:t>
      </w:r>
      <w:r w:rsidR="009D0E1A">
        <w:rPr>
          <w:rFonts w:cs="Arial"/>
          <w:lang w:eastAsia="en-AU"/>
        </w:rPr>
        <w:t>five</w:t>
      </w:r>
      <w:r w:rsidR="00BC0354" w:rsidRPr="00AC7AFA">
        <w:rPr>
          <w:rFonts w:cs="Arial"/>
          <w:lang w:eastAsia="en-AU"/>
        </w:rPr>
        <w:t xml:space="preserve"> years compared with their counterparts in the general</w:t>
      </w:r>
      <w:r w:rsidR="008D2B37" w:rsidRPr="00AC7AFA">
        <w:rPr>
          <w:rFonts w:cs="Arial"/>
          <w:lang w:val="en"/>
        </w:rPr>
        <w:t xml:space="preserve"> </w:t>
      </w:r>
      <w:r w:rsidR="00BC0354" w:rsidRPr="00AC7AFA">
        <w:rPr>
          <w:rFonts w:cs="Arial"/>
          <w:lang w:eastAsia="en-AU"/>
        </w:rPr>
        <w:t>population.</w:t>
      </w:r>
      <w:r w:rsidR="008D2B37" w:rsidRPr="00AC7AFA">
        <w:rPr>
          <w:rStyle w:val="FootnoteReference"/>
          <w:rFonts w:cs="Arial"/>
          <w:lang w:eastAsia="en-AU"/>
        </w:rPr>
        <w:footnoteReference w:id="163"/>
      </w:r>
      <w:r w:rsidR="008D2B37" w:rsidRPr="00AC7AFA">
        <w:rPr>
          <w:rFonts w:cs="Arial"/>
          <w:lang w:eastAsia="en-AU"/>
        </w:rPr>
        <w:t xml:space="preserve"> Females tended to have slightly higher survival than males overall. Five-year survival</w:t>
      </w:r>
      <w:r w:rsidR="00A31D6D" w:rsidRPr="00AC7AFA">
        <w:rPr>
          <w:rFonts w:cs="Arial"/>
          <w:lang w:eastAsia="en-AU"/>
        </w:rPr>
        <w:t xml:space="preserve"> </w:t>
      </w:r>
      <w:r w:rsidR="008D2B37" w:rsidRPr="00AC7AFA">
        <w:rPr>
          <w:rFonts w:cs="Arial"/>
          <w:lang w:eastAsia="en-AU"/>
        </w:rPr>
        <w:t>was 67 per cent for females compared with 65 per cent for males</w:t>
      </w:r>
      <w:r w:rsidR="00CD4ADB" w:rsidRPr="00AC7AFA">
        <w:rPr>
          <w:rFonts w:cs="Arial"/>
          <w:lang w:eastAsia="en-AU"/>
        </w:rPr>
        <w:t>.</w:t>
      </w:r>
      <w:r w:rsidR="00CD4ADB" w:rsidRPr="00AC7AFA">
        <w:rPr>
          <w:rFonts w:cs="Arial"/>
        </w:rPr>
        <w:t xml:space="preserve"> Survival was highest for people aged under 40 (</w:t>
      </w:r>
      <w:r w:rsidR="009D0E1A">
        <w:rPr>
          <w:rFonts w:cs="Arial"/>
        </w:rPr>
        <w:t>five</w:t>
      </w:r>
      <w:r w:rsidR="00CD4ADB" w:rsidRPr="00AC7AFA">
        <w:rPr>
          <w:rFonts w:cs="Arial"/>
        </w:rPr>
        <w:t>-year survival of 86</w:t>
      </w:r>
      <w:r w:rsidR="00A31D6D" w:rsidRPr="00AC7AFA">
        <w:rPr>
          <w:rFonts w:cs="Arial"/>
        </w:rPr>
        <w:t xml:space="preserve"> per cent</w:t>
      </w:r>
      <w:r w:rsidR="00CD4ADB" w:rsidRPr="00AC7AFA">
        <w:rPr>
          <w:rFonts w:cs="Arial"/>
        </w:rPr>
        <w:t xml:space="preserve">) and decreased with age so that it was lowest for those aged 80 </w:t>
      </w:r>
      <w:r w:rsidR="001B50BF">
        <w:rPr>
          <w:rFonts w:cs="Arial"/>
        </w:rPr>
        <w:t>or older</w:t>
      </w:r>
      <w:r w:rsidR="00CD4ADB" w:rsidRPr="00AC7AFA">
        <w:rPr>
          <w:rFonts w:cs="Arial"/>
        </w:rPr>
        <w:t xml:space="preserve"> (43</w:t>
      </w:r>
      <w:r w:rsidR="00A31D6D" w:rsidRPr="00AC7AFA">
        <w:rPr>
          <w:rFonts w:cs="Arial"/>
        </w:rPr>
        <w:t xml:space="preserve"> per cent</w:t>
      </w:r>
      <w:r w:rsidR="00CD4ADB" w:rsidRPr="00AC7AFA">
        <w:rPr>
          <w:rFonts w:cs="Arial"/>
        </w:rPr>
        <w:t>)</w:t>
      </w:r>
      <w:r w:rsidR="00A813BC" w:rsidRPr="00AC7AFA">
        <w:rPr>
          <w:rFonts w:cs="Arial"/>
        </w:rPr>
        <w:t xml:space="preserve"> (Figure 13.9.1)</w:t>
      </w:r>
      <w:r w:rsidR="00CD4ADB" w:rsidRPr="00AC7AFA">
        <w:rPr>
          <w:rFonts w:cs="Arial"/>
        </w:rPr>
        <w:t>.</w:t>
      </w:r>
    </w:p>
    <w:p w14:paraId="27A6AEF9" w14:textId="4CEA30E0" w:rsidR="005C5D2C" w:rsidRPr="00AC7AFA" w:rsidRDefault="007270F1" w:rsidP="008D2B37">
      <w:pPr>
        <w:spacing w:after="120" w:line="270" w:lineRule="atLeast"/>
        <w:ind w:left="-6" w:right="6"/>
        <w:rPr>
          <w:rFonts w:ascii="Arial" w:hAnsi="Arial" w:cs="Arial"/>
        </w:rPr>
      </w:pPr>
      <w:r w:rsidRPr="00AC7AFA">
        <w:rPr>
          <w:rFonts w:ascii="Arial" w:hAnsi="Arial" w:cs="Arial"/>
        </w:rPr>
        <w:t>In 20</w:t>
      </w:r>
      <w:r w:rsidR="00666A03" w:rsidRPr="00AC7AFA">
        <w:rPr>
          <w:rFonts w:ascii="Arial" w:hAnsi="Arial" w:cs="Arial"/>
        </w:rPr>
        <w:t>10</w:t>
      </w:r>
      <w:r w:rsidRPr="00AC7AFA">
        <w:rPr>
          <w:rFonts w:ascii="Arial" w:hAnsi="Arial" w:cs="Arial"/>
        </w:rPr>
        <w:t>–201</w:t>
      </w:r>
      <w:r w:rsidR="00666A03" w:rsidRPr="00AC7AFA">
        <w:rPr>
          <w:rFonts w:ascii="Arial" w:hAnsi="Arial" w:cs="Arial"/>
        </w:rPr>
        <w:t>4</w:t>
      </w:r>
      <w:r w:rsidRPr="00AC7AFA">
        <w:rPr>
          <w:rFonts w:ascii="Arial" w:hAnsi="Arial" w:cs="Arial"/>
        </w:rPr>
        <w:t xml:space="preserve">, </w:t>
      </w:r>
      <w:r w:rsidR="009D0E1A">
        <w:rPr>
          <w:rFonts w:ascii="Arial" w:hAnsi="Arial" w:cs="Arial"/>
        </w:rPr>
        <w:t>five</w:t>
      </w:r>
      <w:r w:rsidRPr="00AC7AFA">
        <w:rPr>
          <w:rFonts w:ascii="Arial" w:hAnsi="Arial" w:cs="Arial"/>
        </w:rPr>
        <w:t xml:space="preserve">-year relative survival </w:t>
      </w:r>
      <w:r w:rsidR="00883B13" w:rsidRPr="00AC7AFA">
        <w:rPr>
          <w:rFonts w:ascii="Arial" w:hAnsi="Arial" w:cs="Arial"/>
        </w:rPr>
        <w:t>in Victoria</w:t>
      </w:r>
      <w:r w:rsidR="00BC0354" w:rsidRPr="00AC7AFA">
        <w:rPr>
          <w:rFonts w:ascii="Arial" w:hAnsi="Arial" w:cs="Arial"/>
        </w:rPr>
        <w:t xml:space="preserve"> mirrored the national trend</w:t>
      </w:r>
      <w:r w:rsidRPr="00AC7AFA">
        <w:rPr>
          <w:rFonts w:ascii="Arial" w:hAnsi="Arial" w:cs="Arial"/>
        </w:rPr>
        <w:t xml:space="preserve"> </w:t>
      </w:r>
      <w:r w:rsidR="00BC0354" w:rsidRPr="00AC7AFA">
        <w:rPr>
          <w:rFonts w:ascii="Arial" w:hAnsi="Arial" w:cs="Arial"/>
        </w:rPr>
        <w:t>(</w:t>
      </w:r>
      <w:r w:rsidRPr="00AC7AFA">
        <w:rPr>
          <w:rFonts w:ascii="Arial" w:hAnsi="Arial" w:cs="Arial"/>
        </w:rPr>
        <w:t>6</w:t>
      </w:r>
      <w:r w:rsidR="00666A03" w:rsidRPr="00AC7AFA">
        <w:rPr>
          <w:rFonts w:ascii="Arial" w:hAnsi="Arial" w:cs="Arial"/>
        </w:rPr>
        <w:t>7.4</w:t>
      </w:r>
      <w:r w:rsidR="00BC0354" w:rsidRPr="00AC7AFA">
        <w:rPr>
          <w:rFonts w:ascii="Arial" w:hAnsi="Arial" w:cs="Arial"/>
        </w:rPr>
        <w:t xml:space="preserve"> per cent)</w:t>
      </w:r>
      <w:r w:rsidRPr="00AC7AFA">
        <w:rPr>
          <w:rFonts w:ascii="Arial" w:hAnsi="Arial" w:cs="Arial"/>
        </w:rPr>
        <w:t xml:space="preserve">. </w:t>
      </w:r>
      <w:r w:rsidR="00A31D6D" w:rsidRPr="00AC7AFA">
        <w:rPr>
          <w:rFonts w:ascii="Arial" w:hAnsi="Arial" w:cs="Arial"/>
        </w:rPr>
        <w:t xml:space="preserve">As with the national trend </w:t>
      </w:r>
      <w:r w:rsidR="00B83A50">
        <w:rPr>
          <w:rFonts w:ascii="Arial" w:hAnsi="Arial" w:cs="Arial"/>
        </w:rPr>
        <w:t xml:space="preserve">and </w:t>
      </w:r>
      <w:r w:rsidR="0089551F">
        <w:rPr>
          <w:rFonts w:ascii="Arial" w:hAnsi="Arial" w:cs="Arial"/>
        </w:rPr>
        <w:t>a recent Victorian study</w:t>
      </w:r>
      <w:r w:rsidR="00690CD3">
        <w:rPr>
          <w:rFonts w:ascii="Arial" w:hAnsi="Arial" w:cs="Arial"/>
        </w:rPr>
        <w:t>,</w:t>
      </w:r>
      <w:r w:rsidR="0089551F">
        <w:rPr>
          <w:rStyle w:val="FootnoteReference"/>
          <w:rFonts w:cs="Arial"/>
        </w:rPr>
        <w:footnoteReference w:id="164"/>
      </w:r>
      <w:r w:rsidR="0089551F">
        <w:rPr>
          <w:rFonts w:ascii="Arial" w:hAnsi="Arial" w:cs="Arial"/>
        </w:rPr>
        <w:t xml:space="preserve"> </w:t>
      </w:r>
      <w:r w:rsidR="00A31D6D" w:rsidRPr="00AC7AFA">
        <w:rPr>
          <w:rFonts w:ascii="Arial" w:hAnsi="Arial" w:cs="Arial"/>
        </w:rPr>
        <w:t>f</w:t>
      </w:r>
      <w:r w:rsidRPr="00AC7AFA">
        <w:rPr>
          <w:rFonts w:ascii="Arial" w:hAnsi="Arial" w:cs="Arial"/>
        </w:rPr>
        <w:t xml:space="preserve">emales </w:t>
      </w:r>
      <w:r w:rsidR="00A31D6D" w:rsidRPr="00AC7AFA">
        <w:rPr>
          <w:rFonts w:ascii="Arial" w:hAnsi="Arial" w:cs="Arial"/>
        </w:rPr>
        <w:t xml:space="preserve">also </w:t>
      </w:r>
      <w:r w:rsidRPr="00AC7AFA">
        <w:rPr>
          <w:rFonts w:ascii="Arial" w:hAnsi="Arial" w:cs="Arial"/>
        </w:rPr>
        <w:t>tended to have slightly higher survival than males overall. Five-year survival was 6</w:t>
      </w:r>
      <w:r w:rsidR="00666A03" w:rsidRPr="00AC7AFA">
        <w:rPr>
          <w:rFonts w:ascii="Arial" w:hAnsi="Arial" w:cs="Arial"/>
        </w:rPr>
        <w:t>8.1</w:t>
      </w:r>
      <w:r w:rsidR="00A31D6D" w:rsidRPr="00AC7AFA">
        <w:rPr>
          <w:rFonts w:ascii="Arial" w:hAnsi="Arial" w:cs="Arial"/>
        </w:rPr>
        <w:t xml:space="preserve"> per cent</w:t>
      </w:r>
      <w:r w:rsidRPr="00AC7AFA">
        <w:rPr>
          <w:rFonts w:ascii="Arial" w:hAnsi="Arial" w:cs="Arial"/>
        </w:rPr>
        <w:t xml:space="preserve"> for females compared with 6</w:t>
      </w:r>
      <w:r w:rsidR="00666A03" w:rsidRPr="00AC7AFA">
        <w:rPr>
          <w:rFonts w:ascii="Arial" w:hAnsi="Arial" w:cs="Arial"/>
        </w:rPr>
        <w:t>6.8</w:t>
      </w:r>
      <w:r w:rsidR="008D2B37" w:rsidRPr="00AC7AFA">
        <w:rPr>
          <w:rFonts w:ascii="Arial" w:hAnsi="Arial" w:cs="Arial"/>
        </w:rPr>
        <w:t xml:space="preserve"> per cent</w:t>
      </w:r>
      <w:r w:rsidRPr="00AC7AFA">
        <w:rPr>
          <w:rFonts w:ascii="Arial" w:hAnsi="Arial" w:cs="Arial"/>
        </w:rPr>
        <w:t xml:space="preserve"> for males. However, this varied with age: </w:t>
      </w:r>
      <w:r w:rsidR="005C5D2C" w:rsidRPr="00AC7AFA">
        <w:rPr>
          <w:rFonts w:ascii="Arial" w:hAnsi="Arial" w:cs="Arial"/>
        </w:rPr>
        <w:t>s</w:t>
      </w:r>
      <w:r w:rsidRPr="00AC7AFA">
        <w:rPr>
          <w:rFonts w:ascii="Arial" w:hAnsi="Arial" w:cs="Arial"/>
        </w:rPr>
        <w:t xml:space="preserve">urvival was highest for people aged </w:t>
      </w:r>
      <w:r w:rsidR="005C5D2C" w:rsidRPr="00AC7AFA">
        <w:rPr>
          <w:rFonts w:ascii="Arial" w:hAnsi="Arial" w:cs="Arial"/>
        </w:rPr>
        <w:t>25</w:t>
      </w:r>
      <w:r w:rsidR="00690CD3">
        <w:rPr>
          <w:rFonts w:ascii="Arial" w:hAnsi="Arial" w:cs="Arial"/>
        </w:rPr>
        <w:t>–</w:t>
      </w:r>
      <w:r w:rsidR="005C5D2C" w:rsidRPr="00AC7AFA">
        <w:rPr>
          <w:rFonts w:ascii="Arial" w:hAnsi="Arial" w:cs="Arial"/>
        </w:rPr>
        <w:t>34 years</w:t>
      </w:r>
      <w:r w:rsidRPr="00AC7AFA">
        <w:rPr>
          <w:rFonts w:ascii="Arial" w:hAnsi="Arial" w:cs="Arial"/>
        </w:rPr>
        <w:t xml:space="preserve"> (</w:t>
      </w:r>
      <w:r w:rsidR="00690CD3">
        <w:rPr>
          <w:rFonts w:ascii="Arial" w:hAnsi="Arial" w:cs="Arial"/>
        </w:rPr>
        <w:t>five</w:t>
      </w:r>
      <w:r w:rsidRPr="00AC7AFA">
        <w:rPr>
          <w:rFonts w:ascii="Arial" w:hAnsi="Arial" w:cs="Arial"/>
        </w:rPr>
        <w:t>-year survival of 8</w:t>
      </w:r>
      <w:r w:rsidR="00DC318A" w:rsidRPr="00AC7AFA">
        <w:rPr>
          <w:rFonts w:ascii="Arial" w:hAnsi="Arial" w:cs="Arial"/>
        </w:rPr>
        <w:t>9</w:t>
      </w:r>
      <w:r w:rsidR="007066F3" w:rsidRPr="00AC7AFA">
        <w:rPr>
          <w:rFonts w:ascii="Arial" w:hAnsi="Arial" w:cs="Arial"/>
        </w:rPr>
        <w:t>.3</w:t>
      </w:r>
      <w:r w:rsidR="008D2B37" w:rsidRPr="00AC7AFA">
        <w:rPr>
          <w:rFonts w:ascii="Arial" w:hAnsi="Arial" w:cs="Arial"/>
        </w:rPr>
        <w:t xml:space="preserve"> per cent</w:t>
      </w:r>
      <w:r w:rsidRPr="00AC7AFA">
        <w:rPr>
          <w:rFonts w:ascii="Arial" w:hAnsi="Arial" w:cs="Arial"/>
        </w:rPr>
        <w:t>) and decreased with age so that it was lowest for those aged 8</w:t>
      </w:r>
      <w:r w:rsidR="005C5D2C" w:rsidRPr="00AC7AFA">
        <w:rPr>
          <w:rFonts w:ascii="Arial" w:hAnsi="Arial" w:cs="Arial"/>
        </w:rPr>
        <w:t>5</w:t>
      </w:r>
      <w:r w:rsidRPr="00AC7AFA">
        <w:rPr>
          <w:rFonts w:ascii="Arial" w:hAnsi="Arial" w:cs="Arial"/>
        </w:rPr>
        <w:t xml:space="preserve"> </w:t>
      </w:r>
      <w:r w:rsidR="009D0E1A">
        <w:rPr>
          <w:rFonts w:ascii="Arial" w:hAnsi="Arial" w:cs="Arial"/>
        </w:rPr>
        <w:t>or older</w:t>
      </w:r>
      <w:r w:rsidRPr="00AC7AFA">
        <w:rPr>
          <w:rFonts w:ascii="Arial" w:hAnsi="Arial" w:cs="Arial"/>
        </w:rPr>
        <w:t xml:space="preserve"> (</w:t>
      </w:r>
      <w:r w:rsidR="005C5D2C" w:rsidRPr="00AC7AFA">
        <w:rPr>
          <w:rFonts w:ascii="Arial" w:hAnsi="Arial" w:cs="Arial"/>
        </w:rPr>
        <w:t>38.2</w:t>
      </w:r>
      <w:r w:rsidR="008D2B37" w:rsidRPr="00AC7AFA">
        <w:rPr>
          <w:rFonts w:ascii="Arial" w:hAnsi="Arial" w:cs="Arial"/>
        </w:rPr>
        <w:t xml:space="preserve"> per cent</w:t>
      </w:r>
      <w:r w:rsidRPr="00AC7AFA">
        <w:rPr>
          <w:rFonts w:ascii="Arial" w:hAnsi="Arial" w:cs="Arial"/>
        </w:rPr>
        <w:t xml:space="preserve">). This age-related pattern of survival is characteristic of most individual </w:t>
      </w:r>
      <w:r w:rsidRPr="00AC7AFA">
        <w:rPr>
          <w:rFonts w:ascii="Arial" w:hAnsi="Arial" w:cs="Arial"/>
        </w:rPr>
        <w:lastRenderedPageBreak/>
        <w:t>cancer types presented in this report. The reduction in survival with age was more pronounced in the second half of the life span</w:t>
      </w:r>
      <w:r w:rsidR="009D0E1A">
        <w:rPr>
          <w:rFonts w:ascii="Arial" w:hAnsi="Arial" w:cs="Arial"/>
        </w:rPr>
        <w:t xml:space="preserve"> – </w:t>
      </w:r>
      <w:r w:rsidRPr="00AC7AFA">
        <w:rPr>
          <w:rFonts w:ascii="Arial" w:hAnsi="Arial" w:cs="Arial"/>
        </w:rPr>
        <w:t xml:space="preserve">for almost all types of cancers, survival was lowest in </w:t>
      </w:r>
      <w:r w:rsidR="007066F3" w:rsidRPr="00AC7AFA">
        <w:rPr>
          <w:rFonts w:ascii="Arial" w:hAnsi="Arial" w:cs="Arial"/>
        </w:rPr>
        <w:t>older people</w:t>
      </w:r>
      <w:r w:rsidR="00805C0A" w:rsidRPr="00AC7AFA">
        <w:rPr>
          <w:rFonts w:ascii="Arial" w:hAnsi="Arial" w:cs="Arial"/>
        </w:rPr>
        <w:t xml:space="preserve"> (Figure 13.9.2)</w:t>
      </w:r>
      <w:r w:rsidRPr="00AC7AFA">
        <w:rPr>
          <w:rFonts w:ascii="Arial" w:hAnsi="Arial" w:cs="Arial"/>
        </w:rPr>
        <w:t xml:space="preserve">. </w:t>
      </w:r>
    </w:p>
    <w:p w14:paraId="77D7F6A4" w14:textId="77777777" w:rsidR="0092202A" w:rsidRDefault="007270F1" w:rsidP="009A720C">
      <w:pPr>
        <w:spacing w:after="120" w:line="270" w:lineRule="atLeast"/>
        <w:ind w:left="-6" w:right="6"/>
        <w:rPr>
          <w:rFonts w:ascii="Arial" w:hAnsi="Arial" w:cs="Arial"/>
        </w:rPr>
      </w:pPr>
      <w:r w:rsidRPr="008721E1">
        <w:rPr>
          <w:rFonts w:ascii="Arial" w:hAnsi="Arial" w:cs="Arial"/>
        </w:rPr>
        <w:t>Survival decreased with greater remoteness</w:t>
      </w:r>
      <w:r w:rsidR="00266A9F">
        <w:rPr>
          <w:rFonts w:ascii="Arial" w:hAnsi="Arial" w:cs="Arial"/>
        </w:rPr>
        <w:t>,</w:t>
      </w:r>
      <w:r w:rsidRPr="008721E1">
        <w:rPr>
          <w:rFonts w:ascii="Arial" w:hAnsi="Arial" w:cs="Arial"/>
        </w:rPr>
        <w:t xml:space="preserve"> although the differences were small: </w:t>
      </w:r>
      <w:r w:rsidR="009D0E1A">
        <w:rPr>
          <w:rFonts w:ascii="Arial" w:hAnsi="Arial" w:cs="Arial"/>
        </w:rPr>
        <w:t>five</w:t>
      </w:r>
      <w:r w:rsidRPr="008721E1">
        <w:rPr>
          <w:rFonts w:ascii="Arial" w:hAnsi="Arial" w:cs="Arial"/>
        </w:rPr>
        <w:t>-year survival was 6</w:t>
      </w:r>
      <w:r w:rsidR="006C4069">
        <w:rPr>
          <w:rFonts w:ascii="Arial" w:hAnsi="Arial" w:cs="Arial"/>
        </w:rPr>
        <w:t>8.2</w:t>
      </w:r>
      <w:r w:rsidR="008D2B37" w:rsidRPr="008721E1">
        <w:rPr>
          <w:rFonts w:ascii="Arial" w:hAnsi="Arial" w:cs="Arial"/>
        </w:rPr>
        <w:t xml:space="preserve"> per cent</w:t>
      </w:r>
      <w:r w:rsidRPr="008721E1">
        <w:rPr>
          <w:rFonts w:ascii="Arial" w:hAnsi="Arial" w:cs="Arial"/>
        </w:rPr>
        <w:t xml:space="preserve"> in </w:t>
      </w:r>
      <w:r w:rsidR="00065D2D">
        <w:rPr>
          <w:rFonts w:ascii="Arial" w:hAnsi="Arial" w:cs="Arial"/>
        </w:rPr>
        <w:t>m</w:t>
      </w:r>
      <w:r w:rsidRPr="00AA444C">
        <w:rPr>
          <w:rFonts w:ascii="Arial" w:hAnsi="Arial" w:cs="Arial"/>
        </w:rPr>
        <w:t>ajor cities</w:t>
      </w:r>
      <w:r w:rsidRPr="008721E1">
        <w:rPr>
          <w:rFonts w:ascii="Arial" w:hAnsi="Arial" w:cs="Arial"/>
        </w:rPr>
        <w:t>, 6</w:t>
      </w:r>
      <w:r w:rsidR="006C4069">
        <w:rPr>
          <w:rFonts w:ascii="Arial" w:hAnsi="Arial" w:cs="Arial"/>
        </w:rPr>
        <w:t>5</w:t>
      </w:r>
      <w:r w:rsidR="007066F3" w:rsidRPr="008721E1">
        <w:rPr>
          <w:rFonts w:ascii="Arial" w:hAnsi="Arial" w:cs="Arial"/>
        </w:rPr>
        <w:t>.</w:t>
      </w:r>
      <w:r w:rsidR="006C4069">
        <w:rPr>
          <w:rFonts w:ascii="Arial" w:hAnsi="Arial" w:cs="Arial"/>
        </w:rPr>
        <w:t>9</w:t>
      </w:r>
      <w:r w:rsidR="008D2B37" w:rsidRPr="008721E1">
        <w:rPr>
          <w:rFonts w:ascii="Arial" w:hAnsi="Arial" w:cs="Arial"/>
        </w:rPr>
        <w:t xml:space="preserve"> per cent</w:t>
      </w:r>
      <w:r w:rsidRPr="008721E1">
        <w:rPr>
          <w:rFonts w:ascii="Arial" w:hAnsi="Arial" w:cs="Arial"/>
        </w:rPr>
        <w:t xml:space="preserve"> in </w:t>
      </w:r>
      <w:r w:rsidR="00B524D6" w:rsidRPr="008721E1">
        <w:rPr>
          <w:rFonts w:ascii="Arial" w:hAnsi="Arial" w:cs="Arial"/>
        </w:rPr>
        <w:t>i</w:t>
      </w:r>
      <w:r w:rsidRPr="008721E1">
        <w:rPr>
          <w:rFonts w:ascii="Arial" w:hAnsi="Arial" w:cs="Arial"/>
        </w:rPr>
        <w:t>nner regional</w:t>
      </w:r>
      <w:r w:rsidRPr="008721E1">
        <w:rPr>
          <w:rFonts w:ascii="Arial" w:hAnsi="Arial" w:cs="Arial"/>
          <w:i/>
        </w:rPr>
        <w:t xml:space="preserve"> </w:t>
      </w:r>
      <w:r w:rsidRPr="008721E1">
        <w:rPr>
          <w:rFonts w:ascii="Arial" w:hAnsi="Arial" w:cs="Arial"/>
        </w:rPr>
        <w:t>areas</w:t>
      </w:r>
      <w:r w:rsidR="00266A9F">
        <w:rPr>
          <w:rFonts w:ascii="Arial" w:hAnsi="Arial" w:cs="Arial"/>
        </w:rPr>
        <w:t xml:space="preserve"> and</w:t>
      </w:r>
      <w:r w:rsidRPr="008721E1">
        <w:rPr>
          <w:rFonts w:ascii="Arial" w:hAnsi="Arial" w:cs="Arial"/>
        </w:rPr>
        <w:t xml:space="preserve"> 6</w:t>
      </w:r>
      <w:r w:rsidR="006C4069">
        <w:rPr>
          <w:rFonts w:ascii="Arial" w:hAnsi="Arial" w:cs="Arial"/>
        </w:rPr>
        <w:t>3</w:t>
      </w:r>
      <w:r w:rsidR="008D2B37" w:rsidRPr="008721E1">
        <w:rPr>
          <w:rFonts w:ascii="Arial" w:hAnsi="Arial" w:cs="Arial"/>
        </w:rPr>
        <w:t xml:space="preserve"> per cent</w:t>
      </w:r>
      <w:r w:rsidRPr="008721E1">
        <w:rPr>
          <w:rFonts w:ascii="Arial" w:hAnsi="Arial" w:cs="Arial"/>
        </w:rPr>
        <w:t xml:space="preserve"> in </w:t>
      </w:r>
      <w:r w:rsidR="00B524D6" w:rsidRPr="008721E1">
        <w:rPr>
          <w:rFonts w:ascii="Arial" w:hAnsi="Arial" w:cs="Arial"/>
        </w:rPr>
        <w:t>o</w:t>
      </w:r>
      <w:r w:rsidRPr="008721E1">
        <w:rPr>
          <w:rFonts w:ascii="Arial" w:hAnsi="Arial" w:cs="Arial"/>
        </w:rPr>
        <w:t xml:space="preserve">uter regional and </w:t>
      </w:r>
      <w:r w:rsidR="00B524D6" w:rsidRPr="008721E1">
        <w:rPr>
          <w:rFonts w:ascii="Arial" w:hAnsi="Arial" w:cs="Arial"/>
        </w:rPr>
        <w:t>r</w:t>
      </w:r>
      <w:r w:rsidRPr="008721E1">
        <w:rPr>
          <w:rFonts w:ascii="Arial" w:hAnsi="Arial" w:cs="Arial"/>
        </w:rPr>
        <w:t xml:space="preserve">emote areas. </w:t>
      </w:r>
      <w:r w:rsidR="00B524D6" w:rsidRPr="008721E1">
        <w:rPr>
          <w:rFonts w:ascii="Arial" w:hAnsi="Arial" w:cs="Arial"/>
        </w:rPr>
        <w:t xml:space="preserve">There was also a gradient of decreasing survival with greater </w:t>
      </w:r>
      <w:r w:rsidR="002C35B2">
        <w:rPr>
          <w:rFonts w:ascii="Arial" w:hAnsi="Arial" w:cs="Arial"/>
        </w:rPr>
        <w:t>socioeconomic</w:t>
      </w:r>
      <w:r w:rsidR="00B524D6" w:rsidRPr="008721E1">
        <w:rPr>
          <w:rFonts w:ascii="Arial" w:hAnsi="Arial" w:cs="Arial"/>
        </w:rPr>
        <w:t xml:space="preserve"> disadvantage</w:t>
      </w:r>
      <w:r w:rsidR="00005270" w:rsidRPr="008721E1">
        <w:rPr>
          <w:rFonts w:ascii="Arial" w:hAnsi="Arial" w:cs="Arial"/>
        </w:rPr>
        <w:t xml:space="preserve"> (Figure 13.9.2)</w:t>
      </w:r>
      <w:r w:rsidR="00B524D6" w:rsidRPr="008721E1">
        <w:rPr>
          <w:rFonts w:ascii="Arial" w:hAnsi="Arial" w:cs="Arial"/>
        </w:rPr>
        <w:t xml:space="preserve">. </w:t>
      </w:r>
      <w:r w:rsidRPr="008721E1">
        <w:rPr>
          <w:rFonts w:ascii="Arial" w:hAnsi="Arial" w:cs="Arial"/>
        </w:rPr>
        <w:t xml:space="preserve">Similarly, there was a gradient of decreasing survival with </w:t>
      </w:r>
      <w:r w:rsidR="00D32520" w:rsidRPr="008721E1">
        <w:rPr>
          <w:rFonts w:ascii="Arial" w:hAnsi="Arial" w:cs="Arial"/>
        </w:rPr>
        <w:t>ICSs that did not contain a large metropolitan area such as Melbourne</w:t>
      </w:r>
      <w:r w:rsidR="00B524D6" w:rsidRPr="008721E1">
        <w:rPr>
          <w:rFonts w:ascii="Arial" w:hAnsi="Arial" w:cs="Arial"/>
        </w:rPr>
        <w:t xml:space="preserve">: </w:t>
      </w:r>
      <w:r w:rsidR="00CA6D80">
        <w:rPr>
          <w:rFonts w:ascii="Arial" w:hAnsi="Arial" w:cs="Arial"/>
        </w:rPr>
        <w:t>five</w:t>
      </w:r>
      <w:r w:rsidRPr="008721E1">
        <w:rPr>
          <w:rFonts w:ascii="Arial" w:hAnsi="Arial" w:cs="Arial"/>
        </w:rPr>
        <w:t xml:space="preserve">-year survival was </w:t>
      </w:r>
      <w:r w:rsidR="009D0E1A">
        <w:rPr>
          <w:rFonts w:ascii="Arial" w:hAnsi="Arial" w:cs="Arial"/>
        </w:rPr>
        <w:t>seven</w:t>
      </w:r>
      <w:r w:rsidRPr="008721E1">
        <w:rPr>
          <w:rFonts w:ascii="Arial" w:hAnsi="Arial" w:cs="Arial"/>
        </w:rPr>
        <w:t xml:space="preserve"> percentage points higher for people in</w:t>
      </w:r>
      <w:r w:rsidR="00D32520" w:rsidRPr="008721E1">
        <w:rPr>
          <w:rFonts w:ascii="Arial" w:hAnsi="Arial" w:cs="Arial"/>
        </w:rPr>
        <w:t xml:space="preserve"> </w:t>
      </w:r>
      <w:r w:rsidR="00A8333B">
        <w:rPr>
          <w:rFonts w:ascii="Arial" w:hAnsi="Arial" w:cs="Arial"/>
        </w:rPr>
        <w:t xml:space="preserve">the </w:t>
      </w:r>
      <w:r w:rsidR="008721E1" w:rsidRPr="008721E1">
        <w:rPr>
          <w:rFonts w:ascii="Arial" w:hAnsi="Arial" w:cs="Arial"/>
        </w:rPr>
        <w:t xml:space="preserve">SMICS </w:t>
      </w:r>
      <w:r w:rsidR="00D32520" w:rsidRPr="008721E1">
        <w:rPr>
          <w:rFonts w:ascii="Arial" w:hAnsi="Arial" w:cs="Arial"/>
        </w:rPr>
        <w:t>(69.2</w:t>
      </w:r>
      <w:r w:rsidR="008D2B37" w:rsidRPr="008721E1">
        <w:rPr>
          <w:rFonts w:ascii="Arial" w:hAnsi="Arial" w:cs="Arial"/>
        </w:rPr>
        <w:t xml:space="preserve"> per cent</w:t>
      </w:r>
      <w:r w:rsidR="00D32520" w:rsidRPr="008721E1">
        <w:rPr>
          <w:rFonts w:ascii="Arial" w:hAnsi="Arial" w:cs="Arial"/>
        </w:rPr>
        <w:t xml:space="preserve">) and </w:t>
      </w:r>
      <w:r w:rsidR="00291990">
        <w:rPr>
          <w:rFonts w:ascii="Arial" w:hAnsi="Arial" w:cs="Arial"/>
        </w:rPr>
        <w:t>NEMICS</w:t>
      </w:r>
      <w:r w:rsidR="00D32520" w:rsidRPr="008721E1">
        <w:rPr>
          <w:rFonts w:ascii="Arial" w:hAnsi="Arial" w:cs="Arial"/>
        </w:rPr>
        <w:t xml:space="preserve"> (69.5</w:t>
      </w:r>
      <w:r w:rsidR="008D2B37" w:rsidRPr="008721E1">
        <w:rPr>
          <w:rFonts w:ascii="Arial" w:hAnsi="Arial" w:cs="Arial"/>
        </w:rPr>
        <w:t xml:space="preserve"> per cent</w:t>
      </w:r>
      <w:r w:rsidR="008721E1" w:rsidRPr="008721E1">
        <w:rPr>
          <w:rFonts w:ascii="Arial" w:hAnsi="Arial" w:cs="Arial"/>
        </w:rPr>
        <w:t>)</w:t>
      </w:r>
      <w:r w:rsidR="00D32520" w:rsidRPr="008721E1">
        <w:rPr>
          <w:rFonts w:ascii="Arial" w:hAnsi="Arial" w:cs="Arial"/>
        </w:rPr>
        <w:t xml:space="preserve"> compared </w:t>
      </w:r>
      <w:r w:rsidR="001B50BF">
        <w:rPr>
          <w:rFonts w:ascii="Arial" w:hAnsi="Arial" w:cs="Arial"/>
        </w:rPr>
        <w:t>with</w:t>
      </w:r>
      <w:r w:rsidR="001B50BF" w:rsidRPr="008721E1">
        <w:rPr>
          <w:rFonts w:ascii="Arial" w:hAnsi="Arial" w:cs="Arial"/>
        </w:rPr>
        <w:t xml:space="preserve"> </w:t>
      </w:r>
      <w:r w:rsidR="00D32520" w:rsidRPr="008721E1">
        <w:rPr>
          <w:rFonts w:ascii="Arial" w:hAnsi="Arial" w:cs="Arial"/>
        </w:rPr>
        <w:t>those located in the H</w:t>
      </w:r>
      <w:r w:rsidR="00A8333B">
        <w:rPr>
          <w:rFonts w:ascii="Arial" w:hAnsi="Arial" w:cs="Arial"/>
        </w:rPr>
        <w:t>R</w:t>
      </w:r>
      <w:r w:rsidR="00D32520" w:rsidRPr="008721E1">
        <w:rPr>
          <w:rFonts w:ascii="Arial" w:hAnsi="Arial" w:cs="Arial"/>
        </w:rPr>
        <w:t>ICS (62.7</w:t>
      </w:r>
      <w:r w:rsidR="008D2B37" w:rsidRPr="008721E1">
        <w:rPr>
          <w:rFonts w:ascii="Arial" w:hAnsi="Arial" w:cs="Arial"/>
        </w:rPr>
        <w:t xml:space="preserve"> per cent</w:t>
      </w:r>
      <w:r w:rsidR="00D32520" w:rsidRPr="008721E1">
        <w:rPr>
          <w:rFonts w:ascii="Arial" w:hAnsi="Arial" w:cs="Arial"/>
        </w:rPr>
        <w:t>)</w:t>
      </w:r>
      <w:r w:rsidR="00805C0A" w:rsidRPr="008721E1">
        <w:rPr>
          <w:rFonts w:ascii="Arial" w:hAnsi="Arial" w:cs="Arial"/>
        </w:rPr>
        <w:t xml:space="preserve"> (Figure 13.9.2)</w:t>
      </w:r>
      <w:r w:rsidR="00344722" w:rsidRPr="008721E1">
        <w:rPr>
          <w:rFonts w:ascii="Arial" w:hAnsi="Arial" w:cs="Arial"/>
        </w:rPr>
        <w:t>.</w:t>
      </w:r>
      <w:bookmarkStart w:id="865" w:name="_Toc19008173"/>
    </w:p>
    <w:p w14:paraId="1CB20FEC" w14:textId="77777777" w:rsidR="0092202A" w:rsidRDefault="0092202A">
      <w:pPr>
        <w:rPr>
          <w:rFonts w:ascii="Arial" w:hAnsi="Arial" w:cs="Arial"/>
        </w:rPr>
      </w:pPr>
      <w:r>
        <w:rPr>
          <w:rFonts w:ascii="Arial" w:hAnsi="Arial" w:cs="Arial"/>
        </w:rPr>
        <w:br w:type="page"/>
      </w:r>
    </w:p>
    <w:p w14:paraId="7FCCC9A8" w14:textId="331DE39F" w:rsidR="005C15AA" w:rsidRPr="0092202A" w:rsidRDefault="005C15AA" w:rsidP="0092202A">
      <w:pPr>
        <w:pStyle w:val="Heading3"/>
        <w:rPr>
          <w:rStyle w:val="Heading3Char"/>
          <w:b/>
          <w:bCs/>
        </w:rPr>
      </w:pPr>
      <w:bookmarkStart w:id="866" w:name="_Measure_13.10_–"/>
      <w:bookmarkEnd w:id="866"/>
      <w:r w:rsidRPr="0092202A">
        <w:rPr>
          <w:rStyle w:val="Heading3Char"/>
          <w:b/>
          <w:bCs/>
        </w:rPr>
        <w:lastRenderedPageBreak/>
        <w:t xml:space="preserve">Measure 13.10 – </w:t>
      </w:r>
      <w:r w:rsidR="00A4158A" w:rsidRPr="0092202A">
        <w:rPr>
          <w:rStyle w:val="Heading3Char"/>
          <w:b/>
          <w:bCs/>
        </w:rPr>
        <w:t xml:space="preserve">Five-year </w:t>
      </w:r>
      <w:r w:rsidR="00707755" w:rsidRPr="0092202A">
        <w:rPr>
          <w:rStyle w:val="Heading3Char"/>
          <w:b/>
          <w:bCs/>
        </w:rPr>
        <w:t xml:space="preserve">relative </w:t>
      </w:r>
      <w:r w:rsidR="00A4158A" w:rsidRPr="0092202A">
        <w:rPr>
          <w:rStyle w:val="Heading3Char"/>
          <w:b/>
          <w:bCs/>
        </w:rPr>
        <w:t>survival from lung cancer</w:t>
      </w:r>
      <w:r w:rsidR="00E8085C" w:rsidRPr="0092202A">
        <w:rPr>
          <w:rStyle w:val="Heading3Char"/>
          <w:b/>
          <w:bCs/>
        </w:rPr>
        <w:t xml:space="preserve"> (C33</w:t>
      </w:r>
      <w:r w:rsidR="009D0E1A" w:rsidRPr="0092202A">
        <w:rPr>
          <w:rStyle w:val="Heading3Char"/>
          <w:b/>
          <w:bCs/>
        </w:rPr>
        <w:t>–</w:t>
      </w:r>
      <w:r w:rsidR="00E8085C" w:rsidRPr="0092202A">
        <w:rPr>
          <w:rStyle w:val="Heading3Char"/>
          <w:b/>
          <w:bCs/>
        </w:rPr>
        <w:t>34)</w:t>
      </w:r>
      <w:bookmarkEnd w:id="865"/>
    </w:p>
    <w:p w14:paraId="6E6139F3" w14:textId="0108BFD7" w:rsidR="0021019F" w:rsidRDefault="00391488" w:rsidP="008D320F">
      <w:pPr>
        <w:pStyle w:val="DHHSfigurecaption"/>
      </w:pPr>
      <w:bookmarkStart w:id="867" w:name="_Toc19008174"/>
      <w:bookmarkStart w:id="868" w:name="_Toc19008372"/>
      <w:bookmarkStart w:id="869" w:name="_Toc19008519"/>
      <w:bookmarkStart w:id="870" w:name="_Toc19008666"/>
      <w:bookmarkStart w:id="871" w:name="_Toc27414374"/>
      <w:r>
        <w:t>Figure 13.10</w:t>
      </w:r>
      <w:r w:rsidR="009D0E1A">
        <w:t>:</w:t>
      </w:r>
      <w:r>
        <w:t xml:space="preserve"> Five</w:t>
      </w:r>
      <w:r w:rsidR="00AA5069">
        <w:t>-year relative survival from</w:t>
      </w:r>
      <w:r w:rsidR="0021019F" w:rsidRPr="006C654C">
        <w:t xml:space="preserve"> </w:t>
      </w:r>
      <w:r w:rsidR="0021019F">
        <w:t>lung cancer</w:t>
      </w:r>
      <w:r w:rsidR="0021019F" w:rsidRPr="006C654C">
        <w:t xml:space="preserve"> (nationally)</w:t>
      </w:r>
      <w:r w:rsidR="00266A9F">
        <w:t>,</w:t>
      </w:r>
      <w:r w:rsidR="0021019F" w:rsidRPr="006C654C">
        <w:t xml:space="preserve"> by age and sex, 2010</w:t>
      </w:r>
      <w:r w:rsidR="009D0E1A">
        <w:t>–</w:t>
      </w:r>
      <w:r w:rsidR="0021019F" w:rsidRPr="006C654C">
        <w:t>2014</w:t>
      </w:r>
      <w:r w:rsidR="00160C1F">
        <w:rPr>
          <w:rStyle w:val="FootnoteReference"/>
          <w:b w:val="0"/>
          <w:lang w:eastAsia="en-AU"/>
        </w:rPr>
        <w:footnoteReference w:id="165"/>
      </w:r>
      <w:bookmarkEnd w:id="867"/>
      <w:bookmarkEnd w:id="868"/>
      <w:bookmarkEnd w:id="869"/>
      <w:bookmarkEnd w:id="870"/>
      <w:bookmarkEnd w:id="871"/>
    </w:p>
    <w:p w14:paraId="47B43EEC" w14:textId="04CC6A64" w:rsidR="009C5AC1" w:rsidRPr="009C5AC1" w:rsidRDefault="009C5AC1" w:rsidP="009C5AC1">
      <w:pPr>
        <w:pStyle w:val="DHHSbody"/>
      </w:pPr>
      <w:r>
        <w:rPr>
          <w:noProof/>
        </w:rPr>
        <w:drawing>
          <wp:inline distT="0" distB="0" distL="0" distR="0" wp14:anchorId="311A2405" wp14:editId="07E26D79">
            <wp:extent cx="6569075" cy="3600359"/>
            <wp:effectExtent l="0" t="0" r="3175" b="635"/>
            <wp:docPr id="224" name="Picture 224" descr="This figure forms part of the section that is specific to Measure 13.10 - Five-year relative survival from lung cancer.  It shows the five-year relative survival from lung cancer (nationally)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580024" cy="3606360"/>
                    </a:xfrm>
                    <a:prstGeom prst="rect">
                      <a:avLst/>
                    </a:prstGeom>
                  </pic:spPr>
                </pic:pic>
              </a:graphicData>
            </a:graphic>
          </wp:inline>
        </w:drawing>
      </w:r>
    </w:p>
    <w:p w14:paraId="550A0F4F" w14:textId="4CA30755"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00B670DC" w14:textId="24E20D53" w:rsidR="003A5C32" w:rsidRPr="003D6E20" w:rsidRDefault="003A5C32" w:rsidP="005A5151">
      <w:pPr>
        <w:pStyle w:val="DHHStablefigurenote"/>
        <w:rPr>
          <w:lang w:val="en"/>
        </w:rPr>
      </w:pPr>
      <w:r w:rsidRPr="003D6E20">
        <w:rPr>
          <w:lang w:val="en"/>
        </w:rPr>
        <w:t>Notes</w:t>
      </w:r>
      <w:r w:rsidR="00BE62B2">
        <w:rPr>
          <w:lang w:val="en"/>
        </w:rPr>
        <w:t>:</w:t>
      </w:r>
      <w:r w:rsidRPr="003D6E20">
        <w:rPr>
          <w:lang w:val="en"/>
        </w:rPr>
        <w:t> </w:t>
      </w:r>
    </w:p>
    <w:p w14:paraId="72145D31" w14:textId="69B43EA6" w:rsidR="003A5C32" w:rsidRPr="003D6E20" w:rsidRDefault="003A5C32" w:rsidP="005A5151">
      <w:pPr>
        <w:pStyle w:val="DHHStablefigurenote"/>
        <w:rPr>
          <w:rFonts w:cs="Arial"/>
          <w:lang w:val="en"/>
        </w:rPr>
      </w:pPr>
      <w:r w:rsidRPr="003D6E20">
        <w:rPr>
          <w:rFonts w:cs="Arial"/>
          <w:lang w:val="en"/>
        </w:rPr>
        <w:t>Relative survival was calculated with the period method, using the period 2010–2014.</w:t>
      </w:r>
      <w:r w:rsidR="00952FC7">
        <w:rPr>
          <w:rFonts w:cs="Arial"/>
          <w:lang w:val="en"/>
        </w:rPr>
        <w:t xml:space="preserve"> </w:t>
      </w:r>
      <w:r w:rsidRPr="003D6E20">
        <w:rPr>
          <w:rFonts w:cs="Arial"/>
          <w:lang w:val="en"/>
        </w:rPr>
        <w:t xml:space="preserve">Note that this period does not contain incidence data for 2014 for </w:t>
      </w:r>
      <w:r w:rsidR="00266A9F">
        <w:rPr>
          <w:rFonts w:cs="Arial"/>
          <w:lang w:val="en"/>
        </w:rPr>
        <w:t>New South Wales</w:t>
      </w:r>
      <w:r w:rsidR="00266A9F" w:rsidRPr="003D6E20">
        <w:rPr>
          <w:rFonts w:cs="Arial"/>
          <w:lang w:val="en"/>
        </w:rPr>
        <w:t xml:space="preserve"> </w:t>
      </w:r>
      <w:r w:rsidRPr="003D6E20">
        <w:rPr>
          <w:rFonts w:cs="Arial"/>
          <w:lang w:val="en"/>
        </w:rPr>
        <w:t xml:space="preserve">because </w:t>
      </w:r>
      <w:r w:rsidR="005136E1">
        <w:rPr>
          <w:rFonts w:cs="Arial"/>
          <w:lang w:val="en"/>
        </w:rPr>
        <w:t>that</w:t>
      </w:r>
      <w:r w:rsidR="005136E1" w:rsidRPr="003D6E20">
        <w:rPr>
          <w:rFonts w:cs="Arial"/>
          <w:lang w:val="en"/>
        </w:rPr>
        <w:t xml:space="preserve"> </w:t>
      </w:r>
      <w:r w:rsidRPr="003D6E20">
        <w:rPr>
          <w:rFonts w:cs="Arial"/>
          <w:lang w:val="en"/>
        </w:rPr>
        <w:t xml:space="preserve">data </w:t>
      </w:r>
      <w:r w:rsidR="005136E1">
        <w:rPr>
          <w:rFonts w:cs="Arial"/>
          <w:lang w:val="en"/>
        </w:rPr>
        <w:t>was</w:t>
      </w:r>
      <w:r w:rsidRPr="003D6E20">
        <w:rPr>
          <w:rFonts w:cs="Arial"/>
          <w:lang w:val="en"/>
        </w:rPr>
        <w:t xml:space="preserve"> unavailable.</w:t>
      </w:r>
    </w:p>
    <w:p w14:paraId="124826A1" w14:textId="7A877707" w:rsidR="00712DE4" w:rsidRPr="009D0E1A" w:rsidRDefault="00712DE4" w:rsidP="005A5151">
      <w:pPr>
        <w:pStyle w:val="DHHStablefigurenote"/>
        <w:rPr>
          <w:rFonts w:cs="Arial"/>
          <w:lang w:val="en"/>
        </w:rPr>
      </w:pPr>
      <w:r w:rsidRPr="00916529">
        <w:rPr>
          <w:rFonts w:cs="Arial"/>
          <w:lang w:val="en"/>
        </w:rPr>
        <w:t>Data for some categories that do not appear in the charts have been deliberately suppressed due to small numbers, confidentiality, and/or reliability concerns.</w:t>
      </w:r>
    </w:p>
    <w:p w14:paraId="4A1AE546" w14:textId="631509FB" w:rsidR="009B4DD7" w:rsidRDefault="009B4DD7" w:rsidP="008D320F">
      <w:pPr>
        <w:pStyle w:val="DHHSfigurecaption"/>
      </w:pPr>
      <w:bookmarkStart w:id="872" w:name="_Toc19008175"/>
      <w:bookmarkStart w:id="873" w:name="_Toc19008373"/>
      <w:bookmarkStart w:id="874" w:name="_Toc19008520"/>
      <w:bookmarkStart w:id="875" w:name="_Toc19008667"/>
      <w:bookmarkStart w:id="876" w:name="_Toc27414375"/>
      <w:r w:rsidRPr="008A5FEF">
        <w:t>Figure 13.</w:t>
      </w:r>
      <w:r>
        <w:t>10</w:t>
      </w:r>
      <w:r w:rsidR="0088716F">
        <w:t>.1</w:t>
      </w:r>
      <w:r w:rsidR="009D0E1A">
        <w:t>:</w:t>
      </w:r>
      <w:r>
        <w:t xml:space="preserve"> Five-year relative survival from </w:t>
      </w:r>
      <w:r w:rsidR="009F3CFE">
        <w:t>lung</w:t>
      </w:r>
      <w:r>
        <w:t xml:space="preserve"> cancer</w:t>
      </w:r>
      <w:r w:rsidR="005136E1">
        <w:t>,</w:t>
      </w:r>
      <w:r>
        <w:t xml:space="preserve"> by age (A), remoteness (B)</w:t>
      </w:r>
      <w:r w:rsidR="00DF0BD5">
        <w:t xml:space="preserve">, </w:t>
      </w:r>
      <w:r w:rsidR="00DE7FFE">
        <w:t>SES</w:t>
      </w:r>
      <w:r w:rsidR="00DF0BD5">
        <w:t xml:space="preserve"> (C)</w:t>
      </w:r>
      <w:r>
        <w:t xml:space="preserve"> and </w:t>
      </w:r>
      <w:r w:rsidR="008439C8">
        <w:t>ICS</w:t>
      </w:r>
      <w:r>
        <w:t xml:space="preserve"> (</w:t>
      </w:r>
      <w:r w:rsidR="00DF0BD5">
        <w:t>D</w:t>
      </w:r>
      <w:r>
        <w:t>), Victoria, 2010</w:t>
      </w:r>
      <w:r w:rsidR="009D0E1A">
        <w:t>–</w:t>
      </w:r>
      <w:r>
        <w:t>2014</w:t>
      </w:r>
      <w:bookmarkEnd w:id="872"/>
      <w:bookmarkEnd w:id="873"/>
      <w:bookmarkEnd w:id="874"/>
      <w:bookmarkEnd w:id="875"/>
      <w:bookmarkEnd w:id="876"/>
    </w:p>
    <w:p w14:paraId="08005988" w14:textId="77777777" w:rsidR="00BF29A6" w:rsidRDefault="00BF29A6" w:rsidP="00160602">
      <w:pPr>
        <w:pStyle w:val="DHHSbody"/>
        <w:numPr>
          <w:ilvl w:val="0"/>
          <w:numId w:val="39"/>
        </w:numPr>
        <w:ind w:left="284" w:hanging="284"/>
        <w:rPr>
          <w:b/>
          <w:lang w:eastAsia="en-AU"/>
        </w:rPr>
        <w:sectPr w:rsidR="00BF29A6" w:rsidSect="006116E6">
          <w:type w:val="continuous"/>
          <w:pgSz w:w="11906" w:h="16838"/>
          <w:pgMar w:top="1701" w:right="849" w:bottom="1134" w:left="426" w:header="454" w:footer="510" w:gutter="0"/>
          <w:cols w:space="720"/>
          <w:docGrid w:linePitch="360"/>
        </w:sectPr>
      </w:pPr>
    </w:p>
    <w:p w14:paraId="392CCC0F" w14:textId="4EFAD669" w:rsidR="000C5AF3" w:rsidRDefault="000C5AF3" w:rsidP="00160602">
      <w:pPr>
        <w:pStyle w:val="DHHSbody"/>
        <w:numPr>
          <w:ilvl w:val="0"/>
          <w:numId w:val="39"/>
        </w:numPr>
        <w:ind w:left="284" w:hanging="284"/>
        <w:rPr>
          <w:b/>
          <w:lang w:eastAsia="en-AU"/>
        </w:rPr>
      </w:pPr>
      <w:r>
        <w:rPr>
          <w:b/>
          <w:lang w:eastAsia="en-AU"/>
        </w:rPr>
        <w:t>Age</w:t>
      </w:r>
    </w:p>
    <w:p w14:paraId="561B2030" w14:textId="0BC27324" w:rsidR="000C5AF3" w:rsidRDefault="00071C19" w:rsidP="009B4DD7">
      <w:pPr>
        <w:pStyle w:val="DHHSbody"/>
        <w:rPr>
          <w:noProof/>
        </w:rPr>
      </w:pPr>
      <w:r>
        <w:rPr>
          <w:noProof/>
        </w:rPr>
        <w:drawing>
          <wp:inline distT="0" distB="0" distL="0" distR="0" wp14:anchorId="3BF54C4D" wp14:editId="47B49417">
            <wp:extent cx="3133725" cy="2280285"/>
            <wp:effectExtent l="0" t="0" r="9525" b="5715"/>
            <wp:docPr id="621" name="Picture 621" descr="This figure shows a data summary of 'Measure 13.10 – Five-year survival from lung cancer'. Specially this figure focuses on the five-year relative survival from lung cancer by age for the study period 2010-2014. The data set is available under 'Measure 13.10 – Fiv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33725" cy="2280285"/>
                    </a:xfrm>
                    <a:prstGeom prst="rect">
                      <a:avLst/>
                    </a:prstGeom>
                    <a:noFill/>
                  </pic:spPr>
                </pic:pic>
              </a:graphicData>
            </a:graphic>
          </wp:inline>
        </w:drawing>
      </w:r>
    </w:p>
    <w:p w14:paraId="1571875A" w14:textId="157B30C4" w:rsidR="00BF29A6" w:rsidRPr="00BF29A6" w:rsidRDefault="00BF29A6" w:rsidP="00160602">
      <w:pPr>
        <w:pStyle w:val="DHHSbody"/>
        <w:numPr>
          <w:ilvl w:val="0"/>
          <w:numId w:val="39"/>
        </w:numPr>
        <w:ind w:left="284" w:hanging="284"/>
        <w:rPr>
          <w:noProof/>
        </w:rPr>
      </w:pPr>
      <w:r>
        <w:rPr>
          <w:b/>
          <w:lang w:eastAsia="en-AU"/>
        </w:rPr>
        <w:t>Remoteness</w:t>
      </w:r>
    </w:p>
    <w:p w14:paraId="5CAF4A2B" w14:textId="713D0A04" w:rsidR="00BF29A6" w:rsidRDefault="00071C19" w:rsidP="00BF29A6">
      <w:pPr>
        <w:pStyle w:val="DHHSbody"/>
        <w:ind w:left="568" w:hanging="568"/>
        <w:rPr>
          <w:noProof/>
        </w:rPr>
      </w:pPr>
      <w:r>
        <w:rPr>
          <w:noProof/>
        </w:rPr>
        <w:drawing>
          <wp:inline distT="0" distB="0" distL="0" distR="0" wp14:anchorId="3B0D1938" wp14:editId="6C121D0F">
            <wp:extent cx="3145790" cy="2280285"/>
            <wp:effectExtent l="0" t="0" r="0" b="5715"/>
            <wp:docPr id="622" name="Picture 622" descr="This figure shows a data summary of 'Measure 13.10 – Five-year survival from lung cancer'. Specially this figure focuses on the five-year relative survival from lung cancer by remoteness for the study period 2010-2014. The data set is available under 'Measure 13.10 – Fiv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145790" cy="2280285"/>
                    </a:xfrm>
                    <a:prstGeom prst="rect">
                      <a:avLst/>
                    </a:prstGeom>
                    <a:noFill/>
                  </pic:spPr>
                </pic:pic>
              </a:graphicData>
            </a:graphic>
          </wp:inline>
        </w:drawing>
      </w:r>
    </w:p>
    <w:p w14:paraId="517625A4" w14:textId="77777777" w:rsidR="00BF29A6" w:rsidRDefault="00BF29A6" w:rsidP="00BF29A6">
      <w:pPr>
        <w:pStyle w:val="DHHSbody"/>
        <w:ind w:left="568"/>
        <w:rPr>
          <w:noProof/>
        </w:rPr>
        <w:sectPr w:rsidR="00BF29A6" w:rsidSect="00BF29A6">
          <w:type w:val="continuous"/>
          <w:pgSz w:w="11906" w:h="16838"/>
          <w:pgMar w:top="1701" w:right="849" w:bottom="1134" w:left="426" w:header="454" w:footer="510" w:gutter="0"/>
          <w:cols w:num="2" w:space="720"/>
          <w:docGrid w:linePitch="360"/>
        </w:sectPr>
      </w:pPr>
    </w:p>
    <w:p w14:paraId="52EBB884" w14:textId="77777777" w:rsidR="00627E55" w:rsidRDefault="00627E55">
      <w:pPr>
        <w:rPr>
          <w:rFonts w:ascii="Arial" w:eastAsia="Times" w:hAnsi="Arial"/>
          <w:b/>
        </w:rPr>
      </w:pPr>
      <w:r>
        <w:rPr>
          <w:b/>
        </w:rPr>
        <w:br w:type="page"/>
      </w:r>
    </w:p>
    <w:p w14:paraId="73DC2466" w14:textId="77777777" w:rsidR="00BF29A6" w:rsidRDefault="00BF29A6" w:rsidP="00160602">
      <w:pPr>
        <w:pStyle w:val="DHHSbody"/>
        <w:numPr>
          <w:ilvl w:val="0"/>
          <w:numId w:val="40"/>
        </w:numPr>
        <w:ind w:left="284" w:hanging="284"/>
        <w:rPr>
          <w:b/>
          <w:lang w:eastAsia="en-AU"/>
        </w:rPr>
        <w:sectPr w:rsidR="00BF29A6" w:rsidSect="006116E6">
          <w:type w:val="continuous"/>
          <w:pgSz w:w="11906" w:h="16838"/>
          <w:pgMar w:top="1701" w:right="849" w:bottom="1134" w:left="426" w:header="454" w:footer="510" w:gutter="0"/>
          <w:cols w:space="720"/>
          <w:docGrid w:linePitch="360"/>
        </w:sectPr>
      </w:pPr>
    </w:p>
    <w:p w14:paraId="30791B3E" w14:textId="6CC07AC8" w:rsidR="000C5AF3" w:rsidRPr="000C5AF3" w:rsidRDefault="000C5AF3" w:rsidP="00160602">
      <w:pPr>
        <w:pStyle w:val="DHHSbody"/>
        <w:numPr>
          <w:ilvl w:val="0"/>
          <w:numId w:val="40"/>
        </w:numPr>
        <w:ind w:left="357" w:hanging="357"/>
        <w:rPr>
          <w:b/>
          <w:lang w:eastAsia="en-AU"/>
        </w:rPr>
      </w:pPr>
      <w:r w:rsidRPr="000C5AF3">
        <w:rPr>
          <w:b/>
          <w:lang w:eastAsia="en-AU"/>
        </w:rPr>
        <w:lastRenderedPageBreak/>
        <w:t>Socioeconomic status</w:t>
      </w:r>
    </w:p>
    <w:p w14:paraId="41D0A33D" w14:textId="6B495AEA" w:rsidR="000C5AF3" w:rsidRDefault="00071C19" w:rsidP="00135CB6">
      <w:pPr>
        <w:pStyle w:val="DHHSbody"/>
        <w:rPr>
          <w:b/>
          <w:sz w:val="18"/>
          <w:szCs w:val="18"/>
          <w:lang w:eastAsia="en-AU"/>
        </w:rPr>
      </w:pPr>
      <w:r>
        <w:rPr>
          <w:b/>
          <w:noProof/>
          <w:sz w:val="18"/>
          <w:szCs w:val="18"/>
          <w:lang w:eastAsia="en-AU"/>
        </w:rPr>
        <w:drawing>
          <wp:inline distT="0" distB="0" distL="0" distR="0" wp14:anchorId="51BBF655" wp14:editId="5E62157E">
            <wp:extent cx="3145790" cy="2383790"/>
            <wp:effectExtent l="0" t="0" r="0" b="0"/>
            <wp:docPr id="623" name="Picture 623" descr="This figure shows a data summary of 'Measure 13.10 – Five-year survival from lung cancer'. Specially this figure focuses on the five-year relative survival from lung cancer by socioeconomic status for the study period 2010-2014. The data set is available under 'Measure 13.10 – Fiv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45790" cy="2383790"/>
                    </a:xfrm>
                    <a:prstGeom prst="rect">
                      <a:avLst/>
                    </a:prstGeom>
                    <a:noFill/>
                  </pic:spPr>
                </pic:pic>
              </a:graphicData>
            </a:graphic>
          </wp:inline>
        </w:drawing>
      </w:r>
    </w:p>
    <w:p w14:paraId="75498759" w14:textId="0214A30C" w:rsidR="00BF29A6" w:rsidRPr="00BF29A6" w:rsidRDefault="00BF29A6" w:rsidP="00160602">
      <w:pPr>
        <w:pStyle w:val="DHHSbody"/>
        <w:keepNext/>
        <w:numPr>
          <w:ilvl w:val="0"/>
          <w:numId w:val="40"/>
        </w:numPr>
        <w:ind w:left="357" w:hanging="357"/>
        <w:rPr>
          <w:b/>
          <w:sz w:val="18"/>
          <w:szCs w:val="18"/>
          <w:lang w:eastAsia="en-AU"/>
        </w:rPr>
      </w:pPr>
      <w:r w:rsidRPr="000C5AF3">
        <w:rPr>
          <w:b/>
          <w:lang w:eastAsia="en-AU"/>
        </w:rPr>
        <w:t>Integrated Cancer Service</w:t>
      </w:r>
    </w:p>
    <w:p w14:paraId="6CBFBFAD" w14:textId="62BBC668" w:rsidR="00BF29A6" w:rsidRDefault="00071C19" w:rsidP="00135CB6">
      <w:pPr>
        <w:pStyle w:val="DHHSbody"/>
        <w:rPr>
          <w:b/>
          <w:lang w:eastAsia="en-AU"/>
        </w:rPr>
      </w:pPr>
      <w:r>
        <w:rPr>
          <w:b/>
          <w:noProof/>
          <w:lang w:eastAsia="en-AU"/>
        </w:rPr>
        <w:drawing>
          <wp:inline distT="0" distB="0" distL="0" distR="0" wp14:anchorId="3CDCBB9D" wp14:editId="689A516C">
            <wp:extent cx="3145790" cy="2621280"/>
            <wp:effectExtent l="0" t="0" r="0" b="7620"/>
            <wp:docPr id="624" name="Picture 624" descr="This figure shows a data summary of 'Measure 13.10 – Five-year survival from lung cancer'. Specially this figure focuses on the five-year relative survival from lung cancer by Integrated Cancer Service for the study period 2010-2014. The data set is available under 'Measure 13.10 – Five-year survival from lung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45790" cy="2621280"/>
                    </a:xfrm>
                    <a:prstGeom prst="rect">
                      <a:avLst/>
                    </a:prstGeom>
                    <a:noFill/>
                  </pic:spPr>
                </pic:pic>
              </a:graphicData>
            </a:graphic>
          </wp:inline>
        </w:drawing>
      </w:r>
    </w:p>
    <w:p w14:paraId="02CA7147" w14:textId="77777777" w:rsidR="00BF29A6" w:rsidRDefault="00BF29A6" w:rsidP="000C5AF3">
      <w:pPr>
        <w:pStyle w:val="DHHSbody"/>
        <w:rPr>
          <w:i/>
          <w:sz w:val="18"/>
          <w:szCs w:val="18"/>
          <w:lang w:eastAsia="en-AU"/>
        </w:rPr>
        <w:sectPr w:rsidR="00BF29A6" w:rsidSect="00562C8F">
          <w:type w:val="continuous"/>
          <w:pgSz w:w="11906" w:h="16838"/>
          <w:pgMar w:top="1701" w:right="851" w:bottom="1134" w:left="425" w:header="454" w:footer="510" w:gutter="0"/>
          <w:cols w:num="2" w:space="720"/>
          <w:docGrid w:linePitch="360"/>
        </w:sectPr>
      </w:pPr>
    </w:p>
    <w:p w14:paraId="4C1FE4D2" w14:textId="5F6D650C" w:rsidR="000C5AF3" w:rsidRDefault="000C5AF3" w:rsidP="005A5151">
      <w:pPr>
        <w:pStyle w:val="DHHStablefigurenote"/>
      </w:pPr>
      <w:r w:rsidRPr="00514E0F">
        <w:t xml:space="preserve">Notes: </w:t>
      </w:r>
    </w:p>
    <w:p w14:paraId="7E9A3137" w14:textId="77777777" w:rsidR="000C5AF3" w:rsidRPr="009147C5" w:rsidRDefault="000C5AF3" w:rsidP="005A5151">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7C5EFE84" w14:textId="77777777" w:rsidR="000C5AF3" w:rsidRPr="005C3B63" w:rsidRDefault="000C5AF3" w:rsidP="005A5151">
      <w:pPr>
        <w:pStyle w:val="DHHStablefigurenote"/>
      </w:pPr>
      <w:r>
        <w:t>Analysis for the age groups 0–14 years and 15–24 years were excluded because there were no deaths recorded.</w:t>
      </w:r>
    </w:p>
    <w:p w14:paraId="635711C0" w14:textId="77777777" w:rsidR="000C5AF3" w:rsidRPr="009147C5" w:rsidRDefault="000C5AF3" w:rsidP="005A5151">
      <w:pPr>
        <w:pStyle w:val="DHHStablefigurenote"/>
      </w:pPr>
      <w:r w:rsidRPr="00514E0F">
        <w:t>Remoteness is classified according to the Australian Standard Geo</w:t>
      </w:r>
      <w:r>
        <w:t>graphical Classification (ASGC) Remoteness Areas.</w:t>
      </w:r>
    </w:p>
    <w:p w14:paraId="50FD333D" w14:textId="75EB6B37" w:rsidR="000C5AF3" w:rsidRDefault="000C5AF3" w:rsidP="005A5151">
      <w:pPr>
        <w:pStyle w:val="DHHStablefigurenote"/>
      </w:pPr>
      <w:r>
        <w:t>SES</w:t>
      </w:r>
      <w:r w:rsidRPr="00E141E2">
        <w:t xml:space="preserve"> is classified according to the ABS Socioeconomic Indexes for Areas (SEIFA) Index of Relative Socio-economic Disadvantage – 1= lowest and 5 = highest.</w:t>
      </w:r>
    </w:p>
    <w:p w14:paraId="637D07C0" w14:textId="5005BCEB" w:rsidR="006F4568" w:rsidRPr="006F4568" w:rsidRDefault="006F4568" w:rsidP="005A5151">
      <w:pPr>
        <w:pStyle w:val="DHHStablefigurenote"/>
      </w:pPr>
      <w:r w:rsidRPr="0073300D">
        <w:t>Appendix 2 provides the dataset</w:t>
      </w:r>
      <w:r>
        <w:t>.</w:t>
      </w:r>
    </w:p>
    <w:p w14:paraId="65EEE58A" w14:textId="77777777" w:rsidR="00CD628B" w:rsidRPr="00671C7A" w:rsidRDefault="00CD628B" w:rsidP="00CD628B">
      <w:pPr>
        <w:pStyle w:val="Heading4"/>
        <w:rPr>
          <w:lang w:eastAsia="en-AU"/>
        </w:rPr>
      </w:pPr>
      <w:r>
        <w:rPr>
          <w:lang w:eastAsia="en-AU"/>
        </w:rPr>
        <w:t>Measure assessment</w:t>
      </w:r>
    </w:p>
    <w:p w14:paraId="7EF46107" w14:textId="3313E16F" w:rsidR="00026CF2" w:rsidRPr="00026CF2" w:rsidRDefault="00CD628B"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E860C8"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382BBF28" w14:textId="1797A4DB" w:rsidR="00CD628B" w:rsidRDefault="00CD628B" w:rsidP="0097280A">
      <w:pPr>
        <w:spacing w:after="120" w:line="270" w:lineRule="atLeast"/>
        <w:rPr>
          <w:rFonts w:ascii="Arial" w:hAnsi="Arial" w:cs="Arial"/>
        </w:rPr>
      </w:pPr>
      <w:r>
        <w:rPr>
          <w:rFonts w:ascii="Arial" w:hAnsi="Arial" w:cs="Arial"/>
        </w:rPr>
        <w:t xml:space="preserve">Overall trend: </w:t>
      </w:r>
      <w:r w:rsidR="00E860C8">
        <w:rPr>
          <w:rFonts w:ascii="Arial" w:hAnsi="Arial" w:cs="Arial"/>
        </w:rPr>
        <w:t>Could</w:t>
      </w:r>
      <w:r w:rsidR="00414B45">
        <w:rPr>
          <w:rFonts w:ascii="Arial" w:hAnsi="Arial" w:cs="Arial"/>
        </w:rPr>
        <w:t xml:space="preserve"> not</w:t>
      </w:r>
      <w:r w:rsidR="00E860C8">
        <w:rPr>
          <w:rFonts w:ascii="Arial" w:hAnsi="Arial" w:cs="Arial"/>
        </w:rPr>
        <w:t xml:space="preserve"> be calculated due to only one data point (2010</w:t>
      </w:r>
      <w:r w:rsidR="00CA6D80">
        <w:rPr>
          <w:rFonts w:ascii="Arial" w:hAnsi="Arial" w:cs="Arial"/>
        </w:rPr>
        <w:t>–</w:t>
      </w:r>
      <w:r w:rsidR="00E860C8">
        <w:rPr>
          <w:rFonts w:ascii="Arial" w:hAnsi="Arial" w:cs="Arial"/>
        </w:rPr>
        <w:t>2014)</w:t>
      </w:r>
    </w:p>
    <w:p w14:paraId="6CA95DF3" w14:textId="06C28C7C" w:rsidR="000308D7" w:rsidRDefault="00CD628B" w:rsidP="002465BD">
      <w:pPr>
        <w:pStyle w:val="DHHSbody"/>
        <w:rPr>
          <w:lang w:val="en"/>
        </w:rPr>
      </w:pPr>
      <w:r w:rsidRPr="00D964AE">
        <w:rPr>
          <w:lang w:eastAsia="en-AU"/>
        </w:rPr>
        <w:t>Commentary:</w:t>
      </w:r>
      <w:r w:rsidR="00F91A34" w:rsidRPr="00D964AE">
        <w:rPr>
          <w:lang w:eastAsia="en-AU"/>
        </w:rPr>
        <w:t xml:space="preserve"> </w:t>
      </w:r>
      <w:r w:rsidR="00DC2D2E">
        <w:rPr>
          <w:lang w:eastAsia="en-AU"/>
        </w:rPr>
        <w:t xml:space="preserve">Figure 13.10 shows that overall </w:t>
      </w:r>
      <w:r w:rsidR="00DC2D2E">
        <w:rPr>
          <w:lang w:val="en"/>
        </w:rPr>
        <w:t>i</w:t>
      </w:r>
      <w:r w:rsidR="00F91A34" w:rsidRPr="00D964AE">
        <w:rPr>
          <w:lang w:val="en"/>
        </w:rPr>
        <w:t xml:space="preserve">n 2010–2014, </w:t>
      </w:r>
      <w:r w:rsidR="00D5591C" w:rsidRPr="00D964AE">
        <w:rPr>
          <w:lang w:val="en"/>
        </w:rPr>
        <w:t>Australian</w:t>
      </w:r>
      <w:r w:rsidR="0018304E">
        <w:rPr>
          <w:lang w:val="en"/>
        </w:rPr>
        <w:t>s</w:t>
      </w:r>
      <w:r w:rsidR="00D5591C" w:rsidRPr="00D964AE">
        <w:rPr>
          <w:lang w:val="en"/>
        </w:rPr>
        <w:t xml:space="preserve"> </w:t>
      </w:r>
      <w:r w:rsidR="00F91A34" w:rsidRPr="00D964AE">
        <w:rPr>
          <w:lang w:val="en"/>
        </w:rPr>
        <w:t>diagnosed with lung cancer had a 17</w:t>
      </w:r>
      <w:r w:rsidR="00F61888">
        <w:rPr>
          <w:lang w:val="en"/>
        </w:rPr>
        <w:t xml:space="preserve"> per cent</w:t>
      </w:r>
      <w:r w:rsidR="00F91A34" w:rsidRPr="00D964AE">
        <w:rPr>
          <w:lang w:val="en"/>
        </w:rPr>
        <w:t xml:space="preserve"> chance (15</w:t>
      </w:r>
      <w:r w:rsidR="00D964AE" w:rsidRPr="00D964AE">
        <w:rPr>
          <w:lang w:val="en"/>
        </w:rPr>
        <w:t xml:space="preserve"> per cent</w:t>
      </w:r>
      <w:r w:rsidR="00F91A34" w:rsidRPr="00D964AE">
        <w:rPr>
          <w:lang w:val="en"/>
        </w:rPr>
        <w:t xml:space="preserve"> for males and 20</w:t>
      </w:r>
      <w:r w:rsidR="00D964AE" w:rsidRPr="00D964AE">
        <w:rPr>
          <w:lang w:val="en"/>
        </w:rPr>
        <w:t xml:space="preserve"> per cent</w:t>
      </w:r>
      <w:r w:rsidR="00F91A34" w:rsidRPr="00D964AE">
        <w:rPr>
          <w:lang w:val="en"/>
        </w:rPr>
        <w:t xml:space="preserve"> for females) of surviving for </w:t>
      </w:r>
      <w:r w:rsidR="009D0E1A">
        <w:rPr>
          <w:lang w:val="en"/>
        </w:rPr>
        <w:t>five</w:t>
      </w:r>
      <w:r w:rsidR="00F91A34" w:rsidRPr="00D964AE">
        <w:rPr>
          <w:lang w:val="en"/>
        </w:rPr>
        <w:t xml:space="preserve"> years compared </w:t>
      </w:r>
      <w:r w:rsidR="009D0E1A">
        <w:rPr>
          <w:lang w:val="en"/>
        </w:rPr>
        <w:t>with</w:t>
      </w:r>
      <w:r w:rsidR="00F91A34" w:rsidRPr="00D964AE">
        <w:rPr>
          <w:lang w:val="en"/>
        </w:rPr>
        <w:t xml:space="preserve"> their counterparts in the general Australian population</w:t>
      </w:r>
      <w:r w:rsidR="00F2223E">
        <w:rPr>
          <w:lang w:val="en"/>
        </w:rPr>
        <w:t>.</w:t>
      </w:r>
      <w:r w:rsidR="002878D0">
        <w:rPr>
          <w:rStyle w:val="FootnoteReference"/>
          <w:rFonts w:cs="Arial"/>
          <w:color w:val="000000"/>
          <w:lang w:val="en"/>
        </w:rPr>
        <w:footnoteReference w:id="166"/>
      </w:r>
      <w:r w:rsidR="00B41C9E">
        <w:rPr>
          <w:lang w:val="en"/>
        </w:rPr>
        <w:t xml:space="preserve"> This pattern was similar</w:t>
      </w:r>
      <w:r w:rsidR="003015DF">
        <w:rPr>
          <w:lang w:val="en"/>
        </w:rPr>
        <w:t xml:space="preserve"> </w:t>
      </w:r>
      <w:r w:rsidR="00B41C9E">
        <w:rPr>
          <w:lang w:val="en"/>
        </w:rPr>
        <w:t>i</w:t>
      </w:r>
      <w:r w:rsidR="003015DF">
        <w:rPr>
          <w:lang w:val="en"/>
        </w:rPr>
        <w:t>n Victoria</w:t>
      </w:r>
      <w:r w:rsidR="00B41C9E">
        <w:rPr>
          <w:lang w:val="en"/>
        </w:rPr>
        <w:t xml:space="preserve"> where</w:t>
      </w:r>
      <w:r w:rsidR="003015DF">
        <w:rPr>
          <w:lang w:val="en"/>
        </w:rPr>
        <w:t xml:space="preserve"> </w:t>
      </w:r>
      <w:r w:rsidR="0018304E">
        <w:rPr>
          <w:lang w:val="en"/>
        </w:rPr>
        <w:t xml:space="preserve">people </w:t>
      </w:r>
      <w:r w:rsidR="00E8085C">
        <w:rPr>
          <w:lang w:val="en"/>
        </w:rPr>
        <w:t>diagnosed with lung cancer during the same period had a 17.</w:t>
      </w:r>
      <w:r w:rsidR="00B01611">
        <w:rPr>
          <w:lang w:val="en"/>
        </w:rPr>
        <w:t>6</w:t>
      </w:r>
      <w:r w:rsidR="00E8085C">
        <w:rPr>
          <w:lang w:val="en"/>
        </w:rPr>
        <w:t xml:space="preserve"> per cent chance (16 per cent for males and 19.8 per cent for females)</w:t>
      </w:r>
      <w:r w:rsidR="0075704A">
        <w:rPr>
          <w:lang w:val="en"/>
        </w:rPr>
        <w:t xml:space="preserve"> of surviving for </w:t>
      </w:r>
      <w:r w:rsidR="009D0E1A">
        <w:rPr>
          <w:lang w:val="en"/>
        </w:rPr>
        <w:t>five</w:t>
      </w:r>
      <w:r w:rsidR="0075704A">
        <w:rPr>
          <w:lang w:val="en"/>
        </w:rPr>
        <w:t xml:space="preserve"> years compared </w:t>
      </w:r>
      <w:r w:rsidR="001B50BF">
        <w:rPr>
          <w:lang w:val="en"/>
        </w:rPr>
        <w:t xml:space="preserve">with </w:t>
      </w:r>
      <w:r w:rsidR="0075704A">
        <w:rPr>
          <w:lang w:val="en"/>
        </w:rPr>
        <w:t>their counterparts in the general Victorian population.</w:t>
      </w:r>
    </w:p>
    <w:p w14:paraId="39CFDC39" w14:textId="7B981963" w:rsidR="00B167F1" w:rsidRDefault="000308D7" w:rsidP="00916529">
      <w:pPr>
        <w:pStyle w:val="DHHSbody"/>
      </w:pPr>
      <w:r w:rsidRPr="000308D7">
        <w:t>Five-year survival was significantly higher for those aged 25</w:t>
      </w:r>
      <w:r w:rsidR="001B50BF">
        <w:t>–</w:t>
      </w:r>
      <w:r w:rsidRPr="000308D7">
        <w:t>34 (67 per cent) compared with all older age groups. Survival fell sharply with age, dropping from 19.8 per cent for those in the 65</w:t>
      </w:r>
      <w:r w:rsidR="001B50BF">
        <w:t>–</w:t>
      </w:r>
      <w:r w:rsidRPr="000308D7">
        <w:t>74 age group to 4.8</w:t>
      </w:r>
      <w:r w:rsidR="000043F1">
        <w:t xml:space="preserve"> per cent</w:t>
      </w:r>
      <w:r w:rsidR="0088716F">
        <w:t xml:space="preserve"> for those aged 85 </w:t>
      </w:r>
      <w:r w:rsidR="001B50BF">
        <w:t>or older</w:t>
      </w:r>
      <w:r w:rsidR="0088716F">
        <w:t xml:space="preserve"> (Figure 13.10.1)</w:t>
      </w:r>
      <w:r w:rsidR="00F32968">
        <w:t>.</w:t>
      </w:r>
    </w:p>
    <w:p w14:paraId="4FD73728" w14:textId="31645538" w:rsidR="0088716F" w:rsidRDefault="00B167F1" w:rsidP="00916529">
      <w:pPr>
        <w:pStyle w:val="DHHSbody"/>
      </w:pPr>
      <w:r w:rsidRPr="000308D7">
        <w:t xml:space="preserve">Survival varied by remoteness and </w:t>
      </w:r>
      <w:r w:rsidR="00DE7FFE" w:rsidRPr="00D0341D">
        <w:rPr>
          <w:rStyle w:val="DHHSbodyChar"/>
        </w:rPr>
        <w:t>SES</w:t>
      </w:r>
      <w:r w:rsidRPr="000308D7">
        <w:t xml:space="preserve">. Five-year survival was higher in </w:t>
      </w:r>
      <w:r w:rsidR="00BE62B2">
        <w:t>m</w:t>
      </w:r>
      <w:r w:rsidRPr="000308D7">
        <w:t>ajor cities</w:t>
      </w:r>
      <w:r w:rsidRPr="000308D7">
        <w:rPr>
          <w:i/>
        </w:rPr>
        <w:t xml:space="preserve"> </w:t>
      </w:r>
      <w:r w:rsidRPr="000308D7">
        <w:t>(1</w:t>
      </w:r>
      <w:r w:rsidR="009147C5" w:rsidRPr="000308D7">
        <w:t>8.5 per cent</w:t>
      </w:r>
      <w:r w:rsidRPr="000308D7">
        <w:t xml:space="preserve">) than in </w:t>
      </w:r>
      <w:r w:rsidR="0018304E">
        <w:t>i</w:t>
      </w:r>
      <w:r w:rsidR="009147C5" w:rsidRPr="000308D7">
        <w:t>nner</w:t>
      </w:r>
      <w:r w:rsidRPr="000308D7">
        <w:t xml:space="preserve"> regional (1</w:t>
      </w:r>
      <w:r w:rsidR="009147C5" w:rsidRPr="000308D7">
        <w:t>5.8 per cent</w:t>
      </w:r>
      <w:r w:rsidRPr="000308D7">
        <w:t xml:space="preserve">) and </w:t>
      </w:r>
      <w:r w:rsidR="0018304E">
        <w:t>o</w:t>
      </w:r>
      <w:r w:rsidRPr="000308D7">
        <w:t>uter regional</w:t>
      </w:r>
      <w:r w:rsidR="009147C5" w:rsidRPr="000308D7">
        <w:t>/remote</w:t>
      </w:r>
      <w:r w:rsidRPr="000308D7">
        <w:rPr>
          <w:i/>
        </w:rPr>
        <w:t xml:space="preserve"> </w:t>
      </w:r>
      <w:r w:rsidRPr="000308D7">
        <w:t>areas (1</w:t>
      </w:r>
      <w:r w:rsidR="009147C5" w:rsidRPr="000308D7">
        <w:t>3.6 per cent</w:t>
      </w:r>
      <w:r w:rsidRPr="000308D7">
        <w:t xml:space="preserve">). </w:t>
      </w:r>
      <w:r w:rsidR="000308D7">
        <w:t>However</w:t>
      </w:r>
      <w:r w:rsidRPr="000308D7">
        <w:t xml:space="preserve">, survival was greatest in the </w:t>
      </w:r>
      <w:r w:rsidR="0040020C">
        <w:t>higher</w:t>
      </w:r>
      <w:r w:rsidRPr="000308D7">
        <w:t xml:space="preserve"> socioeconomic quintile</w:t>
      </w:r>
      <w:r w:rsidR="009147C5" w:rsidRPr="000308D7">
        <w:t xml:space="preserve"> (</w:t>
      </w:r>
      <w:r w:rsidR="00A25C05">
        <w:t>Q</w:t>
      </w:r>
      <w:r w:rsidR="0018304E">
        <w:t xml:space="preserve"> </w:t>
      </w:r>
      <w:r w:rsidR="009147C5" w:rsidRPr="000308D7">
        <w:t>4)</w:t>
      </w:r>
      <w:r w:rsidRPr="000308D7">
        <w:t xml:space="preserve"> (</w:t>
      </w:r>
      <w:r w:rsidR="000308D7">
        <w:t>20.7 per cent</w:t>
      </w:r>
      <w:r w:rsidR="0088716F">
        <w:t>) (Figure 13.10.1).</w:t>
      </w:r>
    </w:p>
    <w:p w14:paraId="6558D473" w14:textId="77777777" w:rsidR="0092202A" w:rsidRDefault="0088716F" w:rsidP="00BF29A6">
      <w:pPr>
        <w:spacing w:after="120" w:line="270" w:lineRule="atLeast"/>
        <w:ind w:left="-6" w:right="6"/>
        <w:rPr>
          <w:rFonts w:ascii="Arial" w:hAnsi="Arial" w:cs="Arial"/>
        </w:rPr>
      </w:pPr>
      <w:r>
        <w:rPr>
          <w:rFonts w:ascii="Arial" w:hAnsi="Arial" w:cs="Arial"/>
        </w:rPr>
        <w:t>T</w:t>
      </w:r>
      <w:r w:rsidRPr="008721E1">
        <w:rPr>
          <w:rFonts w:ascii="Arial" w:hAnsi="Arial" w:cs="Arial"/>
        </w:rPr>
        <w:t xml:space="preserve">here was a gradient of decreasing survival with ICSs that did not contain a large metropolitan area such as Melbourne: </w:t>
      </w:r>
      <w:r w:rsidR="009D0E1A">
        <w:rPr>
          <w:rFonts w:ascii="Arial" w:hAnsi="Arial" w:cs="Arial"/>
        </w:rPr>
        <w:t>five</w:t>
      </w:r>
      <w:r w:rsidRPr="008721E1">
        <w:rPr>
          <w:rFonts w:ascii="Arial" w:hAnsi="Arial" w:cs="Arial"/>
        </w:rPr>
        <w:t xml:space="preserve">-year survival was </w:t>
      </w:r>
      <w:r w:rsidR="009D0E1A">
        <w:rPr>
          <w:rFonts w:ascii="Arial" w:hAnsi="Arial" w:cs="Arial"/>
        </w:rPr>
        <w:t>five</w:t>
      </w:r>
      <w:r w:rsidRPr="008721E1">
        <w:rPr>
          <w:rFonts w:ascii="Arial" w:hAnsi="Arial" w:cs="Arial"/>
        </w:rPr>
        <w:t xml:space="preserve"> percentage points higher for people in SMICS </w:t>
      </w:r>
      <w:r>
        <w:rPr>
          <w:rFonts w:ascii="Arial" w:hAnsi="Arial" w:cs="Arial"/>
        </w:rPr>
        <w:t>(19.1</w:t>
      </w:r>
      <w:r w:rsidRPr="008721E1">
        <w:rPr>
          <w:rFonts w:ascii="Arial" w:hAnsi="Arial" w:cs="Arial"/>
        </w:rPr>
        <w:t xml:space="preserve"> per cent</w:t>
      </w:r>
      <w:r>
        <w:rPr>
          <w:rFonts w:ascii="Arial" w:hAnsi="Arial" w:cs="Arial"/>
        </w:rPr>
        <w:t>) and WCMICS (19</w:t>
      </w:r>
      <w:r w:rsidRPr="008721E1">
        <w:rPr>
          <w:rFonts w:ascii="Arial" w:hAnsi="Arial" w:cs="Arial"/>
        </w:rPr>
        <w:t xml:space="preserve"> per cent) compared </w:t>
      </w:r>
      <w:r w:rsidR="001B50BF">
        <w:rPr>
          <w:rFonts w:ascii="Arial" w:hAnsi="Arial" w:cs="Arial"/>
        </w:rPr>
        <w:t>with</w:t>
      </w:r>
      <w:r w:rsidR="001B50BF" w:rsidRPr="008721E1">
        <w:rPr>
          <w:rFonts w:ascii="Arial" w:hAnsi="Arial" w:cs="Arial"/>
        </w:rPr>
        <w:t xml:space="preserve"> </w:t>
      </w:r>
      <w:r w:rsidRPr="008721E1">
        <w:rPr>
          <w:rFonts w:ascii="Arial" w:hAnsi="Arial" w:cs="Arial"/>
        </w:rPr>
        <w:t xml:space="preserve">those located in </w:t>
      </w:r>
      <w:r w:rsidR="00C209AB">
        <w:rPr>
          <w:rFonts w:ascii="Arial" w:hAnsi="Arial" w:cs="Arial"/>
        </w:rPr>
        <w:t xml:space="preserve">LMICS </w:t>
      </w:r>
      <w:r>
        <w:rPr>
          <w:rFonts w:ascii="Arial" w:hAnsi="Arial" w:cs="Arial"/>
        </w:rPr>
        <w:t>(14.3</w:t>
      </w:r>
      <w:r w:rsidRPr="008721E1">
        <w:rPr>
          <w:rFonts w:ascii="Arial" w:hAnsi="Arial" w:cs="Arial"/>
        </w:rPr>
        <w:t xml:space="preserve"> per cent)</w:t>
      </w:r>
      <w:r>
        <w:rPr>
          <w:rFonts w:ascii="Arial" w:hAnsi="Arial" w:cs="Arial"/>
        </w:rPr>
        <w:t xml:space="preserve"> </w:t>
      </w:r>
      <w:r w:rsidR="00C209AB">
        <w:rPr>
          <w:rFonts w:ascii="Arial" w:hAnsi="Arial" w:cs="Arial"/>
        </w:rPr>
        <w:t xml:space="preserve">and GICS </w:t>
      </w:r>
      <w:r w:rsidR="00C2489F">
        <w:rPr>
          <w:rFonts w:ascii="Arial" w:hAnsi="Arial" w:cs="Arial"/>
        </w:rPr>
        <w:t xml:space="preserve">(14.7 per cent) </w:t>
      </w:r>
      <w:r>
        <w:rPr>
          <w:rFonts w:ascii="Arial" w:hAnsi="Arial" w:cs="Arial"/>
        </w:rPr>
        <w:t>(Figure 13.10.1</w:t>
      </w:r>
      <w:r w:rsidRPr="008721E1">
        <w:rPr>
          <w:rFonts w:ascii="Arial" w:hAnsi="Arial" w:cs="Arial"/>
        </w:rPr>
        <w:t>).</w:t>
      </w:r>
      <w:bookmarkStart w:id="877" w:name="_Toc19008176"/>
    </w:p>
    <w:p w14:paraId="43E4E0DB" w14:textId="77777777" w:rsidR="0092202A" w:rsidRDefault="0092202A">
      <w:pPr>
        <w:rPr>
          <w:rFonts w:ascii="Arial" w:hAnsi="Arial" w:cs="Arial"/>
        </w:rPr>
      </w:pPr>
      <w:r>
        <w:rPr>
          <w:rFonts w:ascii="Arial" w:hAnsi="Arial" w:cs="Arial"/>
        </w:rPr>
        <w:br w:type="page"/>
      </w:r>
    </w:p>
    <w:p w14:paraId="24653CED" w14:textId="1BDB374A" w:rsidR="005C15AA" w:rsidRPr="0092202A" w:rsidRDefault="005C15AA" w:rsidP="0092202A">
      <w:pPr>
        <w:pStyle w:val="Heading3"/>
        <w:rPr>
          <w:rStyle w:val="Heading3Char"/>
          <w:b/>
          <w:bCs/>
        </w:rPr>
      </w:pPr>
      <w:bookmarkStart w:id="878" w:name="_Measure_13.11_–"/>
      <w:bookmarkEnd w:id="878"/>
      <w:r w:rsidRPr="0092202A">
        <w:rPr>
          <w:rStyle w:val="Heading3Char"/>
          <w:b/>
          <w:bCs/>
        </w:rPr>
        <w:lastRenderedPageBreak/>
        <w:t xml:space="preserve">Measure 13.11 – </w:t>
      </w:r>
      <w:r w:rsidR="00A4158A" w:rsidRPr="0092202A">
        <w:rPr>
          <w:rStyle w:val="Heading3Char"/>
          <w:b/>
          <w:bCs/>
        </w:rPr>
        <w:t xml:space="preserve">Five-year </w:t>
      </w:r>
      <w:r w:rsidR="00707755" w:rsidRPr="0092202A">
        <w:rPr>
          <w:rStyle w:val="Heading3Char"/>
          <w:b/>
          <w:bCs/>
        </w:rPr>
        <w:t xml:space="preserve">relative </w:t>
      </w:r>
      <w:r w:rsidR="00A4158A" w:rsidRPr="0092202A">
        <w:rPr>
          <w:rStyle w:val="Heading3Char"/>
          <w:b/>
          <w:bCs/>
        </w:rPr>
        <w:t>survival from pancrea</w:t>
      </w:r>
      <w:r w:rsidR="002627CE" w:rsidRPr="0092202A">
        <w:rPr>
          <w:rStyle w:val="Heading3Char"/>
          <w:b/>
          <w:bCs/>
        </w:rPr>
        <w:t>tic</w:t>
      </w:r>
      <w:r w:rsidR="00A4158A" w:rsidRPr="0092202A">
        <w:rPr>
          <w:rStyle w:val="Heading3Char"/>
          <w:b/>
          <w:bCs/>
        </w:rPr>
        <w:t xml:space="preserve"> cancer</w:t>
      </w:r>
      <w:r w:rsidR="00F3197E" w:rsidRPr="0092202A">
        <w:rPr>
          <w:rStyle w:val="Heading3Char"/>
          <w:b/>
          <w:bCs/>
        </w:rPr>
        <w:t xml:space="preserve"> (C25)</w:t>
      </w:r>
      <w:bookmarkEnd w:id="877"/>
    </w:p>
    <w:p w14:paraId="5ADF213F" w14:textId="3103115D" w:rsidR="00300EF1" w:rsidRDefault="00F600DF" w:rsidP="008D320F">
      <w:pPr>
        <w:pStyle w:val="DHHSfigurecaption"/>
      </w:pPr>
      <w:bookmarkStart w:id="879" w:name="_Toc19008177"/>
      <w:bookmarkStart w:id="880" w:name="_Toc19008374"/>
      <w:bookmarkStart w:id="881" w:name="_Toc19008521"/>
      <w:bookmarkStart w:id="882" w:name="_Toc19008668"/>
      <w:bookmarkStart w:id="883" w:name="_Toc27414376"/>
      <w:r>
        <w:t>Figure 13.11</w:t>
      </w:r>
      <w:r w:rsidR="009D0E1A">
        <w:t>:</w:t>
      </w:r>
      <w:r>
        <w:t xml:space="preserve"> Five</w:t>
      </w:r>
      <w:r w:rsidR="00AA5069">
        <w:t>-year relative survival from</w:t>
      </w:r>
      <w:r w:rsidR="00300EF1" w:rsidRPr="006C654C">
        <w:t xml:space="preserve"> </w:t>
      </w:r>
      <w:r w:rsidR="00300EF1">
        <w:t>pancrea</w:t>
      </w:r>
      <w:r w:rsidR="002627CE">
        <w:t>tic</w:t>
      </w:r>
      <w:r w:rsidR="00300EF1">
        <w:t xml:space="preserve"> cancer</w:t>
      </w:r>
      <w:r w:rsidR="00300EF1" w:rsidRPr="006C654C">
        <w:t xml:space="preserve"> (nationally)</w:t>
      </w:r>
      <w:r w:rsidR="0018304E">
        <w:t>,</w:t>
      </w:r>
      <w:r w:rsidR="00300EF1" w:rsidRPr="006C654C">
        <w:t xml:space="preserve"> by age and sex, 2010</w:t>
      </w:r>
      <w:r w:rsidR="009D0E1A">
        <w:t>–</w:t>
      </w:r>
      <w:r w:rsidR="00300EF1" w:rsidRPr="006C654C">
        <w:t>2014</w:t>
      </w:r>
      <w:r w:rsidR="00160C1F">
        <w:rPr>
          <w:rStyle w:val="FootnoteReference"/>
          <w:b w:val="0"/>
          <w:lang w:eastAsia="en-AU"/>
        </w:rPr>
        <w:footnoteReference w:id="167"/>
      </w:r>
      <w:bookmarkEnd w:id="879"/>
      <w:bookmarkEnd w:id="880"/>
      <w:bookmarkEnd w:id="881"/>
      <w:bookmarkEnd w:id="882"/>
      <w:bookmarkEnd w:id="883"/>
    </w:p>
    <w:p w14:paraId="5DBDEA69" w14:textId="4886064D" w:rsidR="0098490F" w:rsidRPr="0098490F" w:rsidRDefault="0098490F" w:rsidP="0098490F">
      <w:pPr>
        <w:pStyle w:val="DHHSbody"/>
      </w:pPr>
      <w:r>
        <w:rPr>
          <w:noProof/>
        </w:rPr>
        <w:drawing>
          <wp:inline distT="0" distB="0" distL="0" distR="0" wp14:anchorId="58AC8BBE" wp14:editId="705B55A8">
            <wp:extent cx="6581775" cy="3675937"/>
            <wp:effectExtent l="0" t="0" r="0" b="1270"/>
            <wp:docPr id="275" name="Picture 275" descr="This figure forms part of the section that is specific to Measure 13.11 - Five-year relative survival from pancreatic cancer.  It shows the five-year relative survival from pancreatic cancer (nationally)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616704" cy="3695445"/>
                    </a:xfrm>
                    <a:prstGeom prst="rect">
                      <a:avLst/>
                    </a:prstGeom>
                  </pic:spPr>
                </pic:pic>
              </a:graphicData>
            </a:graphic>
          </wp:inline>
        </w:drawing>
      </w:r>
    </w:p>
    <w:p w14:paraId="66BF440C" w14:textId="6FE05BFA"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3B5991F5" w14:textId="10749F00" w:rsidR="00300EF1" w:rsidRPr="003D6E20" w:rsidRDefault="00300EF1" w:rsidP="005A5151">
      <w:pPr>
        <w:pStyle w:val="DHHStablefigurenote"/>
        <w:rPr>
          <w:lang w:val="en"/>
        </w:rPr>
      </w:pPr>
      <w:r w:rsidRPr="000A37BC">
        <w:rPr>
          <w:lang w:val="en"/>
        </w:rPr>
        <w:t>Notes</w:t>
      </w:r>
      <w:r w:rsidR="00BE62B2">
        <w:rPr>
          <w:lang w:val="en"/>
        </w:rPr>
        <w:t>:</w:t>
      </w:r>
      <w:r w:rsidRPr="000A37BC">
        <w:rPr>
          <w:lang w:val="en"/>
        </w:rPr>
        <w:t> </w:t>
      </w:r>
    </w:p>
    <w:p w14:paraId="76412B1C" w14:textId="5A8FAA42" w:rsidR="00300EF1" w:rsidRDefault="00300EF1" w:rsidP="005A5151">
      <w:pPr>
        <w:pStyle w:val="DHHStablefigurenote"/>
        <w:rPr>
          <w:lang w:val="en"/>
        </w:rPr>
      </w:pPr>
      <w:r w:rsidRPr="003D6E20">
        <w:rPr>
          <w:lang w:val="en"/>
        </w:rPr>
        <w:t>Relative survival was calculated with the period method, using the period 2010–2014.</w:t>
      </w:r>
      <w:r w:rsidR="00952FC7">
        <w:rPr>
          <w:lang w:val="en"/>
        </w:rPr>
        <w:t xml:space="preserve"> </w:t>
      </w:r>
      <w:r w:rsidRPr="003D6E20">
        <w:rPr>
          <w:lang w:val="en"/>
        </w:rPr>
        <w:t xml:space="preserve">Note that this period does not contain incidence data for 2014 for </w:t>
      </w:r>
      <w:r w:rsidR="0018304E">
        <w:rPr>
          <w:lang w:val="en"/>
        </w:rPr>
        <w:t>New South Wales</w:t>
      </w:r>
      <w:r w:rsidR="0018304E" w:rsidRPr="003D6E20">
        <w:rPr>
          <w:lang w:val="en"/>
        </w:rPr>
        <w:t xml:space="preserve"> </w:t>
      </w:r>
      <w:r w:rsidRPr="003D6E20">
        <w:rPr>
          <w:lang w:val="en"/>
        </w:rPr>
        <w:t xml:space="preserve">because </w:t>
      </w:r>
      <w:r w:rsidR="0018304E">
        <w:rPr>
          <w:lang w:val="en"/>
        </w:rPr>
        <w:t xml:space="preserve">that </w:t>
      </w:r>
      <w:r w:rsidRPr="003D6E20">
        <w:rPr>
          <w:lang w:val="en"/>
        </w:rPr>
        <w:t xml:space="preserve">data </w:t>
      </w:r>
      <w:r w:rsidR="0018304E">
        <w:rPr>
          <w:lang w:val="en"/>
        </w:rPr>
        <w:t xml:space="preserve">was </w:t>
      </w:r>
      <w:r w:rsidRPr="003D6E20">
        <w:rPr>
          <w:lang w:val="en"/>
        </w:rPr>
        <w:t>unavailable.</w:t>
      </w:r>
    </w:p>
    <w:p w14:paraId="0E370DC7" w14:textId="40C11D13" w:rsidR="001A2A05" w:rsidRDefault="003D6E20" w:rsidP="005A5151">
      <w:pPr>
        <w:pStyle w:val="DHHStablefigurenote"/>
        <w:rPr>
          <w:rFonts w:cs="Arial"/>
          <w:lang w:val="en"/>
        </w:rPr>
      </w:pPr>
      <w:r w:rsidRPr="003D6E20">
        <w:rPr>
          <w:rFonts w:cs="Arial"/>
          <w:lang w:val="en"/>
        </w:rPr>
        <w:t>Data for some categories that do not appear in the charts have been deliberately suppressed due to small numbers, confidentiality, and/or reliability concerns.</w:t>
      </w:r>
    </w:p>
    <w:p w14:paraId="3B6736E1" w14:textId="15CA4BEF" w:rsidR="009B4DD7" w:rsidRDefault="009B4DD7" w:rsidP="008D320F">
      <w:pPr>
        <w:pStyle w:val="DHHSfigurecaption"/>
      </w:pPr>
      <w:bookmarkStart w:id="884" w:name="_Toc19008178"/>
      <w:bookmarkStart w:id="885" w:name="_Toc19008375"/>
      <w:bookmarkStart w:id="886" w:name="_Toc19008522"/>
      <w:bookmarkStart w:id="887" w:name="_Toc19008669"/>
      <w:bookmarkStart w:id="888" w:name="_Toc27414377"/>
      <w:r w:rsidRPr="008A5FEF">
        <w:t>Figure 13.</w:t>
      </w:r>
      <w:r>
        <w:t>11</w:t>
      </w:r>
      <w:r w:rsidR="001B2F98">
        <w:t>.1</w:t>
      </w:r>
      <w:r w:rsidR="009D0E1A">
        <w:t>:</w:t>
      </w:r>
      <w:r>
        <w:t xml:space="preserve"> Five-year relative survival from</w:t>
      </w:r>
      <w:r w:rsidR="00105DE1">
        <w:t xml:space="preserve"> pancrea</w:t>
      </w:r>
      <w:r w:rsidR="003D4032">
        <w:t>tic</w:t>
      </w:r>
      <w:r>
        <w:t xml:space="preserve"> cancer</w:t>
      </w:r>
      <w:r w:rsidR="0018304E">
        <w:t>,</w:t>
      </w:r>
      <w:r>
        <w:t xml:space="preserve"> by age (A), remoteness (B)</w:t>
      </w:r>
      <w:r w:rsidR="009B0F65">
        <w:t xml:space="preserve">, </w:t>
      </w:r>
      <w:r w:rsidR="00DE7FFE">
        <w:t>SES</w:t>
      </w:r>
      <w:r w:rsidR="009B0F65">
        <w:t xml:space="preserve"> (C)</w:t>
      </w:r>
      <w:r>
        <w:t xml:space="preserve"> and </w:t>
      </w:r>
      <w:r w:rsidR="008439C8">
        <w:t>ICS</w:t>
      </w:r>
      <w:r>
        <w:t xml:space="preserve"> (</w:t>
      </w:r>
      <w:r w:rsidR="009B0F65">
        <w:t>D</w:t>
      </w:r>
      <w:r>
        <w:t>), Victoria, 2010</w:t>
      </w:r>
      <w:r w:rsidR="009D0E1A">
        <w:t>–</w:t>
      </w:r>
      <w:r>
        <w:t>2014</w:t>
      </w:r>
      <w:bookmarkEnd w:id="884"/>
      <w:bookmarkEnd w:id="885"/>
      <w:bookmarkEnd w:id="886"/>
      <w:bookmarkEnd w:id="887"/>
      <w:bookmarkEnd w:id="888"/>
    </w:p>
    <w:p w14:paraId="356DBE19" w14:textId="77777777" w:rsidR="00BB0A78" w:rsidRDefault="00BB0A78" w:rsidP="00160602">
      <w:pPr>
        <w:pStyle w:val="DHHSbody"/>
        <w:numPr>
          <w:ilvl w:val="0"/>
          <w:numId w:val="8"/>
        </w:numPr>
        <w:ind w:left="284" w:hanging="284"/>
        <w:rPr>
          <w:b/>
          <w:lang w:eastAsia="en-AU"/>
        </w:rPr>
        <w:sectPr w:rsidR="00BB0A78" w:rsidSect="006116E6">
          <w:type w:val="continuous"/>
          <w:pgSz w:w="11906" w:h="16838"/>
          <w:pgMar w:top="1701" w:right="849" w:bottom="1134" w:left="426" w:header="454" w:footer="510" w:gutter="0"/>
          <w:cols w:space="720"/>
          <w:docGrid w:linePitch="360"/>
        </w:sectPr>
      </w:pPr>
    </w:p>
    <w:p w14:paraId="759DE8CD" w14:textId="242B8A84" w:rsidR="00BB0A78" w:rsidRPr="00BB0A78" w:rsidRDefault="00BD3073" w:rsidP="00160602">
      <w:pPr>
        <w:pStyle w:val="DHHSbody"/>
        <w:numPr>
          <w:ilvl w:val="0"/>
          <w:numId w:val="8"/>
        </w:numPr>
        <w:ind w:left="357" w:hanging="357"/>
        <w:rPr>
          <w:bCs/>
          <w:lang w:eastAsia="en-AU"/>
        </w:rPr>
      </w:pPr>
      <w:r w:rsidRPr="00BB0A78">
        <w:rPr>
          <w:b/>
          <w:lang w:eastAsia="en-AU"/>
        </w:rPr>
        <w:t>Age</w:t>
      </w:r>
    </w:p>
    <w:p w14:paraId="5DC1BB86" w14:textId="47CDF63B" w:rsidR="00BB0A78" w:rsidRPr="00BB0A78" w:rsidRDefault="00071C19" w:rsidP="00BB0A78">
      <w:pPr>
        <w:pStyle w:val="DHHSbody"/>
        <w:rPr>
          <w:bCs/>
          <w:lang w:eastAsia="en-AU"/>
        </w:rPr>
      </w:pPr>
      <w:r>
        <w:rPr>
          <w:bCs/>
          <w:noProof/>
          <w:lang w:eastAsia="en-AU"/>
        </w:rPr>
        <w:drawing>
          <wp:inline distT="0" distB="0" distL="0" distR="0" wp14:anchorId="761D7B22" wp14:editId="0D007D3D">
            <wp:extent cx="3133725" cy="2225040"/>
            <wp:effectExtent l="0" t="0" r="9525" b="3810"/>
            <wp:docPr id="625" name="Picture 625" descr="This figure shows a data summary of 'Measure 13.11 – Five-year survival from pancreatic cancer'. Specially this figure focuses on the five-year relative survival from pancreatic cancer by age for the study period 2010-2014. The data set is available under 'Measure 13.11 – Fiv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133725" cy="2225040"/>
                    </a:xfrm>
                    <a:prstGeom prst="rect">
                      <a:avLst/>
                    </a:prstGeom>
                    <a:noFill/>
                  </pic:spPr>
                </pic:pic>
              </a:graphicData>
            </a:graphic>
          </wp:inline>
        </w:drawing>
      </w:r>
    </w:p>
    <w:p w14:paraId="4B393F03" w14:textId="4058DF04" w:rsidR="00BB0A78" w:rsidRDefault="00BB0A78" w:rsidP="00160602">
      <w:pPr>
        <w:pStyle w:val="DHHSbody"/>
        <w:numPr>
          <w:ilvl w:val="0"/>
          <w:numId w:val="8"/>
        </w:numPr>
        <w:ind w:left="357" w:hanging="357"/>
        <w:rPr>
          <w:b/>
          <w:lang w:eastAsia="en-AU"/>
        </w:rPr>
      </w:pPr>
      <w:r>
        <w:rPr>
          <w:b/>
          <w:lang w:eastAsia="en-AU"/>
        </w:rPr>
        <w:t>Remoteness</w:t>
      </w:r>
    </w:p>
    <w:p w14:paraId="7DF4AF12" w14:textId="322FFD96" w:rsidR="00BB0A78" w:rsidRDefault="00071C19" w:rsidP="00BD3073">
      <w:pPr>
        <w:pStyle w:val="DHHSbody"/>
        <w:rPr>
          <w:b/>
          <w:lang w:eastAsia="en-AU"/>
        </w:rPr>
      </w:pPr>
      <w:r>
        <w:rPr>
          <w:b/>
          <w:noProof/>
          <w:lang w:eastAsia="en-AU"/>
        </w:rPr>
        <w:drawing>
          <wp:inline distT="0" distB="0" distL="0" distR="0" wp14:anchorId="46B3C8F1" wp14:editId="67465536">
            <wp:extent cx="3152140" cy="2225040"/>
            <wp:effectExtent l="0" t="0" r="0" b="3810"/>
            <wp:docPr id="626" name="Picture 626" descr="This figure shows a data summary of 'Measure 13.11 – Five-year survival from pancreatic cancer'. Specially this figure focuses on the five-year relative survival from pancreatic cancer by remoteness for the study period 2010-2014. The data set is available under 'Measure 13.11 – Fiv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152140" cy="2225040"/>
                    </a:xfrm>
                    <a:prstGeom prst="rect">
                      <a:avLst/>
                    </a:prstGeom>
                    <a:noFill/>
                  </pic:spPr>
                </pic:pic>
              </a:graphicData>
            </a:graphic>
          </wp:inline>
        </w:drawing>
      </w:r>
    </w:p>
    <w:p w14:paraId="211DB693" w14:textId="77777777" w:rsidR="00BB0A78" w:rsidRDefault="00BB0A78" w:rsidP="00BD3073">
      <w:pPr>
        <w:pStyle w:val="DHHSbody"/>
        <w:rPr>
          <w:b/>
          <w:lang w:eastAsia="en-AU"/>
        </w:rPr>
        <w:sectPr w:rsidR="00BB0A78" w:rsidSect="00BB0A78">
          <w:type w:val="continuous"/>
          <w:pgSz w:w="11906" w:h="16838"/>
          <w:pgMar w:top="1701" w:right="849" w:bottom="1134" w:left="426" w:header="454" w:footer="510" w:gutter="0"/>
          <w:cols w:num="2" w:space="720"/>
          <w:docGrid w:linePitch="360"/>
        </w:sectPr>
      </w:pPr>
    </w:p>
    <w:p w14:paraId="235B9592" w14:textId="77777777" w:rsidR="00BD3073" w:rsidRDefault="00BD3073">
      <w:pPr>
        <w:rPr>
          <w:rFonts w:ascii="Arial" w:eastAsia="Times" w:hAnsi="Arial"/>
          <w:b/>
          <w:highlight w:val="lightGray"/>
        </w:rPr>
      </w:pPr>
      <w:r>
        <w:rPr>
          <w:b/>
          <w:highlight w:val="lightGray"/>
        </w:rPr>
        <w:br w:type="page"/>
      </w:r>
    </w:p>
    <w:p w14:paraId="61C346AE" w14:textId="77777777" w:rsidR="005E33E5" w:rsidRDefault="005E33E5" w:rsidP="00160602">
      <w:pPr>
        <w:pStyle w:val="DHHSbody"/>
        <w:numPr>
          <w:ilvl w:val="0"/>
          <w:numId w:val="41"/>
        </w:numPr>
        <w:ind w:left="284" w:hanging="284"/>
        <w:rPr>
          <w:b/>
          <w:lang w:eastAsia="en-AU"/>
        </w:rPr>
        <w:sectPr w:rsidR="005E33E5" w:rsidSect="006116E6">
          <w:type w:val="continuous"/>
          <w:pgSz w:w="11906" w:h="16838"/>
          <w:pgMar w:top="1701" w:right="849" w:bottom="1134" w:left="426" w:header="454" w:footer="510" w:gutter="0"/>
          <w:cols w:space="720"/>
          <w:docGrid w:linePitch="360"/>
        </w:sectPr>
      </w:pPr>
    </w:p>
    <w:p w14:paraId="51FA74DE" w14:textId="23657EAA" w:rsidR="00BD3073" w:rsidRPr="009B4DD7" w:rsidRDefault="00C670DA" w:rsidP="00160602">
      <w:pPr>
        <w:pStyle w:val="DHHSbody"/>
        <w:numPr>
          <w:ilvl w:val="0"/>
          <w:numId w:val="8"/>
        </w:numPr>
        <w:ind w:left="357" w:hanging="357"/>
        <w:rPr>
          <w:b/>
          <w:lang w:eastAsia="en-AU"/>
        </w:rPr>
      </w:pPr>
      <w:r>
        <w:rPr>
          <w:b/>
          <w:lang w:eastAsia="en-AU"/>
        </w:rPr>
        <w:lastRenderedPageBreak/>
        <w:t>S</w:t>
      </w:r>
      <w:r w:rsidR="00BD3073">
        <w:rPr>
          <w:b/>
          <w:lang w:eastAsia="en-AU"/>
        </w:rPr>
        <w:t>ocioeconomic statu</w:t>
      </w:r>
      <w:r w:rsidR="005E33E5">
        <w:rPr>
          <w:b/>
          <w:lang w:eastAsia="en-AU"/>
        </w:rPr>
        <w:t>s</w:t>
      </w:r>
    </w:p>
    <w:p w14:paraId="45FA58F1" w14:textId="1ED965AB" w:rsidR="005E33E5" w:rsidRDefault="00071C19" w:rsidP="005E2A43">
      <w:pPr>
        <w:pStyle w:val="DHHSbody"/>
        <w:rPr>
          <w:b/>
          <w:lang w:eastAsia="en-AU"/>
        </w:rPr>
      </w:pPr>
      <w:r>
        <w:rPr>
          <w:b/>
          <w:noProof/>
          <w:lang w:eastAsia="en-AU"/>
        </w:rPr>
        <w:drawing>
          <wp:inline distT="0" distB="0" distL="0" distR="0" wp14:anchorId="378ECD4F" wp14:editId="7A35AEE5">
            <wp:extent cx="3127375" cy="2207260"/>
            <wp:effectExtent l="0" t="0" r="0" b="2540"/>
            <wp:docPr id="627" name="Picture 627" descr="This figure shows a data summary of 'Measure 13.11 – Five-year survival from pancreatic cancer'. Specially this figure focuses on the five-year relative survival from pancreatic cancer by socioeconomic status for the study period 2010-2014. The data set is available under 'Measure 13.11 – Fiv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27375" cy="2207260"/>
                    </a:xfrm>
                    <a:prstGeom prst="rect">
                      <a:avLst/>
                    </a:prstGeom>
                    <a:noFill/>
                  </pic:spPr>
                </pic:pic>
              </a:graphicData>
            </a:graphic>
          </wp:inline>
        </w:drawing>
      </w:r>
    </w:p>
    <w:p w14:paraId="0C92A9E8" w14:textId="64335D3A" w:rsidR="005E33E5" w:rsidRDefault="005E33E5" w:rsidP="00160602">
      <w:pPr>
        <w:pStyle w:val="DHHSbody"/>
        <w:keepNext/>
        <w:numPr>
          <w:ilvl w:val="0"/>
          <w:numId w:val="8"/>
        </w:numPr>
        <w:ind w:left="357" w:hanging="357"/>
        <w:rPr>
          <w:b/>
          <w:lang w:eastAsia="en-AU"/>
        </w:rPr>
      </w:pPr>
      <w:r w:rsidRPr="009B4DD7">
        <w:rPr>
          <w:b/>
          <w:lang w:eastAsia="en-AU"/>
        </w:rPr>
        <w:t>Integrated Cancer Service</w:t>
      </w:r>
    </w:p>
    <w:p w14:paraId="7CDDB90F" w14:textId="5E9AFB1B" w:rsidR="005E33E5" w:rsidRDefault="00071C19" w:rsidP="005E2A43">
      <w:pPr>
        <w:pStyle w:val="DHHSbody"/>
        <w:rPr>
          <w:b/>
          <w:lang w:eastAsia="en-AU"/>
        </w:rPr>
      </w:pPr>
      <w:r>
        <w:rPr>
          <w:b/>
          <w:noProof/>
          <w:lang w:eastAsia="en-AU"/>
        </w:rPr>
        <w:drawing>
          <wp:inline distT="0" distB="0" distL="0" distR="0" wp14:anchorId="0E86A15B" wp14:editId="52CDF1DB">
            <wp:extent cx="3145790" cy="2627630"/>
            <wp:effectExtent l="0" t="0" r="0" b="1270"/>
            <wp:docPr id="628" name="Picture 628" descr="This figure shows a data summary of 'Measure 13.11 – Five-year survival from pancreatic cancer'. Specially this figure focuses on the five-year relative survival from pancreatic cancer by Integrated Cancer Service for the study period 2010-2014. The data set is available under 'Measure 13.11 – Five-year survival from pancreatic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145790" cy="2627630"/>
                    </a:xfrm>
                    <a:prstGeom prst="rect">
                      <a:avLst/>
                    </a:prstGeom>
                    <a:noFill/>
                  </pic:spPr>
                </pic:pic>
              </a:graphicData>
            </a:graphic>
          </wp:inline>
        </w:drawing>
      </w:r>
    </w:p>
    <w:p w14:paraId="66669322" w14:textId="77777777" w:rsidR="005E33E5" w:rsidRDefault="005E33E5" w:rsidP="00BD3073">
      <w:pPr>
        <w:pStyle w:val="DHHSbody"/>
        <w:rPr>
          <w:i/>
          <w:sz w:val="18"/>
          <w:szCs w:val="18"/>
          <w:lang w:eastAsia="en-AU"/>
        </w:rPr>
        <w:sectPr w:rsidR="005E33E5" w:rsidSect="00A4580D">
          <w:type w:val="continuous"/>
          <w:pgSz w:w="11906" w:h="16838"/>
          <w:pgMar w:top="1701" w:right="851" w:bottom="1134" w:left="425" w:header="454" w:footer="510" w:gutter="0"/>
          <w:cols w:num="2" w:space="720"/>
          <w:docGrid w:linePitch="360"/>
        </w:sectPr>
      </w:pPr>
    </w:p>
    <w:p w14:paraId="61F51B61" w14:textId="1B7B5B34" w:rsidR="00BD3073" w:rsidRDefault="00BD3073" w:rsidP="005A5151">
      <w:pPr>
        <w:pStyle w:val="DHHStablefigurenote"/>
      </w:pPr>
      <w:r w:rsidRPr="00514E0F">
        <w:t xml:space="preserve">Notes: </w:t>
      </w:r>
    </w:p>
    <w:p w14:paraId="13284ABB" w14:textId="77777777" w:rsidR="00BD3073" w:rsidRPr="00B77D14" w:rsidRDefault="00BD3073" w:rsidP="005A5151">
      <w:pPr>
        <w:pStyle w:val="DHHStablefigurenote"/>
      </w:pPr>
      <w:r>
        <w:t>Analysis for the age groups 0–14 years, 15–24 years, 25–34 years and 35–44 years</w:t>
      </w:r>
      <w:r w:rsidRPr="00B77D14">
        <w:t xml:space="preserve"> w</w:t>
      </w:r>
      <w:r>
        <w:t>ere</w:t>
      </w:r>
      <w:r w:rsidRPr="00B77D14">
        <w:t xml:space="preserve"> excluded because of low numbers</w:t>
      </w:r>
      <w:r>
        <w:t>.</w:t>
      </w:r>
    </w:p>
    <w:p w14:paraId="0BC7B065" w14:textId="77777777" w:rsidR="00BD3073" w:rsidRDefault="00BD3073" w:rsidP="005A5151">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06C6B89C" w14:textId="77777777" w:rsidR="00BD3073" w:rsidRPr="000305B1" w:rsidRDefault="00BD3073" w:rsidP="005A5151">
      <w:pPr>
        <w:pStyle w:val="DHHStablefigurenote"/>
      </w:pPr>
      <w:r w:rsidRPr="00514E0F">
        <w:t>Remoteness is classified according to the Australian Standard Geo</w:t>
      </w:r>
      <w:r>
        <w:t>graphical Classification (ASGC) Remoteness Areas.</w:t>
      </w:r>
    </w:p>
    <w:p w14:paraId="60AA6EED" w14:textId="072D556C" w:rsidR="00BD3073" w:rsidRDefault="00BD3073" w:rsidP="005A5151">
      <w:pPr>
        <w:pStyle w:val="DHHStablefigurenote"/>
      </w:pPr>
      <w:r>
        <w:t>SES</w:t>
      </w:r>
      <w:r w:rsidRPr="00570B0B">
        <w:t xml:space="preserve"> is classified according to the ABS Socioeconomic Indexes for Areas (SEIFA) Index of Relative Socio-economic Disadvantage – 1= lowest and 5 = highest.</w:t>
      </w:r>
    </w:p>
    <w:p w14:paraId="7132BFBC" w14:textId="6F63A8A4" w:rsidR="006F4568" w:rsidRPr="006F4568" w:rsidRDefault="006F4568" w:rsidP="005A5151">
      <w:pPr>
        <w:pStyle w:val="DHHStablefigurenote"/>
      </w:pPr>
      <w:r w:rsidRPr="0073300D">
        <w:t>Appendix 2 provides the dataset</w:t>
      </w:r>
      <w:r>
        <w:t>.</w:t>
      </w:r>
    </w:p>
    <w:p w14:paraId="596761CB" w14:textId="77777777" w:rsidR="00CD628B" w:rsidRPr="00671C7A" w:rsidRDefault="00CD628B" w:rsidP="00CD628B">
      <w:pPr>
        <w:pStyle w:val="Heading4"/>
        <w:rPr>
          <w:lang w:eastAsia="en-AU"/>
        </w:rPr>
      </w:pPr>
      <w:r>
        <w:rPr>
          <w:lang w:eastAsia="en-AU"/>
        </w:rPr>
        <w:t>Measure assessment</w:t>
      </w:r>
    </w:p>
    <w:p w14:paraId="26385671" w14:textId="2FD7AF69" w:rsidR="00026CF2" w:rsidRPr="00026CF2" w:rsidRDefault="00CD628B"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E860C8"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4968CB98" w14:textId="318051B8" w:rsidR="00CD628B" w:rsidRDefault="00CD628B" w:rsidP="0097280A">
      <w:pPr>
        <w:spacing w:after="120" w:line="270" w:lineRule="atLeast"/>
        <w:rPr>
          <w:rFonts w:ascii="Arial" w:hAnsi="Arial" w:cs="Arial"/>
        </w:rPr>
      </w:pPr>
      <w:r>
        <w:rPr>
          <w:rFonts w:ascii="Arial" w:hAnsi="Arial" w:cs="Arial"/>
        </w:rPr>
        <w:t xml:space="preserve">Overall trend: </w:t>
      </w:r>
      <w:r w:rsidR="00E860C8">
        <w:rPr>
          <w:rFonts w:ascii="Arial" w:hAnsi="Arial" w:cs="Arial"/>
        </w:rPr>
        <w:t xml:space="preserve">Could </w:t>
      </w:r>
      <w:r w:rsidR="00414B45">
        <w:rPr>
          <w:rFonts w:ascii="Arial" w:hAnsi="Arial" w:cs="Arial"/>
        </w:rPr>
        <w:t xml:space="preserve">not </w:t>
      </w:r>
      <w:r w:rsidR="00E860C8">
        <w:rPr>
          <w:rFonts w:ascii="Arial" w:hAnsi="Arial" w:cs="Arial"/>
        </w:rPr>
        <w:t>be calculated due to only one data point</w:t>
      </w:r>
      <w:r w:rsidR="00631640">
        <w:rPr>
          <w:rFonts w:ascii="Arial" w:hAnsi="Arial" w:cs="Arial"/>
        </w:rPr>
        <w:t xml:space="preserve"> </w:t>
      </w:r>
      <w:r w:rsidR="00E860C8">
        <w:rPr>
          <w:rFonts w:ascii="Arial" w:hAnsi="Arial" w:cs="Arial"/>
        </w:rPr>
        <w:t>(2010</w:t>
      </w:r>
      <w:r w:rsidR="009D0E1A">
        <w:rPr>
          <w:rFonts w:ascii="Arial" w:hAnsi="Arial" w:cs="Arial"/>
        </w:rPr>
        <w:t>–</w:t>
      </w:r>
      <w:r w:rsidR="00E860C8">
        <w:rPr>
          <w:rFonts w:ascii="Arial" w:hAnsi="Arial" w:cs="Arial"/>
        </w:rPr>
        <w:t>2014)</w:t>
      </w:r>
    </w:p>
    <w:p w14:paraId="087FC998" w14:textId="04434D55" w:rsidR="00305664" w:rsidRPr="00E879A8" w:rsidRDefault="00CD628B" w:rsidP="0097280A">
      <w:pPr>
        <w:pStyle w:val="DHHSbody"/>
        <w:rPr>
          <w:rFonts w:cs="Arial"/>
          <w:lang w:eastAsia="en-AU"/>
        </w:rPr>
      </w:pPr>
      <w:r w:rsidRPr="00AF7428">
        <w:rPr>
          <w:rFonts w:cs="Arial"/>
          <w:lang w:eastAsia="en-AU"/>
        </w:rPr>
        <w:t>Commentary:</w:t>
      </w:r>
      <w:r w:rsidR="007A6D56">
        <w:rPr>
          <w:rFonts w:cs="Arial"/>
          <w:lang w:eastAsia="en-AU"/>
        </w:rPr>
        <w:t xml:space="preserve"> </w:t>
      </w:r>
      <w:r w:rsidR="007A6D56" w:rsidRPr="007A6D56">
        <w:rPr>
          <w:rFonts w:cs="Arial"/>
          <w:lang w:eastAsia="en-AU"/>
        </w:rPr>
        <w:t>In 2010–2014, Australians diagnosed wi</w:t>
      </w:r>
      <w:r w:rsidR="007A6D56">
        <w:rPr>
          <w:rFonts w:cs="Arial"/>
          <w:lang w:eastAsia="en-AU"/>
        </w:rPr>
        <w:t>th pancreatic cancer had a 8.7 per cent</w:t>
      </w:r>
      <w:r w:rsidR="007A6D56" w:rsidRPr="007A6D56">
        <w:rPr>
          <w:rFonts w:cs="Arial"/>
          <w:lang w:eastAsia="en-AU"/>
        </w:rPr>
        <w:t xml:space="preserve"> chance of surviving </w:t>
      </w:r>
      <w:r w:rsidR="002465BD">
        <w:rPr>
          <w:rFonts w:cs="Arial"/>
          <w:lang w:eastAsia="en-AU"/>
        </w:rPr>
        <w:t xml:space="preserve">for </w:t>
      </w:r>
      <w:r w:rsidR="009D0E1A">
        <w:rPr>
          <w:rFonts w:cs="Arial"/>
          <w:lang w:eastAsia="en-AU"/>
        </w:rPr>
        <w:t>five</w:t>
      </w:r>
      <w:r w:rsidR="007A6D56" w:rsidRPr="007A6D56">
        <w:rPr>
          <w:rFonts w:cs="Arial"/>
          <w:lang w:eastAsia="en-AU"/>
        </w:rPr>
        <w:t xml:space="preserve"> years compared with their counterparts in the general population</w:t>
      </w:r>
      <w:r w:rsidR="007A6D56">
        <w:rPr>
          <w:rFonts w:cs="Arial"/>
          <w:lang w:eastAsia="en-AU"/>
        </w:rPr>
        <w:t>, which decreased with age (Figure</w:t>
      </w:r>
      <w:r w:rsidR="00305664">
        <w:rPr>
          <w:rFonts w:cs="Arial"/>
          <w:lang w:eastAsia="en-AU"/>
        </w:rPr>
        <w:t xml:space="preserve"> 1</w:t>
      </w:r>
      <w:r w:rsidR="007A6D56">
        <w:rPr>
          <w:rFonts w:cs="Arial"/>
          <w:lang w:eastAsia="en-AU"/>
        </w:rPr>
        <w:t>3.11).</w:t>
      </w:r>
      <w:r w:rsidR="00305664">
        <w:rPr>
          <w:rFonts w:cs="Arial"/>
          <w:lang w:eastAsia="en-AU"/>
        </w:rPr>
        <w:t xml:space="preserve"> Victoria’s overall rate for the same time period was less than the national trend – 7.3 per cent.</w:t>
      </w:r>
      <w:r w:rsidR="00952FC7">
        <w:rPr>
          <w:rFonts w:cs="Arial"/>
          <w:lang w:eastAsia="en-AU"/>
        </w:rPr>
        <w:t xml:space="preserve"> </w:t>
      </w:r>
      <w:r w:rsidR="00305664">
        <w:rPr>
          <w:rFonts w:cs="Arial"/>
          <w:lang w:eastAsia="en-AU"/>
        </w:rPr>
        <w:t>In Victoria</w:t>
      </w:r>
      <w:r w:rsidR="006E2C2B">
        <w:rPr>
          <w:rFonts w:cs="Arial"/>
          <w:lang w:eastAsia="en-AU"/>
        </w:rPr>
        <w:t>,</w:t>
      </w:r>
      <w:r w:rsidR="00305664">
        <w:rPr>
          <w:rFonts w:cs="Arial"/>
          <w:lang w:eastAsia="en-AU"/>
        </w:rPr>
        <w:t xml:space="preserve"> the survival rate was </w:t>
      </w:r>
      <w:r w:rsidR="00305664" w:rsidRPr="00E879A8">
        <w:rPr>
          <w:rFonts w:cs="Arial"/>
          <w:lang w:eastAsia="en-AU"/>
        </w:rPr>
        <w:t xml:space="preserve">similar for males (7.2 per cent) and females (7.3 per cent). Five-year </w:t>
      </w:r>
      <w:r w:rsidR="00305664" w:rsidRPr="00E879A8">
        <w:rPr>
          <w:rFonts w:cs="Arial"/>
        </w:rPr>
        <w:t>survival was highest for those diagnosed in the 15</w:t>
      </w:r>
      <w:r w:rsidR="009D0E1A">
        <w:rPr>
          <w:rFonts w:cs="Arial"/>
        </w:rPr>
        <w:t>–</w:t>
      </w:r>
      <w:r w:rsidR="00305664" w:rsidRPr="00E879A8">
        <w:rPr>
          <w:rFonts w:cs="Arial"/>
        </w:rPr>
        <w:t xml:space="preserve">24 age group and decreased with age. Survival was less than 2.0 per cent for those aged 85 </w:t>
      </w:r>
      <w:r w:rsidR="001B50BF">
        <w:rPr>
          <w:rFonts w:cs="Arial"/>
        </w:rPr>
        <w:t>or older</w:t>
      </w:r>
      <w:r w:rsidR="00305664" w:rsidRPr="00E879A8">
        <w:rPr>
          <w:rFonts w:cs="Arial"/>
        </w:rPr>
        <w:t xml:space="preserve"> (Figure 13.11.1).</w:t>
      </w:r>
    </w:p>
    <w:p w14:paraId="2CB1F1F3" w14:textId="6C4670A5" w:rsidR="00E879A8" w:rsidRPr="00E879A8" w:rsidRDefault="00305664" w:rsidP="00E879A8">
      <w:pPr>
        <w:spacing w:after="120" w:line="270" w:lineRule="atLeast"/>
        <w:ind w:left="-5" w:right="3"/>
        <w:rPr>
          <w:rFonts w:ascii="Arial" w:hAnsi="Arial" w:cs="Arial"/>
        </w:rPr>
      </w:pPr>
      <w:r w:rsidRPr="00E879A8">
        <w:rPr>
          <w:rFonts w:ascii="Arial" w:hAnsi="Arial" w:cs="Arial"/>
        </w:rPr>
        <w:t xml:space="preserve">Five-year survival was similar between </w:t>
      </w:r>
      <w:r w:rsidR="00840304">
        <w:rPr>
          <w:rFonts w:ascii="Arial" w:hAnsi="Arial" w:cs="Arial"/>
        </w:rPr>
        <w:t>m</w:t>
      </w:r>
      <w:r w:rsidRPr="00E879A8">
        <w:rPr>
          <w:rFonts w:ascii="Arial" w:hAnsi="Arial" w:cs="Arial"/>
        </w:rPr>
        <w:t>ajor cities</w:t>
      </w:r>
      <w:r w:rsidRPr="00E879A8">
        <w:rPr>
          <w:rFonts w:ascii="Arial" w:hAnsi="Arial" w:cs="Arial"/>
          <w:i/>
        </w:rPr>
        <w:t xml:space="preserve"> </w:t>
      </w:r>
      <w:r w:rsidRPr="00E879A8">
        <w:rPr>
          <w:rFonts w:ascii="Arial" w:hAnsi="Arial" w:cs="Arial"/>
        </w:rPr>
        <w:t xml:space="preserve">(7.8 per cent) and </w:t>
      </w:r>
      <w:r w:rsidR="002465BD">
        <w:rPr>
          <w:rFonts w:ascii="Arial" w:hAnsi="Arial" w:cs="Arial"/>
        </w:rPr>
        <w:t>o</w:t>
      </w:r>
      <w:r w:rsidRPr="00E879A8">
        <w:rPr>
          <w:rFonts w:ascii="Arial" w:hAnsi="Arial" w:cs="Arial"/>
        </w:rPr>
        <w:t xml:space="preserve">uter regional/remote areas (7.1 per cent). </w:t>
      </w:r>
      <w:r w:rsidR="00B93B7D" w:rsidRPr="00E879A8">
        <w:rPr>
          <w:rFonts w:ascii="Arial" w:hAnsi="Arial" w:cs="Arial"/>
        </w:rPr>
        <w:t>Th</w:t>
      </w:r>
      <w:r w:rsidR="004503EB" w:rsidRPr="00E879A8">
        <w:rPr>
          <w:rFonts w:ascii="Arial" w:hAnsi="Arial" w:cs="Arial"/>
        </w:rPr>
        <w:t>e same pattern did not emerge</w:t>
      </w:r>
      <w:r w:rsidR="00B93B7D" w:rsidRPr="00E879A8">
        <w:rPr>
          <w:rFonts w:ascii="Arial" w:hAnsi="Arial" w:cs="Arial"/>
        </w:rPr>
        <w:t xml:space="preserve"> </w:t>
      </w:r>
      <w:r w:rsidR="004503EB" w:rsidRPr="00E879A8">
        <w:rPr>
          <w:rFonts w:ascii="Arial" w:hAnsi="Arial" w:cs="Arial"/>
        </w:rPr>
        <w:t>between more urban</w:t>
      </w:r>
      <w:r w:rsidR="002465BD">
        <w:rPr>
          <w:rFonts w:ascii="Arial" w:hAnsi="Arial" w:cs="Arial"/>
        </w:rPr>
        <w:t>-</w:t>
      </w:r>
      <w:r w:rsidR="004503EB" w:rsidRPr="00E879A8">
        <w:rPr>
          <w:rFonts w:ascii="Arial" w:hAnsi="Arial" w:cs="Arial"/>
        </w:rPr>
        <w:t xml:space="preserve">centric ICSs compared </w:t>
      </w:r>
      <w:r w:rsidR="009D0E1A">
        <w:rPr>
          <w:rFonts w:ascii="Arial" w:hAnsi="Arial" w:cs="Arial"/>
        </w:rPr>
        <w:t>with</w:t>
      </w:r>
      <w:r w:rsidR="009D0E1A" w:rsidRPr="00E879A8">
        <w:rPr>
          <w:rFonts w:ascii="Arial" w:hAnsi="Arial" w:cs="Arial"/>
        </w:rPr>
        <w:t xml:space="preserve"> </w:t>
      </w:r>
      <w:r w:rsidR="004503EB" w:rsidRPr="00E879A8">
        <w:rPr>
          <w:rFonts w:ascii="Arial" w:hAnsi="Arial" w:cs="Arial"/>
        </w:rPr>
        <w:t>rural ICSs.</w:t>
      </w:r>
      <w:r w:rsidR="00952FC7">
        <w:rPr>
          <w:rFonts w:ascii="Arial" w:hAnsi="Arial" w:cs="Arial"/>
        </w:rPr>
        <w:t xml:space="preserve"> </w:t>
      </w:r>
      <w:r w:rsidR="004503EB" w:rsidRPr="00E879A8">
        <w:rPr>
          <w:rFonts w:ascii="Arial" w:hAnsi="Arial" w:cs="Arial"/>
        </w:rPr>
        <w:t xml:space="preserve">For example, </w:t>
      </w:r>
      <w:r w:rsidR="00E879A8" w:rsidRPr="00E879A8">
        <w:rPr>
          <w:rFonts w:ascii="Arial" w:hAnsi="Arial" w:cs="Arial"/>
        </w:rPr>
        <w:t>B</w:t>
      </w:r>
      <w:r w:rsidR="00F32968">
        <w:rPr>
          <w:rFonts w:ascii="Arial" w:hAnsi="Arial" w:cs="Arial"/>
        </w:rPr>
        <w:t>SWRICS</w:t>
      </w:r>
      <w:r w:rsidR="002465BD">
        <w:rPr>
          <w:rFonts w:ascii="Arial" w:hAnsi="Arial" w:cs="Arial"/>
        </w:rPr>
        <w:t>,</w:t>
      </w:r>
      <w:r w:rsidR="00E879A8" w:rsidRPr="00E879A8">
        <w:rPr>
          <w:rFonts w:ascii="Arial" w:hAnsi="Arial" w:cs="Arial"/>
        </w:rPr>
        <w:t xml:space="preserve"> which includes Geelong</w:t>
      </w:r>
      <w:r w:rsidR="002465BD">
        <w:rPr>
          <w:rFonts w:ascii="Arial" w:hAnsi="Arial" w:cs="Arial"/>
        </w:rPr>
        <w:t>,</w:t>
      </w:r>
      <w:r w:rsidR="00E879A8" w:rsidRPr="00E879A8">
        <w:rPr>
          <w:rFonts w:ascii="Arial" w:hAnsi="Arial" w:cs="Arial"/>
        </w:rPr>
        <w:t xml:space="preserve"> had the highest rate of </w:t>
      </w:r>
      <w:r w:rsidR="00BE62B2">
        <w:rPr>
          <w:rFonts w:ascii="Arial" w:hAnsi="Arial" w:cs="Arial"/>
        </w:rPr>
        <w:t>nine</w:t>
      </w:r>
      <w:r w:rsidR="00E879A8" w:rsidRPr="00E879A8">
        <w:rPr>
          <w:rFonts w:ascii="Arial" w:hAnsi="Arial" w:cs="Arial"/>
        </w:rPr>
        <w:t xml:space="preserve"> per cent compared </w:t>
      </w:r>
      <w:r w:rsidR="009D0E1A">
        <w:rPr>
          <w:rFonts w:ascii="Arial" w:hAnsi="Arial" w:cs="Arial"/>
        </w:rPr>
        <w:t>with</w:t>
      </w:r>
      <w:r w:rsidR="009D0E1A" w:rsidRPr="00E879A8">
        <w:rPr>
          <w:rFonts w:ascii="Arial" w:hAnsi="Arial" w:cs="Arial"/>
        </w:rPr>
        <w:t xml:space="preserve"> </w:t>
      </w:r>
      <w:r w:rsidR="00E879A8" w:rsidRPr="00E879A8">
        <w:rPr>
          <w:rFonts w:ascii="Arial" w:hAnsi="Arial" w:cs="Arial"/>
        </w:rPr>
        <w:t xml:space="preserve">rural </w:t>
      </w:r>
      <w:r w:rsidR="00AB1639">
        <w:rPr>
          <w:rFonts w:ascii="Arial" w:hAnsi="Arial" w:cs="Arial"/>
        </w:rPr>
        <w:t>G</w:t>
      </w:r>
      <w:r w:rsidR="00E879A8" w:rsidRPr="00E879A8">
        <w:rPr>
          <w:rFonts w:ascii="Arial" w:hAnsi="Arial" w:cs="Arial"/>
        </w:rPr>
        <w:t>ICS</w:t>
      </w:r>
      <w:r w:rsidR="002465BD">
        <w:rPr>
          <w:rFonts w:ascii="Arial" w:hAnsi="Arial" w:cs="Arial"/>
        </w:rPr>
        <w:t>,</w:t>
      </w:r>
      <w:r w:rsidR="00E879A8" w:rsidRPr="00E879A8">
        <w:rPr>
          <w:rFonts w:ascii="Arial" w:hAnsi="Arial" w:cs="Arial"/>
        </w:rPr>
        <w:t xml:space="preserve"> which had a rate of only 3.</w:t>
      </w:r>
      <w:r w:rsidR="00AB1639">
        <w:rPr>
          <w:rFonts w:ascii="Arial" w:hAnsi="Arial" w:cs="Arial"/>
        </w:rPr>
        <w:t>1</w:t>
      </w:r>
      <w:r w:rsidR="00E879A8" w:rsidRPr="00E879A8">
        <w:rPr>
          <w:rFonts w:ascii="Arial" w:hAnsi="Arial" w:cs="Arial"/>
        </w:rPr>
        <w:t xml:space="preserve"> per cent</w:t>
      </w:r>
      <w:r w:rsidR="006C444C">
        <w:rPr>
          <w:rFonts w:ascii="Arial" w:hAnsi="Arial" w:cs="Arial"/>
        </w:rPr>
        <w:t>. H</w:t>
      </w:r>
      <w:r w:rsidR="00B76A00" w:rsidRPr="006C444C">
        <w:rPr>
          <w:rFonts w:ascii="Arial" w:hAnsi="Arial" w:cs="Arial"/>
        </w:rPr>
        <w:t>o</w:t>
      </w:r>
      <w:r w:rsidR="007C3F2F" w:rsidRPr="006C444C">
        <w:rPr>
          <w:rFonts w:ascii="Arial" w:hAnsi="Arial" w:cs="Arial"/>
        </w:rPr>
        <w:t>wever</w:t>
      </w:r>
      <w:r w:rsidR="006C444C">
        <w:rPr>
          <w:rFonts w:ascii="Arial" w:hAnsi="Arial" w:cs="Arial"/>
        </w:rPr>
        <w:t>,</w:t>
      </w:r>
      <w:r w:rsidR="006C444C" w:rsidRPr="006C444C">
        <w:rPr>
          <w:rFonts w:ascii="Arial" w:hAnsi="Arial" w:cs="Arial"/>
        </w:rPr>
        <w:t xml:space="preserve"> these results should be interpreted with caution because of the wide confidence intervals due to small sample sizes.</w:t>
      </w:r>
    </w:p>
    <w:p w14:paraId="2F3402AF" w14:textId="4572C632" w:rsidR="00CA067E" w:rsidRDefault="00305664" w:rsidP="001A2A05">
      <w:pPr>
        <w:spacing w:after="120" w:line="270" w:lineRule="atLeast"/>
        <w:ind w:left="-5" w:right="3"/>
        <w:rPr>
          <w:rFonts w:ascii="Arial" w:hAnsi="Arial" w:cs="Arial"/>
        </w:rPr>
      </w:pPr>
      <w:r w:rsidRPr="00E879A8">
        <w:rPr>
          <w:rFonts w:ascii="Arial" w:hAnsi="Arial" w:cs="Arial"/>
        </w:rPr>
        <w:t xml:space="preserve">There was a gradient of decreasing survival with greater socioeconomic disadvantage. </w:t>
      </w:r>
      <w:r w:rsidR="00E879A8">
        <w:rPr>
          <w:rFonts w:ascii="Arial" w:hAnsi="Arial" w:cs="Arial"/>
        </w:rPr>
        <w:t>Five-</w:t>
      </w:r>
      <w:r w:rsidRPr="00E879A8">
        <w:rPr>
          <w:rFonts w:ascii="Arial" w:hAnsi="Arial" w:cs="Arial"/>
        </w:rPr>
        <w:t xml:space="preserve">year survival was </w:t>
      </w:r>
      <w:r w:rsidR="00E879A8">
        <w:rPr>
          <w:rFonts w:ascii="Arial" w:hAnsi="Arial" w:cs="Arial"/>
        </w:rPr>
        <w:t>9.2 per cent</w:t>
      </w:r>
      <w:r w:rsidRPr="00E879A8">
        <w:rPr>
          <w:rFonts w:ascii="Arial" w:hAnsi="Arial" w:cs="Arial"/>
        </w:rPr>
        <w:t xml:space="preserve"> in the highest </w:t>
      </w:r>
      <w:r w:rsidR="002C35B2">
        <w:rPr>
          <w:rFonts w:ascii="Arial" w:hAnsi="Arial" w:cs="Arial"/>
        </w:rPr>
        <w:t>socioeconomic</w:t>
      </w:r>
      <w:r w:rsidRPr="00E879A8">
        <w:rPr>
          <w:rFonts w:ascii="Arial" w:hAnsi="Arial" w:cs="Arial"/>
        </w:rPr>
        <w:t xml:space="preserve"> quintile </w:t>
      </w:r>
      <w:r w:rsidR="00E879A8">
        <w:rPr>
          <w:rFonts w:ascii="Arial" w:hAnsi="Arial" w:cs="Arial"/>
        </w:rPr>
        <w:t>(Q</w:t>
      </w:r>
      <w:r w:rsidR="002465BD">
        <w:rPr>
          <w:rFonts w:ascii="Arial" w:hAnsi="Arial" w:cs="Arial"/>
        </w:rPr>
        <w:t xml:space="preserve"> </w:t>
      </w:r>
      <w:r w:rsidR="00E879A8">
        <w:rPr>
          <w:rFonts w:ascii="Arial" w:hAnsi="Arial" w:cs="Arial"/>
        </w:rPr>
        <w:t xml:space="preserve">5) </w:t>
      </w:r>
      <w:r w:rsidRPr="00E879A8">
        <w:rPr>
          <w:rFonts w:ascii="Arial" w:hAnsi="Arial" w:cs="Arial"/>
        </w:rPr>
        <w:t xml:space="preserve">compared with </w:t>
      </w:r>
      <w:r w:rsidR="00E879A8">
        <w:rPr>
          <w:rFonts w:ascii="Arial" w:hAnsi="Arial" w:cs="Arial"/>
        </w:rPr>
        <w:t>5.6 per cent</w:t>
      </w:r>
      <w:r w:rsidRPr="00E879A8">
        <w:rPr>
          <w:rFonts w:ascii="Arial" w:hAnsi="Arial" w:cs="Arial"/>
        </w:rPr>
        <w:t xml:space="preserve"> in the lowest</w:t>
      </w:r>
      <w:r w:rsidR="00E879A8">
        <w:rPr>
          <w:rFonts w:ascii="Arial" w:hAnsi="Arial" w:cs="Arial"/>
        </w:rPr>
        <w:t xml:space="preserve"> (Q</w:t>
      </w:r>
      <w:r w:rsidR="002465BD">
        <w:rPr>
          <w:rFonts w:ascii="Arial" w:hAnsi="Arial" w:cs="Arial"/>
        </w:rPr>
        <w:t xml:space="preserve"> </w:t>
      </w:r>
      <w:r w:rsidR="00E879A8">
        <w:rPr>
          <w:rFonts w:ascii="Arial" w:hAnsi="Arial" w:cs="Arial"/>
        </w:rPr>
        <w:t>1).</w:t>
      </w:r>
    </w:p>
    <w:p w14:paraId="4CF4EFA9" w14:textId="2CFE3495" w:rsidR="005C15AA" w:rsidRPr="004856A3" w:rsidRDefault="005F72D6" w:rsidP="00D75DF3">
      <w:pPr>
        <w:pStyle w:val="Heading3"/>
        <w:rPr>
          <w:rStyle w:val="Heading3Char"/>
        </w:rPr>
      </w:pPr>
      <w:bookmarkStart w:id="889" w:name="_Measure_13.12_–"/>
      <w:bookmarkEnd w:id="889"/>
      <w:r w:rsidRPr="00CA067E">
        <w:br w:type="page"/>
      </w:r>
      <w:bookmarkStart w:id="890" w:name="_Toc19008179"/>
      <w:r w:rsidR="005C15AA" w:rsidRPr="001233A9">
        <w:rPr>
          <w:rStyle w:val="Heading3Char"/>
          <w:b/>
          <w:bCs/>
        </w:rPr>
        <w:lastRenderedPageBreak/>
        <w:t xml:space="preserve">Measure 13.12 – </w:t>
      </w:r>
      <w:r w:rsidR="00A4158A" w:rsidRPr="001233A9">
        <w:rPr>
          <w:rStyle w:val="Heading3Char"/>
          <w:b/>
          <w:bCs/>
        </w:rPr>
        <w:t xml:space="preserve">Five-year </w:t>
      </w:r>
      <w:r w:rsidR="00707755" w:rsidRPr="001233A9">
        <w:rPr>
          <w:rStyle w:val="Heading3Char"/>
          <w:b/>
          <w:bCs/>
        </w:rPr>
        <w:t xml:space="preserve">relative </w:t>
      </w:r>
      <w:r w:rsidR="00A4158A" w:rsidRPr="001233A9">
        <w:rPr>
          <w:rStyle w:val="Heading3Char"/>
          <w:b/>
          <w:bCs/>
        </w:rPr>
        <w:t>survival from ovar</w:t>
      </w:r>
      <w:r w:rsidR="00320E5D" w:rsidRPr="001233A9">
        <w:rPr>
          <w:rStyle w:val="Heading3Char"/>
          <w:b/>
          <w:bCs/>
        </w:rPr>
        <w:t>ian</w:t>
      </w:r>
      <w:r w:rsidR="00A4158A" w:rsidRPr="001233A9">
        <w:rPr>
          <w:rStyle w:val="Heading3Char"/>
          <w:b/>
          <w:bCs/>
        </w:rPr>
        <w:t xml:space="preserve"> cancer</w:t>
      </w:r>
      <w:r w:rsidR="00FE14FC" w:rsidRPr="001233A9">
        <w:rPr>
          <w:rStyle w:val="Heading3Char"/>
          <w:b/>
          <w:bCs/>
        </w:rPr>
        <w:t xml:space="preserve"> (C56)</w:t>
      </w:r>
      <w:bookmarkEnd w:id="890"/>
    </w:p>
    <w:p w14:paraId="6B9B07CD" w14:textId="4623AAE1" w:rsidR="00D0407C" w:rsidRDefault="00F600DF" w:rsidP="008D320F">
      <w:pPr>
        <w:pStyle w:val="DHHSfigurecaption"/>
      </w:pPr>
      <w:bookmarkStart w:id="891" w:name="_Toc19008180"/>
      <w:bookmarkStart w:id="892" w:name="_Toc19008376"/>
      <w:bookmarkStart w:id="893" w:name="_Toc19008523"/>
      <w:bookmarkStart w:id="894" w:name="_Toc19008670"/>
      <w:bookmarkStart w:id="895" w:name="_Toc27414378"/>
      <w:r>
        <w:t>Figure 13.12</w:t>
      </w:r>
      <w:r w:rsidR="009D0E1A">
        <w:t>:</w:t>
      </w:r>
      <w:r>
        <w:t xml:space="preserve"> Five</w:t>
      </w:r>
      <w:r w:rsidR="00AA5069">
        <w:t>-year relative survival from</w:t>
      </w:r>
      <w:r w:rsidR="00952E6E">
        <w:t xml:space="preserve"> </w:t>
      </w:r>
      <w:r w:rsidR="00B231A5">
        <w:t>ovar</w:t>
      </w:r>
      <w:r w:rsidR="00320E5D">
        <w:t>ian</w:t>
      </w:r>
      <w:r w:rsidR="00D0407C">
        <w:t xml:space="preserve"> cancer</w:t>
      </w:r>
      <w:r w:rsidR="00D0407C" w:rsidRPr="006C654C">
        <w:t xml:space="preserve"> (nationally)</w:t>
      </w:r>
      <w:r w:rsidR="002465BD">
        <w:t>,</w:t>
      </w:r>
      <w:r w:rsidR="00D0407C" w:rsidRPr="006C654C">
        <w:t xml:space="preserve"> by age, 2010</w:t>
      </w:r>
      <w:r w:rsidR="009D0E1A">
        <w:t>–</w:t>
      </w:r>
      <w:r w:rsidR="00D0407C" w:rsidRPr="006C654C">
        <w:t>2014</w:t>
      </w:r>
      <w:r w:rsidR="00D0407C">
        <w:rPr>
          <w:rStyle w:val="FootnoteReference"/>
          <w:b w:val="0"/>
          <w:lang w:eastAsia="en-AU"/>
        </w:rPr>
        <w:footnoteReference w:id="168"/>
      </w:r>
      <w:bookmarkEnd w:id="891"/>
      <w:bookmarkEnd w:id="892"/>
      <w:bookmarkEnd w:id="893"/>
      <w:bookmarkEnd w:id="894"/>
      <w:bookmarkEnd w:id="895"/>
    </w:p>
    <w:p w14:paraId="615F4D6E" w14:textId="22D09A9E" w:rsidR="005278D5" w:rsidRPr="005278D5" w:rsidRDefault="005278D5" w:rsidP="005278D5">
      <w:pPr>
        <w:pStyle w:val="DHHSbody"/>
      </w:pPr>
      <w:r>
        <w:rPr>
          <w:noProof/>
        </w:rPr>
        <w:drawing>
          <wp:inline distT="0" distB="0" distL="0" distR="0" wp14:anchorId="37C8532D" wp14:editId="4C7A6892">
            <wp:extent cx="6372225" cy="3432924"/>
            <wp:effectExtent l="0" t="0" r="0" b="0"/>
            <wp:docPr id="279" name="Picture 279" descr="This figure forms part of the section that is specific to Measure 13.12 - Five-year relative survival from ovarian cancer.  It shows the five-year relative survival from ovarian cancer (nationally) by age,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388998" cy="3441960"/>
                    </a:xfrm>
                    <a:prstGeom prst="rect">
                      <a:avLst/>
                    </a:prstGeom>
                  </pic:spPr>
                </pic:pic>
              </a:graphicData>
            </a:graphic>
          </wp:inline>
        </w:drawing>
      </w:r>
    </w:p>
    <w:p w14:paraId="283305D8" w14:textId="4C8B7130"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224F3278" w14:textId="6A6500DA" w:rsidR="00B231A5" w:rsidRDefault="00B231A5" w:rsidP="005A5151">
      <w:pPr>
        <w:pStyle w:val="DHHStablefigurenote"/>
        <w:rPr>
          <w:lang w:val="en"/>
        </w:rPr>
      </w:pPr>
      <w:r w:rsidRPr="000A37BC">
        <w:rPr>
          <w:lang w:val="en"/>
        </w:rPr>
        <w:t>Note</w:t>
      </w:r>
      <w:r w:rsidR="00BE62B2">
        <w:rPr>
          <w:lang w:val="en"/>
        </w:rPr>
        <w:t>:</w:t>
      </w:r>
      <w:r w:rsidR="002465BD">
        <w:rPr>
          <w:lang w:val="en"/>
        </w:rPr>
        <w:t xml:space="preserve"> </w:t>
      </w:r>
      <w:r w:rsidRPr="000A37BC">
        <w:rPr>
          <w:lang w:val="en"/>
        </w:rPr>
        <w:t>Relative survival was calculated with the period method, using the period 2010–2014.</w:t>
      </w:r>
      <w:r w:rsidR="00952FC7">
        <w:rPr>
          <w:lang w:val="en"/>
        </w:rPr>
        <w:t xml:space="preserve"> </w:t>
      </w:r>
      <w:r w:rsidRPr="000A37BC">
        <w:rPr>
          <w:lang w:val="en"/>
        </w:rPr>
        <w:t xml:space="preserve">Note that this period does not contain incidence data for 2014 for </w:t>
      </w:r>
      <w:r w:rsidR="002465BD">
        <w:rPr>
          <w:lang w:val="en"/>
        </w:rPr>
        <w:t>New South Wales</w:t>
      </w:r>
      <w:r w:rsidR="002465BD" w:rsidRPr="000A37BC">
        <w:rPr>
          <w:lang w:val="en"/>
        </w:rPr>
        <w:t xml:space="preserve"> </w:t>
      </w:r>
      <w:r w:rsidRPr="000A37BC">
        <w:rPr>
          <w:lang w:val="en"/>
        </w:rPr>
        <w:t xml:space="preserve">because </w:t>
      </w:r>
      <w:r w:rsidR="002465BD">
        <w:rPr>
          <w:lang w:val="en"/>
        </w:rPr>
        <w:t xml:space="preserve">that </w:t>
      </w:r>
      <w:r>
        <w:rPr>
          <w:lang w:val="en"/>
        </w:rPr>
        <w:t xml:space="preserve">data </w:t>
      </w:r>
      <w:r w:rsidR="002465BD">
        <w:rPr>
          <w:lang w:val="en"/>
        </w:rPr>
        <w:t>was</w:t>
      </w:r>
      <w:r>
        <w:rPr>
          <w:lang w:val="en"/>
        </w:rPr>
        <w:t xml:space="preserve"> un</w:t>
      </w:r>
      <w:r w:rsidRPr="000A37BC">
        <w:rPr>
          <w:lang w:val="en"/>
        </w:rPr>
        <w:t>available.</w:t>
      </w:r>
    </w:p>
    <w:p w14:paraId="757C66A2" w14:textId="2F4BF55A" w:rsidR="00612C9A" w:rsidRDefault="00612C9A" w:rsidP="008D320F">
      <w:pPr>
        <w:pStyle w:val="DHHSfigurecaption"/>
      </w:pPr>
      <w:bookmarkStart w:id="896" w:name="_Toc19008181"/>
      <w:bookmarkStart w:id="897" w:name="_Toc19008377"/>
      <w:bookmarkStart w:id="898" w:name="_Toc19008524"/>
      <w:bookmarkStart w:id="899" w:name="_Toc19008671"/>
      <w:bookmarkStart w:id="900" w:name="_Toc27414379"/>
      <w:r w:rsidRPr="008A5FEF">
        <w:t>Figure 13.</w:t>
      </w:r>
      <w:r>
        <w:t>12.1: Five-year relative survival from ovarian cancer, by age (A), remoteness (B), SES (C) and ICS (D), Victoria, 2010–2014</w:t>
      </w:r>
      <w:bookmarkEnd w:id="896"/>
      <w:bookmarkEnd w:id="897"/>
      <w:bookmarkEnd w:id="898"/>
      <w:bookmarkEnd w:id="899"/>
      <w:bookmarkEnd w:id="900"/>
    </w:p>
    <w:p w14:paraId="5252D810" w14:textId="77777777" w:rsidR="00FF4FA6" w:rsidRDefault="00FF4FA6" w:rsidP="00160602">
      <w:pPr>
        <w:pStyle w:val="DHHSbody"/>
        <w:numPr>
          <w:ilvl w:val="0"/>
          <w:numId w:val="42"/>
        </w:numPr>
        <w:ind w:left="284" w:hanging="284"/>
        <w:rPr>
          <w:b/>
          <w:lang w:eastAsia="en-AU"/>
        </w:rPr>
        <w:sectPr w:rsidR="00FF4FA6" w:rsidSect="006116E6">
          <w:type w:val="continuous"/>
          <w:pgSz w:w="11906" w:h="16838"/>
          <w:pgMar w:top="1701" w:right="849" w:bottom="1134" w:left="426" w:header="454" w:footer="510" w:gutter="0"/>
          <w:cols w:space="720"/>
          <w:docGrid w:linePitch="360"/>
        </w:sectPr>
      </w:pPr>
    </w:p>
    <w:p w14:paraId="407A4F96" w14:textId="358F0AAF" w:rsidR="00612C9A" w:rsidRDefault="00612C9A" w:rsidP="00160602">
      <w:pPr>
        <w:pStyle w:val="DHHSbody"/>
        <w:numPr>
          <w:ilvl w:val="0"/>
          <w:numId w:val="42"/>
        </w:numPr>
        <w:ind w:left="357" w:hanging="357"/>
        <w:rPr>
          <w:b/>
          <w:lang w:eastAsia="en-AU"/>
        </w:rPr>
      </w:pPr>
      <w:r w:rsidRPr="00612C9A">
        <w:rPr>
          <w:b/>
          <w:lang w:eastAsia="en-AU"/>
        </w:rPr>
        <w:t>Age</w:t>
      </w:r>
    </w:p>
    <w:p w14:paraId="17E79799" w14:textId="0E0639ED" w:rsidR="00612C9A" w:rsidRDefault="004110F6" w:rsidP="0012430F">
      <w:pPr>
        <w:pStyle w:val="DHHSbody"/>
        <w:rPr>
          <w:b/>
          <w:lang w:eastAsia="en-AU"/>
        </w:rPr>
      </w:pPr>
      <w:r>
        <w:rPr>
          <w:b/>
          <w:noProof/>
          <w:lang w:eastAsia="en-AU"/>
        </w:rPr>
        <w:drawing>
          <wp:inline distT="0" distB="0" distL="0" distR="0" wp14:anchorId="50336F73" wp14:editId="7B19361E">
            <wp:extent cx="3121660" cy="2578735"/>
            <wp:effectExtent l="0" t="0" r="2540" b="0"/>
            <wp:docPr id="629" name="Picture 629" descr="This figure shows a data summary of 'Measure 13.12 – Five-year survival from ovarian cancer'. Specially this figure focuses on the five-year relative survival from ovarian cancer by age for the study period 2010-2014. The data set is available under 'Measure 13.12 – Fiv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121660" cy="2578735"/>
                    </a:xfrm>
                    <a:prstGeom prst="rect">
                      <a:avLst/>
                    </a:prstGeom>
                    <a:noFill/>
                  </pic:spPr>
                </pic:pic>
              </a:graphicData>
            </a:graphic>
          </wp:inline>
        </w:drawing>
      </w:r>
    </w:p>
    <w:p w14:paraId="0547013F" w14:textId="342F5A94" w:rsidR="00FF4FA6" w:rsidRPr="00FF4FA6" w:rsidRDefault="00FF4FA6" w:rsidP="00160602">
      <w:pPr>
        <w:pStyle w:val="DHHSbody"/>
        <w:numPr>
          <w:ilvl w:val="0"/>
          <w:numId w:val="9"/>
        </w:numPr>
        <w:ind w:left="357" w:hanging="357"/>
        <w:rPr>
          <w:sz w:val="18"/>
          <w:szCs w:val="18"/>
          <w:lang w:val="en" w:eastAsia="en-AU"/>
        </w:rPr>
      </w:pPr>
      <w:r w:rsidRPr="00612C9A">
        <w:rPr>
          <w:b/>
          <w:lang w:eastAsia="en-AU"/>
        </w:rPr>
        <w:t>Remoteness</w:t>
      </w:r>
    </w:p>
    <w:p w14:paraId="17B2AC92" w14:textId="5C48B8DB" w:rsidR="00FF4FA6" w:rsidRDefault="004110F6" w:rsidP="00FF4FA6">
      <w:pPr>
        <w:pStyle w:val="DHHSbody"/>
        <w:spacing w:after="0" w:line="240" w:lineRule="auto"/>
        <w:rPr>
          <w:b/>
          <w:lang w:eastAsia="en-AU"/>
        </w:rPr>
      </w:pPr>
      <w:r>
        <w:rPr>
          <w:b/>
          <w:noProof/>
          <w:lang w:eastAsia="en-AU"/>
        </w:rPr>
        <w:drawing>
          <wp:inline distT="0" distB="0" distL="0" distR="0" wp14:anchorId="5C1C3A24" wp14:editId="23A21178">
            <wp:extent cx="3145790" cy="2676525"/>
            <wp:effectExtent l="0" t="0" r="0" b="9525"/>
            <wp:docPr id="630" name="Picture 630" descr="This figure shows a data summary of 'Measure 13.12 – Five-year survival from ovarian cancer'. Specially this figure focuses on the five-year relative survival from ovarian cancer by remoteness for the study period 2010-2014. The data set is available under 'Measure 13.12 – Fiv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145790" cy="2676525"/>
                    </a:xfrm>
                    <a:prstGeom prst="rect">
                      <a:avLst/>
                    </a:prstGeom>
                    <a:noFill/>
                  </pic:spPr>
                </pic:pic>
              </a:graphicData>
            </a:graphic>
          </wp:inline>
        </w:drawing>
      </w:r>
    </w:p>
    <w:p w14:paraId="296A7DE0" w14:textId="77777777" w:rsidR="00FF4FA6" w:rsidRDefault="00FF4FA6" w:rsidP="00FF4FA6">
      <w:pPr>
        <w:pStyle w:val="DHHSbody"/>
        <w:spacing w:after="0" w:line="240" w:lineRule="auto"/>
        <w:ind w:left="720"/>
        <w:rPr>
          <w:sz w:val="18"/>
          <w:szCs w:val="18"/>
          <w:lang w:val="en" w:eastAsia="en-AU"/>
        </w:rPr>
        <w:sectPr w:rsidR="00FF4FA6" w:rsidSect="00FF4FA6">
          <w:type w:val="continuous"/>
          <w:pgSz w:w="11906" w:h="16838"/>
          <w:pgMar w:top="1701" w:right="849" w:bottom="1134" w:left="426" w:header="454" w:footer="510" w:gutter="0"/>
          <w:cols w:num="2" w:space="720"/>
          <w:docGrid w:linePitch="360"/>
        </w:sectPr>
      </w:pPr>
    </w:p>
    <w:p w14:paraId="4E723D9E" w14:textId="2887F455" w:rsidR="0012430F" w:rsidRPr="00F642CE" w:rsidRDefault="0012430F" w:rsidP="00160602">
      <w:pPr>
        <w:pStyle w:val="DHHSbody"/>
        <w:keepNext/>
        <w:keepLines/>
        <w:numPr>
          <w:ilvl w:val="0"/>
          <w:numId w:val="9"/>
        </w:numPr>
        <w:spacing w:line="240" w:lineRule="atLeast"/>
        <w:ind w:left="357" w:hanging="357"/>
        <w:outlineLvl w:val="3"/>
        <w:rPr>
          <w:b/>
          <w:bCs/>
        </w:rPr>
      </w:pPr>
      <w:r w:rsidRPr="00F642CE">
        <w:rPr>
          <w:b/>
          <w:bCs/>
          <w:lang w:eastAsia="en-AU"/>
        </w:rPr>
        <w:lastRenderedPageBreak/>
        <w:t>Socioeconomic</w:t>
      </w:r>
      <w:r w:rsidRPr="00F642CE">
        <w:rPr>
          <w:b/>
          <w:bCs/>
        </w:rPr>
        <w:t xml:space="preserve"> sta</w:t>
      </w:r>
      <w:r w:rsidR="00F642CE" w:rsidRPr="00F642CE">
        <w:rPr>
          <w:b/>
          <w:bCs/>
        </w:rPr>
        <w:t>t</w:t>
      </w:r>
      <w:r w:rsidRPr="00F642CE">
        <w:rPr>
          <w:b/>
          <w:bCs/>
        </w:rPr>
        <w:t>us</w:t>
      </w:r>
    </w:p>
    <w:p w14:paraId="4DEDACC9" w14:textId="08830BCE" w:rsidR="00612C9A" w:rsidRDefault="004110F6" w:rsidP="00F642CE">
      <w:pPr>
        <w:pStyle w:val="DHHSbody"/>
        <w:rPr>
          <w:b/>
          <w:lang w:eastAsia="en-AU"/>
        </w:rPr>
      </w:pPr>
      <w:r>
        <w:rPr>
          <w:b/>
          <w:noProof/>
          <w:lang w:eastAsia="en-AU"/>
        </w:rPr>
        <w:drawing>
          <wp:inline distT="0" distB="0" distL="0" distR="0" wp14:anchorId="27D9F9B6" wp14:editId="23F63100">
            <wp:extent cx="3152140" cy="2560320"/>
            <wp:effectExtent l="0" t="0" r="0" b="0"/>
            <wp:docPr id="631" name="Picture 631" descr="This figure shows a data summary of 'Measure 13.12 – Five-year survival from ovarian cancer'. Specially this figure focuses on the five-year relative survival from ovarian cancer by socioeconomic status for the study period 2010-2014. The data set is available under 'Measure 13.12 – Fiv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152140" cy="2560320"/>
                    </a:xfrm>
                    <a:prstGeom prst="rect">
                      <a:avLst/>
                    </a:prstGeom>
                    <a:noFill/>
                  </pic:spPr>
                </pic:pic>
              </a:graphicData>
            </a:graphic>
          </wp:inline>
        </w:drawing>
      </w:r>
    </w:p>
    <w:p w14:paraId="28D31ED1" w14:textId="52EE64F0" w:rsidR="00FF4FA6" w:rsidRDefault="00FF4FA6" w:rsidP="00160602">
      <w:pPr>
        <w:pStyle w:val="DHHSbody"/>
        <w:keepNext/>
        <w:keepLines/>
        <w:numPr>
          <w:ilvl w:val="0"/>
          <w:numId w:val="9"/>
        </w:numPr>
        <w:spacing w:before="120" w:line="240" w:lineRule="atLeast"/>
        <w:ind w:left="357" w:hanging="357"/>
        <w:outlineLvl w:val="3"/>
        <w:rPr>
          <w:b/>
          <w:bCs/>
          <w:lang w:eastAsia="en-AU"/>
        </w:rPr>
      </w:pPr>
      <w:r w:rsidRPr="00FF4FA6">
        <w:rPr>
          <w:b/>
          <w:bCs/>
          <w:lang w:eastAsia="en-AU"/>
        </w:rPr>
        <w:t>Integrated Cancer Service</w:t>
      </w:r>
    </w:p>
    <w:p w14:paraId="3DA36F4C" w14:textId="43D68206" w:rsidR="00FF4FA6" w:rsidRDefault="004110F6" w:rsidP="00F642CE">
      <w:pPr>
        <w:pStyle w:val="DHHSbody"/>
        <w:ind w:right="425"/>
        <w:rPr>
          <w:i/>
          <w:sz w:val="18"/>
          <w:szCs w:val="18"/>
          <w:lang w:eastAsia="en-AU"/>
        </w:rPr>
      </w:pPr>
      <w:r>
        <w:rPr>
          <w:i/>
          <w:noProof/>
          <w:sz w:val="18"/>
          <w:szCs w:val="18"/>
          <w:lang w:eastAsia="en-AU"/>
        </w:rPr>
        <w:drawing>
          <wp:inline distT="0" distB="0" distL="0" distR="0" wp14:anchorId="260A5F99" wp14:editId="604677B0">
            <wp:extent cx="3139440" cy="2956560"/>
            <wp:effectExtent l="0" t="0" r="3810" b="0"/>
            <wp:docPr id="632" name="Picture 632" descr="This figure shows a data summary of 'Measure 13.12 – Five-year survival from ovarian cancer'. Specially this figure focuses on the five-year relative survival from ovarian cancer by Integrated Cancer Service for the study period 2010-2014. The data set is available under 'Measure 13.12 – Five-year survival from ovaria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139440" cy="2956560"/>
                    </a:xfrm>
                    <a:prstGeom prst="rect">
                      <a:avLst/>
                    </a:prstGeom>
                    <a:noFill/>
                  </pic:spPr>
                </pic:pic>
              </a:graphicData>
            </a:graphic>
          </wp:inline>
        </w:drawing>
      </w:r>
    </w:p>
    <w:p w14:paraId="77BFAEDC" w14:textId="77777777" w:rsidR="008F0A72" w:rsidRDefault="008F0A72" w:rsidP="00FF4FA6">
      <w:pPr>
        <w:pStyle w:val="DHHSbody"/>
        <w:ind w:left="720" w:hanging="720"/>
        <w:rPr>
          <w:i/>
          <w:sz w:val="18"/>
          <w:szCs w:val="18"/>
          <w:lang w:eastAsia="en-AU"/>
        </w:rPr>
        <w:sectPr w:rsidR="008F0A72" w:rsidSect="00443026">
          <w:type w:val="continuous"/>
          <w:pgSz w:w="11906" w:h="16838"/>
          <w:pgMar w:top="1701" w:right="851" w:bottom="1134" w:left="425" w:header="454" w:footer="510" w:gutter="0"/>
          <w:cols w:num="2" w:space="720"/>
          <w:docGrid w:linePitch="360"/>
        </w:sectPr>
      </w:pPr>
    </w:p>
    <w:p w14:paraId="0A844E07" w14:textId="616EEE7A" w:rsidR="000E096B" w:rsidRDefault="000E096B" w:rsidP="005A5151">
      <w:pPr>
        <w:pStyle w:val="DHHStablefigurenote"/>
      </w:pPr>
      <w:r w:rsidRPr="00514E0F">
        <w:t xml:space="preserve">Notes: </w:t>
      </w:r>
    </w:p>
    <w:p w14:paraId="10B22A41" w14:textId="77777777" w:rsidR="000E096B" w:rsidRDefault="000E096B" w:rsidP="005A5151">
      <w:pPr>
        <w:pStyle w:val="DHHStablefigurenote"/>
      </w:pPr>
      <w:r>
        <w:t>Analysis for the age group 0–14 years was excluded because of low numbers.</w:t>
      </w:r>
    </w:p>
    <w:p w14:paraId="1E0BAC93" w14:textId="77777777" w:rsidR="000E096B" w:rsidRDefault="000E096B" w:rsidP="005A5151">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40E83647" w14:textId="77777777" w:rsidR="000E096B" w:rsidRDefault="000E096B" w:rsidP="005A5151">
      <w:pPr>
        <w:pStyle w:val="DHHStablefigurenote"/>
      </w:pPr>
      <w:r w:rsidRPr="00514E0F">
        <w:t>Remoteness is classified according to the Australian Standard Geo</w:t>
      </w:r>
      <w:r>
        <w:t>graphical Classification (ASGC) Remoteness Areas.</w:t>
      </w:r>
    </w:p>
    <w:p w14:paraId="21577169" w14:textId="673449D2" w:rsidR="000E096B" w:rsidRDefault="000E096B" w:rsidP="005A5151">
      <w:pPr>
        <w:pStyle w:val="DHHStablefigurenote"/>
      </w:pPr>
      <w:r>
        <w:t>SES</w:t>
      </w:r>
      <w:r w:rsidRPr="000305B1">
        <w:t xml:space="preserve"> is classified according to the ABS Socioeconomic Indexes for Areas (SEIFA) Index of Relative Socio-economic Disadvantage – 1= lowest and 5 = highest.</w:t>
      </w:r>
    </w:p>
    <w:p w14:paraId="5C00FDCA" w14:textId="4C47DFDF" w:rsidR="00DC2D82" w:rsidRPr="00DC2D82" w:rsidRDefault="00DC2D82" w:rsidP="005A5151">
      <w:pPr>
        <w:pStyle w:val="DHHStablefigurenote"/>
      </w:pPr>
      <w:r w:rsidRPr="0073300D">
        <w:t>Appendix 2 provides the dataset</w:t>
      </w:r>
      <w:r>
        <w:t>.</w:t>
      </w:r>
    </w:p>
    <w:p w14:paraId="3D4C6AEA" w14:textId="36A6AC73" w:rsidR="00CD628B" w:rsidRPr="00671C7A" w:rsidRDefault="00CD628B" w:rsidP="00365619">
      <w:pPr>
        <w:pStyle w:val="Heading4"/>
        <w:spacing w:before="0" w:line="270" w:lineRule="atLeast"/>
        <w:rPr>
          <w:lang w:eastAsia="en-AU"/>
        </w:rPr>
      </w:pPr>
      <w:r>
        <w:rPr>
          <w:lang w:eastAsia="en-AU"/>
        </w:rPr>
        <w:t>Measure assessment</w:t>
      </w:r>
    </w:p>
    <w:p w14:paraId="0E4C283B" w14:textId="22253AC1" w:rsidR="00026CF2" w:rsidRPr="00026CF2" w:rsidRDefault="00CD628B" w:rsidP="0097280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964859" w:rsidRPr="00026CF2">
        <w:rPr>
          <w:rFonts w:ascii="Arial" w:hAnsi="Arial" w:cs="Arial"/>
          <w:b/>
          <w:color w:val="C5511A"/>
        </w:rPr>
        <w:t>Amber</w:t>
      </w:r>
      <w:r w:rsidR="00026CF2">
        <w:rPr>
          <w:rFonts w:ascii="Arial" w:hAnsi="Arial" w:cs="Arial"/>
          <w:b/>
          <w:color w:val="C5511A"/>
        </w:rPr>
        <w:t xml:space="preserve"> </w:t>
      </w:r>
      <w:r w:rsidR="00026CF2" w:rsidRPr="00EA3932">
        <w:rPr>
          <w:rFonts w:ascii="Arial" w:hAnsi="Arial" w:cs="Arial"/>
          <w:color w:val="C5511A"/>
        </w:rPr>
        <w:t>(desired result not yet evident)</w:t>
      </w:r>
    </w:p>
    <w:p w14:paraId="36E0B18B" w14:textId="533B47F6" w:rsidR="00CD628B" w:rsidRDefault="00CD628B" w:rsidP="0097280A">
      <w:pPr>
        <w:spacing w:after="120" w:line="270" w:lineRule="atLeast"/>
        <w:rPr>
          <w:rFonts w:ascii="Arial" w:hAnsi="Arial" w:cs="Arial"/>
        </w:rPr>
      </w:pPr>
      <w:r>
        <w:rPr>
          <w:rFonts w:ascii="Arial" w:hAnsi="Arial" w:cs="Arial"/>
        </w:rPr>
        <w:t xml:space="preserve">Overall trend: </w:t>
      </w:r>
      <w:r w:rsidR="00964859">
        <w:rPr>
          <w:rFonts w:ascii="Arial" w:hAnsi="Arial" w:cs="Arial"/>
        </w:rPr>
        <w:t xml:space="preserve">Could </w:t>
      </w:r>
      <w:r w:rsidR="005F5BC9">
        <w:rPr>
          <w:rFonts w:ascii="Arial" w:hAnsi="Arial" w:cs="Arial"/>
        </w:rPr>
        <w:t xml:space="preserve">not </w:t>
      </w:r>
      <w:r w:rsidR="00964859">
        <w:rPr>
          <w:rFonts w:ascii="Arial" w:hAnsi="Arial" w:cs="Arial"/>
        </w:rPr>
        <w:t>be calculated due to only one data point (2010</w:t>
      </w:r>
      <w:r w:rsidR="009D0E1A">
        <w:rPr>
          <w:rFonts w:ascii="Arial" w:hAnsi="Arial" w:cs="Arial"/>
        </w:rPr>
        <w:t>–</w:t>
      </w:r>
      <w:r w:rsidR="00964859">
        <w:rPr>
          <w:rFonts w:ascii="Arial" w:hAnsi="Arial" w:cs="Arial"/>
        </w:rPr>
        <w:t>2014)</w:t>
      </w:r>
    </w:p>
    <w:p w14:paraId="7A0E950A" w14:textId="797B7A23" w:rsidR="00A52007" w:rsidRDefault="00CD628B" w:rsidP="0097280A">
      <w:pPr>
        <w:spacing w:after="120" w:line="270" w:lineRule="atLeast"/>
        <w:ind w:left="-5" w:right="3"/>
        <w:rPr>
          <w:rFonts w:ascii="Arial" w:hAnsi="Arial" w:cs="Arial"/>
        </w:rPr>
      </w:pPr>
      <w:r w:rsidRPr="00731AC9">
        <w:rPr>
          <w:rFonts w:ascii="Arial" w:hAnsi="Arial" w:cs="Arial"/>
        </w:rPr>
        <w:t>Commentary:</w:t>
      </w:r>
      <w:r w:rsidR="004C4848" w:rsidRPr="00731AC9">
        <w:rPr>
          <w:rFonts w:ascii="Arial" w:hAnsi="Arial" w:cs="Arial"/>
        </w:rPr>
        <w:t xml:space="preserve"> </w:t>
      </w:r>
      <w:r w:rsidR="00A52007">
        <w:rPr>
          <w:rFonts w:ascii="Arial" w:hAnsi="Arial" w:cs="Arial"/>
        </w:rPr>
        <w:t>In 2010</w:t>
      </w:r>
      <w:r w:rsidR="00CA6D80">
        <w:rPr>
          <w:rFonts w:ascii="Arial" w:hAnsi="Arial" w:cs="Arial"/>
        </w:rPr>
        <w:t>–</w:t>
      </w:r>
      <w:r w:rsidR="00A52007">
        <w:rPr>
          <w:rFonts w:ascii="Arial" w:hAnsi="Arial" w:cs="Arial"/>
        </w:rPr>
        <w:t>2014, Australian</w:t>
      </w:r>
      <w:r w:rsidR="002465BD">
        <w:rPr>
          <w:rFonts w:ascii="Arial" w:hAnsi="Arial" w:cs="Arial"/>
        </w:rPr>
        <w:t xml:space="preserve"> women</w:t>
      </w:r>
      <w:r w:rsidR="00A52007">
        <w:rPr>
          <w:rFonts w:ascii="Arial" w:hAnsi="Arial" w:cs="Arial"/>
        </w:rPr>
        <w:t xml:space="preserve"> diagnosed with ovarian cancer had </w:t>
      </w:r>
      <w:r w:rsidR="0047481F">
        <w:rPr>
          <w:rFonts w:ascii="Arial" w:hAnsi="Arial" w:cs="Arial"/>
        </w:rPr>
        <w:t xml:space="preserve">a </w:t>
      </w:r>
      <w:r w:rsidR="00AC45C4">
        <w:rPr>
          <w:rFonts w:ascii="Arial" w:hAnsi="Arial" w:cs="Arial"/>
        </w:rPr>
        <w:t>44.8 per cent chance of surviving</w:t>
      </w:r>
      <w:r w:rsidR="002465BD">
        <w:rPr>
          <w:rFonts w:ascii="Arial" w:hAnsi="Arial" w:cs="Arial"/>
        </w:rPr>
        <w:t xml:space="preserve"> for</w:t>
      </w:r>
      <w:r w:rsidR="00AC45C4">
        <w:rPr>
          <w:rFonts w:ascii="Arial" w:hAnsi="Arial" w:cs="Arial"/>
        </w:rPr>
        <w:t xml:space="preserve"> </w:t>
      </w:r>
      <w:r w:rsidR="00CA6D80">
        <w:rPr>
          <w:rFonts w:ascii="Arial" w:hAnsi="Arial" w:cs="Arial"/>
        </w:rPr>
        <w:t>five</w:t>
      </w:r>
      <w:r w:rsidR="00AC45C4">
        <w:rPr>
          <w:rFonts w:ascii="Arial" w:hAnsi="Arial" w:cs="Arial"/>
        </w:rPr>
        <w:t xml:space="preserve"> years compared with </w:t>
      </w:r>
      <w:r w:rsidR="007C3F2F">
        <w:rPr>
          <w:rFonts w:ascii="Arial" w:hAnsi="Arial" w:cs="Arial"/>
        </w:rPr>
        <w:t>41.9 per cent for Victorian women.</w:t>
      </w:r>
    </w:p>
    <w:p w14:paraId="7308F08B" w14:textId="66FCB515" w:rsidR="006A2851" w:rsidRPr="004B4B01" w:rsidRDefault="00AC45C4" w:rsidP="00365619">
      <w:pPr>
        <w:spacing w:after="120" w:line="270" w:lineRule="atLeast"/>
        <w:ind w:left="-5" w:right="3"/>
        <w:rPr>
          <w:rFonts w:ascii="Arial" w:hAnsi="Arial" w:cs="Arial"/>
        </w:rPr>
      </w:pPr>
      <w:r>
        <w:rPr>
          <w:rFonts w:ascii="Arial" w:hAnsi="Arial" w:cs="Arial"/>
        </w:rPr>
        <w:t>In Victoria</w:t>
      </w:r>
      <w:r w:rsidR="006E2C2B">
        <w:rPr>
          <w:rFonts w:ascii="Arial" w:hAnsi="Arial" w:cs="Arial"/>
        </w:rPr>
        <w:t>,</w:t>
      </w:r>
      <w:r>
        <w:rPr>
          <w:rFonts w:ascii="Arial" w:hAnsi="Arial" w:cs="Arial"/>
        </w:rPr>
        <w:t xml:space="preserve"> s</w:t>
      </w:r>
      <w:r w:rsidR="004C4848" w:rsidRPr="00731AC9">
        <w:rPr>
          <w:rFonts w:ascii="Arial" w:hAnsi="Arial" w:cs="Arial"/>
        </w:rPr>
        <w:t xml:space="preserve">urvival dropped steeply with age. Five-year survival was highest for women diagnosed </w:t>
      </w:r>
      <w:r w:rsidR="006A2851" w:rsidRPr="00731AC9">
        <w:rPr>
          <w:rFonts w:ascii="Arial" w:hAnsi="Arial" w:cs="Arial"/>
        </w:rPr>
        <w:t>in the 25</w:t>
      </w:r>
      <w:r w:rsidR="009D0E1A">
        <w:rPr>
          <w:rFonts w:ascii="Arial" w:hAnsi="Arial" w:cs="Arial"/>
        </w:rPr>
        <w:t>–</w:t>
      </w:r>
      <w:r w:rsidR="006A2851" w:rsidRPr="00731AC9">
        <w:rPr>
          <w:rFonts w:ascii="Arial" w:hAnsi="Arial" w:cs="Arial"/>
        </w:rPr>
        <w:t xml:space="preserve">34 age range </w:t>
      </w:r>
      <w:r w:rsidR="004C4848" w:rsidRPr="00731AC9">
        <w:rPr>
          <w:rFonts w:ascii="Arial" w:hAnsi="Arial" w:cs="Arial"/>
        </w:rPr>
        <w:t>(8</w:t>
      </w:r>
      <w:r w:rsidR="006A2851" w:rsidRPr="00731AC9">
        <w:rPr>
          <w:rFonts w:ascii="Arial" w:hAnsi="Arial" w:cs="Arial"/>
        </w:rPr>
        <w:t>1.4</w:t>
      </w:r>
      <w:r w:rsidR="00320E5D">
        <w:rPr>
          <w:rFonts w:ascii="Arial" w:hAnsi="Arial" w:cs="Arial"/>
        </w:rPr>
        <w:t xml:space="preserve"> per cent</w:t>
      </w:r>
      <w:r w:rsidR="004C4848" w:rsidRPr="00731AC9">
        <w:rPr>
          <w:rFonts w:ascii="Arial" w:hAnsi="Arial" w:cs="Arial"/>
        </w:rPr>
        <w:t>) but decreased with each older age group. It was 1</w:t>
      </w:r>
      <w:r w:rsidR="006A2851" w:rsidRPr="00731AC9">
        <w:rPr>
          <w:rFonts w:ascii="Arial" w:hAnsi="Arial" w:cs="Arial"/>
        </w:rPr>
        <w:t>1.7</w:t>
      </w:r>
      <w:r w:rsidR="00320E5D">
        <w:rPr>
          <w:rFonts w:ascii="Arial" w:hAnsi="Arial" w:cs="Arial"/>
        </w:rPr>
        <w:t xml:space="preserve"> per cent</w:t>
      </w:r>
      <w:r w:rsidR="004C4848" w:rsidRPr="00731AC9">
        <w:rPr>
          <w:rFonts w:ascii="Arial" w:hAnsi="Arial" w:cs="Arial"/>
        </w:rPr>
        <w:t xml:space="preserve"> for women aged 8</w:t>
      </w:r>
      <w:r w:rsidR="006A2851" w:rsidRPr="00731AC9">
        <w:rPr>
          <w:rFonts w:ascii="Arial" w:hAnsi="Arial" w:cs="Arial"/>
        </w:rPr>
        <w:t>5</w:t>
      </w:r>
      <w:r w:rsidR="004C4848" w:rsidRPr="00731AC9">
        <w:rPr>
          <w:rFonts w:ascii="Arial" w:hAnsi="Arial" w:cs="Arial"/>
        </w:rPr>
        <w:t xml:space="preserve"> </w:t>
      </w:r>
      <w:r w:rsidR="001B50BF">
        <w:rPr>
          <w:rFonts w:ascii="Arial" w:hAnsi="Arial" w:cs="Arial"/>
        </w:rPr>
        <w:t>or older</w:t>
      </w:r>
      <w:r w:rsidR="00DD3DAF">
        <w:rPr>
          <w:rFonts w:ascii="Arial" w:hAnsi="Arial" w:cs="Arial"/>
        </w:rPr>
        <w:t xml:space="preserve"> (Figure 13.12.1).</w:t>
      </w:r>
    </w:p>
    <w:p w14:paraId="063346EA" w14:textId="703CF256" w:rsidR="00F211C1" w:rsidRPr="00F211C1" w:rsidRDefault="004C4848" w:rsidP="00365619">
      <w:pPr>
        <w:spacing w:after="120" w:line="270" w:lineRule="atLeast"/>
        <w:ind w:left="-5" w:right="3"/>
        <w:rPr>
          <w:rFonts w:ascii="Arial" w:hAnsi="Arial" w:cs="Arial"/>
        </w:rPr>
      </w:pPr>
      <w:r w:rsidRPr="00F211C1">
        <w:rPr>
          <w:rFonts w:ascii="Arial" w:hAnsi="Arial" w:cs="Arial"/>
        </w:rPr>
        <w:t>Five-year survival was 4</w:t>
      </w:r>
      <w:r w:rsidR="006A2851" w:rsidRPr="00F211C1">
        <w:rPr>
          <w:rFonts w:ascii="Arial" w:hAnsi="Arial" w:cs="Arial"/>
        </w:rPr>
        <w:t>3.7</w:t>
      </w:r>
      <w:r w:rsidR="00320E5D" w:rsidRPr="00F211C1">
        <w:rPr>
          <w:rFonts w:ascii="Arial" w:hAnsi="Arial" w:cs="Arial"/>
        </w:rPr>
        <w:t xml:space="preserve"> per cent</w:t>
      </w:r>
      <w:r w:rsidRPr="00F211C1">
        <w:rPr>
          <w:rFonts w:ascii="Arial" w:hAnsi="Arial" w:cs="Arial"/>
        </w:rPr>
        <w:t xml:space="preserve"> in </w:t>
      </w:r>
      <w:r w:rsidR="00320E5D" w:rsidRPr="00F211C1">
        <w:rPr>
          <w:rFonts w:ascii="Arial" w:hAnsi="Arial" w:cs="Arial"/>
        </w:rPr>
        <w:t>m</w:t>
      </w:r>
      <w:r w:rsidRPr="00F211C1">
        <w:rPr>
          <w:rFonts w:ascii="Arial" w:hAnsi="Arial" w:cs="Arial"/>
        </w:rPr>
        <w:t xml:space="preserve">ajor cities, significantly higher than in </w:t>
      </w:r>
      <w:r w:rsidR="00320E5D" w:rsidRPr="00F211C1">
        <w:rPr>
          <w:rFonts w:ascii="Arial" w:hAnsi="Arial" w:cs="Arial"/>
        </w:rPr>
        <w:t>o</w:t>
      </w:r>
      <w:r w:rsidRPr="00F211C1">
        <w:rPr>
          <w:rFonts w:ascii="Arial" w:hAnsi="Arial" w:cs="Arial"/>
        </w:rPr>
        <w:t>uter regional</w:t>
      </w:r>
      <w:r w:rsidR="006A2851" w:rsidRPr="00F211C1">
        <w:rPr>
          <w:rFonts w:ascii="Arial" w:hAnsi="Arial" w:cs="Arial"/>
        </w:rPr>
        <w:t>/remote</w:t>
      </w:r>
      <w:r w:rsidRPr="00F211C1">
        <w:rPr>
          <w:rFonts w:ascii="Arial" w:hAnsi="Arial" w:cs="Arial"/>
          <w:i/>
        </w:rPr>
        <w:t xml:space="preserve"> </w:t>
      </w:r>
      <w:r w:rsidRPr="00F211C1">
        <w:rPr>
          <w:rFonts w:ascii="Arial" w:hAnsi="Arial" w:cs="Arial"/>
        </w:rPr>
        <w:t>areas (3</w:t>
      </w:r>
      <w:r w:rsidR="006A2851" w:rsidRPr="00F211C1">
        <w:rPr>
          <w:rFonts w:ascii="Arial" w:hAnsi="Arial" w:cs="Arial"/>
        </w:rPr>
        <w:t>0.3</w:t>
      </w:r>
      <w:r w:rsidR="00320E5D" w:rsidRPr="00F211C1">
        <w:rPr>
          <w:rFonts w:ascii="Arial" w:hAnsi="Arial" w:cs="Arial"/>
        </w:rPr>
        <w:t xml:space="preserve"> per cent</w:t>
      </w:r>
      <w:r w:rsidRPr="00F211C1">
        <w:rPr>
          <w:rFonts w:ascii="Arial" w:hAnsi="Arial" w:cs="Arial"/>
        </w:rPr>
        <w:t>).</w:t>
      </w:r>
      <w:r w:rsidR="00952FC7">
        <w:rPr>
          <w:rFonts w:ascii="Arial" w:hAnsi="Arial" w:cs="Arial"/>
        </w:rPr>
        <w:t xml:space="preserve"> </w:t>
      </w:r>
      <w:r w:rsidR="006A2851" w:rsidRPr="00F211C1">
        <w:rPr>
          <w:rFonts w:ascii="Arial" w:hAnsi="Arial" w:cs="Arial"/>
        </w:rPr>
        <w:t xml:space="preserve">The same pattern emerged for </w:t>
      </w:r>
      <w:r w:rsidR="008869C1">
        <w:rPr>
          <w:rFonts w:ascii="Arial" w:hAnsi="Arial" w:cs="Arial"/>
        </w:rPr>
        <w:t>five-y</w:t>
      </w:r>
      <w:r w:rsidR="006A2851" w:rsidRPr="00F211C1">
        <w:rPr>
          <w:rFonts w:ascii="Arial" w:hAnsi="Arial" w:cs="Arial"/>
        </w:rPr>
        <w:t>ear survival with</w:t>
      </w:r>
      <w:r w:rsidR="002465BD">
        <w:rPr>
          <w:rFonts w:ascii="Arial" w:hAnsi="Arial" w:cs="Arial"/>
        </w:rPr>
        <w:t>in</w:t>
      </w:r>
      <w:r w:rsidR="00213D7F">
        <w:rPr>
          <w:rFonts w:ascii="Arial" w:hAnsi="Arial" w:cs="Arial"/>
        </w:rPr>
        <w:t xml:space="preserve"> metropolitan</w:t>
      </w:r>
      <w:r w:rsidR="006A2851" w:rsidRPr="00F211C1">
        <w:rPr>
          <w:rFonts w:ascii="Arial" w:hAnsi="Arial" w:cs="Arial"/>
        </w:rPr>
        <w:t xml:space="preserve"> ICSs</w:t>
      </w:r>
      <w:r w:rsidR="00213D7F">
        <w:rPr>
          <w:rFonts w:ascii="Arial" w:hAnsi="Arial" w:cs="Arial"/>
        </w:rPr>
        <w:t xml:space="preserve">. </w:t>
      </w:r>
      <w:r w:rsidR="00731AC9" w:rsidRPr="00F211C1">
        <w:rPr>
          <w:rFonts w:ascii="Arial" w:hAnsi="Arial" w:cs="Arial"/>
        </w:rPr>
        <w:t xml:space="preserve">For example, </w:t>
      </w:r>
      <w:r w:rsidR="009D0E1A">
        <w:rPr>
          <w:rFonts w:ascii="Arial" w:hAnsi="Arial" w:cs="Arial"/>
        </w:rPr>
        <w:t>five</w:t>
      </w:r>
      <w:r w:rsidR="00731AC9" w:rsidRPr="00F211C1">
        <w:rPr>
          <w:rFonts w:ascii="Arial" w:hAnsi="Arial" w:cs="Arial"/>
        </w:rPr>
        <w:t>-year survival for</w:t>
      </w:r>
      <w:r w:rsidR="00F211C1" w:rsidRPr="00F211C1">
        <w:rPr>
          <w:rFonts w:ascii="Arial" w:hAnsi="Arial" w:cs="Arial"/>
        </w:rPr>
        <w:t xml:space="preserve"> </w:t>
      </w:r>
      <w:r w:rsidR="004230EA">
        <w:rPr>
          <w:rFonts w:ascii="Arial" w:hAnsi="Arial" w:cs="Arial"/>
        </w:rPr>
        <w:t>metropolitan</w:t>
      </w:r>
      <w:r w:rsidR="00F211C1" w:rsidRPr="00F211C1">
        <w:rPr>
          <w:rFonts w:ascii="Arial" w:hAnsi="Arial" w:cs="Arial"/>
        </w:rPr>
        <w:t xml:space="preserve"> ICS</w:t>
      </w:r>
      <w:r w:rsidR="00F32968">
        <w:rPr>
          <w:rFonts w:ascii="Arial" w:hAnsi="Arial" w:cs="Arial"/>
        </w:rPr>
        <w:t>s</w:t>
      </w:r>
      <w:r w:rsidR="00F211C1" w:rsidRPr="00F211C1">
        <w:rPr>
          <w:rFonts w:ascii="Arial" w:hAnsi="Arial" w:cs="Arial"/>
        </w:rPr>
        <w:t xml:space="preserve"> such as SMICS</w:t>
      </w:r>
      <w:r w:rsidR="00F32968">
        <w:rPr>
          <w:rFonts w:ascii="Arial" w:hAnsi="Arial" w:cs="Arial"/>
        </w:rPr>
        <w:t xml:space="preserve"> and</w:t>
      </w:r>
      <w:r w:rsidR="00F211C1" w:rsidRPr="00F211C1">
        <w:rPr>
          <w:rFonts w:ascii="Arial" w:hAnsi="Arial" w:cs="Arial"/>
        </w:rPr>
        <w:t xml:space="preserve"> WCMICS</w:t>
      </w:r>
      <w:r w:rsidR="00F211C1">
        <w:rPr>
          <w:rFonts w:ascii="Arial" w:hAnsi="Arial" w:cs="Arial"/>
        </w:rPr>
        <w:t xml:space="preserve"> were higher (44 per cent and 44.6 per cent respectively) compared </w:t>
      </w:r>
      <w:r w:rsidR="001B50BF">
        <w:rPr>
          <w:rFonts w:ascii="Arial" w:hAnsi="Arial" w:cs="Arial"/>
        </w:rPr>
        <w:t xml:space="preserve">with </w:t>
      </w:r>
      <w:r w:rsidR="00F211C1">
        <w:rPr>
          <w:rFonts w:ascii="Arial" w:hAnsi="Arial" w:cs="Arial"/>
        </w:rPr>
        <w:t>their rural counterparts such as LMICS (30.1 per cent) (Figure 13.12.1)</w:t>
      </w:r>
      <w:r w:rsidR="005E0D67">
        <w:rPr>
          <w:rFonts w:ascii="Arial" w:hAnsi="Arial" w:cs="Arial"/>
        </w:rPr>
        <w:t>.</w:t>
      </w:r>
    </w:p>
    <w:p w14:paraId="36E65EE6" w14:textId="777C2301" w:rsidR="00CA067E" w:rsidRDefault="00094392" w:rsidP="001A2A05">
      <w:pPr>
        <w:spacing w:after="120" w:line="270" w:lineRule="atLeast"/>
        <w:ind w:left="-5" w:right="3"/>
        <w:rPr>
          <w:rFonts w:ascii="Arial" w:hAnsi="Arial" w:cs="Arial"/>
        </w:rPr>
      </w:pPr>
      <w:r>
        <w:rPr>
          <w:rFonts w:ascii="Arial" w:hAnsi="Arial" w:cs="Arial"/>
        </w:rPr>
        <w:t>T</w:t>
      </w:r>
      <w:r w:rsidR="00F211C1" w:rsidRPr="004B4B01">
        <w:rPr>
          <w:rFonts w:ascii="Arial" w:hAnsi="Arial" w:cs="Arial"/>
        </w:rPr>
        <w:t xml:space="preserve">here was a fluctuating gradient of </w:t>
      </w:r>
      <w:r w:rsidR="009F2A1D" w:rsidRPr="004B4B01">
        <w:rPr>
          <w:rFonts w:ascii="Arial" w:hAnsi="Arial" w:cs="Arial"/>
        </w:rPr>
        <w:t xml:space="preserve">survival with greater </w:t>
      </w:r>
      <w:r w:rsidR="002C35B2">
        <w:rPr>
          <w:rFonts w:ascii="Arial" w:hAnsi="Arial" w:cs="Arial"/>
        </w:rPr>
        <w:t>socioeconomic</w:t>
      </w:r>
      <w:r w:rsidR="009F2A1D" w:rsidRPr="004B4B01">
        <w:rPr>
          <w:rFonts w:ascii="Arial" w:hAnsi="Arial" w:cs="Arial"/>
        </w:rPr>
        <w:t xml:space="preserve"> disadvantage. </w:t>
      </w:r>
      <w:r w:rsidR="004B4B01" w:rsidRPr="004B4B01">
        <w:rPr>
          <w:rFonts w:ascii="Arial" w:hAnsi="Arial" w:cs="Arial"/>
        </w:rPr>
        <w:t>Five-</w:t>
      </w:r>
      <w:r w:rsidR="009F2A1D" w:rsidRPr="004B4B01">
        <w:rPr>
          <w:rFonts w:ascii="Arial" w:hAnsi="Arial" w:cs="Arial"/>
        </w:rPr>
        <w:t xml:space="preserve">year survival was </w:t>
      </w:r>
      <w:r w:rsidR="004B4B01" w:rsidRPr="004B4B01">
        <w:rPr>
          <w:rFonts w:ascii="Arial" w:hAnsi="Arial" w:cs="Arial"/>
        </w:rPr>
        <w:t>47.2 per cent</w:t>
      </w:r>
      <w:r w:rsidR="009F2A1D" w:rsidRPr="004B4B01">
        <w:rPr>
          <w:rFonts w:ascii="Arial" w:hAnsi="Arial" w:cs="Arial"/>
        </w:rPr>
        <w:t xml:space="preserve"> in the highest </w:t>
      </w:r>
      <w:r w:rsidR="002C35B2">
        <w:rPr>
          <w:rFonts w:ascii="Arial" w:hAnsi="Arial" w:cs="Arial"/>
        </w:rPr>
        <w:t>socioeconomic</w:t>
      </w:r>
      <w:r w:rsidR="009F2A1D" w:rsidRPr="004B4B01">
        <w:rPr>
          <w:rFonts w:ascii="Arial" w:hAnsi="Arial" w:cs="Arial"/>
        </w:rPr>
        <w:t xml:space="preserve"> quintile </w:t>
      </w:r>
      <w:r w:rsidR="004B4B01" w:rsidRPr="004B4B01">
        <w:rPr>
          <w:rFonts w:ascii="Arial" w:hAnsi="Arial" w:cs="Arial"/>
        </w:rPr>
        <w:t>(Q</w:t>
      </w:r>
      <w:r w:rsidR="002465BD">
        <w:rPr>
          <w:rFonts w:ascii="Arial" w:hAnsi="Arial" w:cs="Arial"/>
        </w:rPr>
        <w:t xml:space="preserve"> </w:t>
      </w:r>
      <w:r w:rsidR="004B4B01" w:rsidRPr="004B4B01">
        <w:rPr>
          <w:rFonts w:ascii="Arial" w:hAnsi="Arial" w:cs="Arial"/>
        </w:rPr>
        <w:t xml:space="preserve">5) </w:t>
      </w:r>
      <w:r w:rsidR="009F2A1D" w:rsidRPr="004B4B01">
        <w:rPr>
          <w:rFonts w:ascii="Arial" w:hAnsi="Arial" w:cs="Arial"/>
        </w:rPr>
        <w:t xml:space="preserve">compared with </w:t>
      </w:r>
      <w:r w:rsidR="004B4B01" w:rsidRPr="004B4B01">
        <w:rPr>
          <w:rFonts w:ascii="Arial" w:hAnsi="Arial" w:cs="Arial"/>
        </w:rPr>
        <w:t>40.9 per cent</w:t>
      </w:r>
      <w:r w:rsidR="009F2A1D" w:rsidRPr="004B4B01">
        <w:rPr>
          <w:rFonts w:ascii="Arial" w:hAnsi="Arial" w:cs="Arial"/>
        </w:rPr>
        <w:t xml:space="preserve"> in the lowest</w:t>
      </w:r>
      <w:r w:rsidR="004B4B01" w:rsidRPr="004B4B01">
        <w:rPr>
          <w:rFonts w:ascii="Arial" w:hAnsi="Arial" w:cs="Arial"/>
        </w:rPr>
        <w:t xml:space="preserve"> (Q</w:t>
      </w:r>
      <w:r w:rsidR="002465BD">
        <w:rPr>
          <w:rFonts w:ascii="Arial" w:hAnsi="Arial" w:cs="Arial"/>
        </w:rPr>
        <w:t xml:space="preserve"> </w:t>
      </w:r>
      <w:r w:rsidR="004B4B01" w:rsidRPr="004B4B01">
        <w:rPr>
          <w:rFonts w:ascii="Arial" w:hAnsi="Arial" w:cs="Arial"/>
        </w:rPr>
        <w:t>1)</w:t>
      </w:r>
      <w:r w:rsidR="005E0D67">
        <w:rPr>
          <w:rFonts w:ascii="Arial" w:hAnsi="Arial" w:cs="Arial"/>
        </w:rPr>
        <w:t xml:space="preserve"> (Figure 13.12.1).</w:t>
      </w:r>
    </w:p>
    <w:p w14:paraId="7CEEB32C" w14:textId="0D6D2FD1" w:rsidR="005C15AA" w:rsidRPr="004856A3" w:rsidRDefault="005F72D6" w:rsidP="00D75DF3">
      <w:pPr>
        <w:pStyle w:val="Heading3"/>
        <w:rPr>
          <w:rStyle w:val="Heading3Char"/>
        </w:rPr>
      </w:pPr>
      <w:bookmarkStart w:id="901" w:name="_Measure_13.13_–"/>
      <w:bookmarkEnd w:id="901"/>
      <w:r w:rsidRPr="00DB4009">
        <w:br w:type="page"/>
      </w:r>
      <w:bookmarkStart w:id="902" w:name="_Toc19008182"/>
      <w:r w:rsidR="005C15AA" w:rsidRPr="00D75DF3">
        <w:rPr>
          <w:rStyle w:val="Heading3Char"/>
          <w:b/>
          <w:bCs/>
        </w:rPr>
        <w:lastRenderedPageBreak/>
        <w:t xml:space="preserve">Measure 13.13 – </w:t>
      </w:r>
      <w:r w:rsidR="00A4158A" w:rsidRPr="00D75DF3">
        <w:rPr>
          <w:rStyle w:val="Heading3Char"/>
          <w:b/>
          <w:bCs/>
        </w:rPr>
        <w:t xml:space="preserve">Five-year </w:t>
      </w:r>
      <w:r w:rsidR="00707755" w:rsidRPr="00D75DF3">
        <w:rPr>
          <w:rStyle w:val="Heading3Char"/>
          <w:b/>
          <w:bCs/>
        </w:rPr>
        <w:t xml:space="preserve">relative </w:t>
      </w:r>
      <w:r w:rsidR="00A4158A" w:rsidRPr="00D75DF3">
        <w:rPr>
          <w:rStyle w:val="Heading3Char"/>
          <w:b/>
          <w:bCs/>
        </w:rPr>
        <w:t>survival from colorectal cancer</w:t>
      </w:r>
      <w:r w:rsidR="00B771EB" w:rsidRPr="00D75DF3">
        <w:rPr>
          <w:rStyle w:val="Heading3Char"/>
          <w:b/>
          <w:bCs/>
        </w:rPr>
        <w:t xml:space="preserve"> (C18</w:t>
      </w:r>
      <w:r w:rsidR="009D0E1A" w:rsidRPr="00D75DF3">
        <w:rPr>
          <w:rStyle w:val="Heading3Char"/>
          <w:b/>
          <w:bCs/>
        </w:rPr>
        <w:t>–</w:t>
      </w:r>
      <w:r w:rsidR="00B771EB" w:rsidRPr="00D75DF3">
        <w:rPr>
          <w:rStyle w:val="Heading3Char"/>
          <w:b/>
          <w:bCs/>
        </w:rPr>
        <w:t>20)</w:t>
      </w:r>
      <w:bookmarkEnd w:id="902"/>
    </w:p>
    <w:p w14:paraId="6C5C924C" w14:textId="2F033525" w:rsidR="00466489" w:rsidRDefault="005641A3" w:rsidP="00D75DF3">
      <w:pPr>
        <w:pStyle w:val="DHHSfigurecaption"/>
      </w:pPr>
      <w:bookmarkStart w:id="903" w:name="_Toc19008183"/>
      <w:bookmarkStart w:id="904" w:name="_Toc19008378"/>
      <w:bookmarkStart w:id="905" w:name="_Toc19008525"/>
      <w:bookmarkStart w:id="906" w:name="_Toc19008672"/>
      <w:bookmarkStart w:id="907" w:name="_Toc27414380"/>
      <w:r>
        <w:t>Figure 13.13</w:t>
      </w:r>
      <w:r w:rsidR="009D0E1A">
        <w:t>:</w:t>
      </w:r>
      <w:r>
        <w:t xml:space="preserve"> Five</w:t>
      </w:r>
      <w:r w:rsidR="00AA5069">
        <w:t>-year relative survival from</w:t>
      </w:r>
      <w:r w:rsidR="003D6E20">
        <w:t xml:space="preserve"> colorectal</w:t>
      </w:r>
      <w:r w:rsidR="00466489" w:rsidRPr="00466489">
        <w:t xml:space="preserve"> cancer (nationally)</w:t>
      </w:r>
      <w:r w:rsidR="002465BD">
        <w:t>,</w:t>
      </w:r>
      <w:r w:rsidR="00466489" w:rsidRPr="00466489">
        <w:t xml:space="preserve"> by age and sex, 2010</w:t>
      </w:r>
      <w:r w:rsidR="009D0E1A">
        <w:t>–</w:t>
      </w:r>
      <w:r w:rsidR="00466489" w:rsidRPr="00466489">
        <w:t>2014</w:t>
      </w:r>
      <w:r w:rsidR="00466489" w:rsidRPr="00466489">
        <w:rPr>
          <w:rStyle w:val="FootnoteReference"/>
          <w:b w:val="0"/>
          <w:sz w:val="16"/>
          <w:szCs w:val="16"/>
          <w:lang w:eastAsia="en-AU"/>
        </w:rPr>
        <w:footnoteReference w:id="169"/>
      </w:r>
      <w:bookmarkEnd w:id="903"/>
      <w:bookmarkEnd w:id="904"/>
      <w:bookmarkEnd w:id="905"/>
      <w:bookmarkEnd w:id="906"/>
      <w:bookmarkEnd w:id="907"/>
    </w:p>
    <w:p w14:paraId="291A90B4" w14:textId="2B05D4D7" w:rsidR="000E574F" w:rsidRPr="000E574F" w:rsidRDefault="000E574F" w:rsidP="000E574F">
      <w:pPr>
        <w:pStyle w:val="DHHSbody"/>
      </w:pPr>
      <w:r>
        <w:rPr>
          <w:noProof/>
        </w:rPr>
        <w:drawing>
          <wp:inline distT="0" distB="0" distL="0" distR="0" wp14:anchorId="19C2FD12" wp14:editId="1793133B">
            <wp:extent cx="6799461" cy="3724275"/>
            <wp:effectExtent l="0" t="0" r="1905" b="0"/>
            <wp:docPr id="288" name="Picture 288" descr="This figure forms part of the section that is specific to Measure 13.13 - Five-year relative survival from colorectal cancer.  It shows the five-year relative survival from colorectal cancer (nationally)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821948" cy="3736592"/>
                    </a:xfrm>
                    <a:prstGeom prst="rect">
                      <a:avLst/>
                    </a:prstGeom>
                  </pic:spPr>
                </pic:pic>
              </a:graphicData>
            </a:graphic>
          </wp:inline>
        </w:drawing>
      </w:r>
    </w:p>
    <w:p w14:paraId="57809B83" w14:textId="07AF8B44"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4D51B9AA" w14:textId="72D624F9" w:rsidR="00466489" w:rsidRDefault="00466489" w:rsidP="005A5151">
      <w:pPr>
        <w:pStyle w:val="DHHStablefigurenote"/>
        <w:rPr>
          <w:lang w:val="en"/>
        </w:rPr>
      </w:pPr>
      <w:r w:rsidRPr="000A37BC">
        <w:rPr>
          <w:lang w:val="en"/>
        </w:rPr>
        <w:t>Note</w:t>
      </w:r>
      <w:r w:rsidR="00BE62B2">
        <w:rPr>
          <w:lang w:val="en"/>
        </w:rPr>
        <w:t>:</w:t>
      </w:r>
      <w:r w:rsidR="002465BD">
        <w:rPr>
          <w:lang w:val="en"/>
        </w:rPr>
        <w:t xml:space="preserve"> </w:t>
      </w:r>
      <w:r w:rsidRPr="000A37BC">
        <w:rPr>
          <w:lang w:val="en"/>
        </w:rPr>
        <w:t>Relative survival was calculated with the period method, using the period 2010–2014.</w:t>
      </w:r>
      <w:r w:rsidR="00952FC7">
        <w:rPr>
          <w:lang w:val="en"/>
        </w:rPr>
        <w:t xml:space="preserve"> </w:t>
      </w:r>
      <w:r w:rsidRPr="000A37BC">
        <w:rPr>
          <w:lang w:val="en"/>
        </w:rPr>
        <w:t xml:space="preserve">Note that this period does not contain incidence data for 2014 for </w:t>
      </w:r>
      <w:r w:rsidR="002465BD">
        <w:rPr>
          <w:lang w:val="en"/>
        </w:rPr>
        <w:t>New South Wales</w:t>
      </w:r>
      <w:r w:rsidR="002465BD" w:rsidRPr="000A37BC">
        <w:rPr>
          <w:lang w:val="en"/>
        </w:rPr>
        <w:t xml:space="preserve"> </w:t>
      </w:r>
      <w:r w:rsidRPr="000A37BC">
        <w:rPr>
          <w:lang w:val="en"/>
        </w:rPr>
        <w:t xml:space="preserve">because </w:t>
      </w:r>
      <w:r w:rsidR="002465BD">
        <w:rPr>
          <w:lang w:val="en"/>
        </w:rPr>
        <w:t xml:space="preserve">that </w:t>
      </w:r>
      <w:r>
        <w:rPr>
          <w:lang w:val="en"/>
        </w:rPr>
        <w:t xml:space="preserve">data </w:t>
      </w:r>
      <w:r w:rsidR="002465BD">
        <w:rPr>
          <w:lang w:val="en"/>
        </w:rPr>
        <w:t xml:space="preserve">was </w:t>
      </w:r>
      <w:r>
        <w:rPr>
          <w:lang w:val="en"/>
        </w:rPr>
        <w:t>un</w:t>
      </w:r>
      <w:r w:rsidRPr="000A37BC">
        <w:rPr>
          <w:lang w:val="en"/>
        </w:rPr>
        <w:t>available.</w:t>
      </w:r>
    </w:p>
    <w:p w14:paraId="3286ACC0" w14:textId="1CE77233" w:rsidR="002A2CBF" w:rsidRDefault="002A2CBF" w:rsidP="008D320F">
      <w:pPr>
        <w:pStyle w:val="DHHSfigurecaption"/>
      </w:pPr>
      <w:bookmarkStart w:id="908" w:name="_Toc19008184"/>
      <w:bookmarkStart w:id="909" w:name="_Toc19008379"/>
      <w:bookmarkStart w:id="910" w:name="_Toc19008526"/>
      <w:bookmarkStart w:id="911" w:name="_Toc19008673"/>
      <w:bookmarkStart w:id="912" w:name="_Toc27414381"/>
      <w:r w:rsidRPr="008A5FEF">
        <w:t>Figure 13.</w:t>
      </w:r>
      <w:r>
        <w:t>13</w:t>
      </w:r>
      <w:r w:rsidR="006D63F3">
        <w:t>.1</w:t>
      </w:r>
      <w:r w:rsidR="009D0E1A">
        <w:t>:</w:t>
      </w:r>
      <w:r>
        <w:t xml:space="preserve"> Five-year relative survival from colorectal cancer</w:t>
      </w:r>
      <w:r w:rsidR="00246BDF">
        <w:t>,</w:t>
      </w:r>
      <w:r>
        <w:t xml:space="preserve"> by age (A), remoteness (B)</w:t>
      </w:r>
      <w:r w:rsidR="00C20484">
        <w:t xml:space="preserve">, </w:t>
      </w:r>
      <w:r w:rsidR="00DE7FFE">
        <w:t>SES</w:t>
      </w:r>
      <w:r w:rsidR="00C20484">
        <w:t xml:space="preserve"> (C)</w:t>
      </w:r>
      <w:r>
        <w:t xml:space="preserve"> and </w:t>
      </w:r>
      <w:r w:rsidR="008439C8">
        <w:t>ICS</w:t>
      </w:r>
      <w:r>
        <w:t xml:space="preserve"> (</w:t>
      </w:r>
      <w:r w:rsidR="00C20484">
        <w:t>D</w:t>
      </w:r>
      <w:r>
        <w:t>), Victoria, 2010</w:t>
      </w:r>
      <w:r w:rsidR="009D0E1A">
        <w:t>–</w:t>
      </w:r>
      <w:r>
        <w:t>2014</w:t>
      </w:r>
      <w:bookmarkEnd w:id="908"/>
      <w:bookmarkEnd w:id="909"/>
      <w:bookmarkEnd w:id="910"/>
      <w:bookmarkEnd w:id="911"/>
      <w:bookmarkEnd w:id="912"/>
    </w:p>
    <w:p w14:paraId="509D7E8D" w14:textId="77777777" w:rsidR="00BD5FE5" w:rsidRDefault="00BD5FE5" w:rsidP="00160602">
      <w:pPr>
        <w:pStyle w:val="Heading4"/>
        <w:numPr>
          <w:ilvl w:val="0"/>
          <w:numId w:val="5"/>
        </w:numPr>
        <w:ind w:left="321" w:hanging="262"/>
        <w:rPr>
          <w:lang w:eastAsia="en-AU"/>
        </w:rPr>
        <w:sectPr w:rsidR="00BD5FE5" w:rsidSect="006116E6">
          <w:type w:val="continuous"/>
          <w:pgSz w:w="11906" w:h="16838"/>
          <w:pgMar w:top="1701" w:right="849" w:bottom="1134" w:left="426" w:header="454" w:footer="510" w:gutter="0"/>
          <w:cols w:space="720"/>
          <w:docGrid w:linePitch="360"/>
        </w:sectPr>
      </w:pPr>
    </w:p>
    <w:p w14:paraId="17DEB575" w14:textId="2C18DB30" w:rsidR="009663AE" w:rsidRPr="00547A4F" w:rsidRDefault="009663AE" w:rsidP="00160602">
      <w:pPr>
        <w:pStyle w:val="DHHSbody"/>
        <w:numPr>
          <w:ilvl w:val="0"/>
          <w:numId w:val="5"/>
        </w:numPr>
        <w:ind w:left="357" w:hanging="357"/>
        <w:rPr>
          <w:b/>
          <w:bCs/>
          <w:lang w:eastAsia="en-AU"/>
        </w:rPr>
      </w:pPr>
      <w:r w:rsidRPr="00547A4F">
        <w:rPr>
          <w:b/>
          <w:bCs/>
          <w:lang w:eastAsia="en-AU"/>
        </w:rPr>
        <w:t>Age</w:t>
      </w:r>
    </w:p>
    <w:p w14:paraId="49415E2E" w14:textId="53A37B51" w:rsidR="009663AE" w:rsidRDefault="004110F6" w:rsidP="009663AE">
      <w:pPr>
        <w:pStyle w:val="DHHSbody"/>
        <w:rPr>
          <w:lang w:eastAsia="en-AU"/>
        </w:rPr>
      </w:pPr>
      <w:r>
        <w:rPr>
          <w:noProof/>
          <w:lang w:eastAsia="en-AU"/>
        </w:rPr>
        <w:drawing>
          <wp:inline distT="0" distB="0" distL="0" distR="0" wp14:anchorId="53A79507" wp14:editId="53A9A3EF">
            <wp:extent cx="3145790" cy="2346960"/>
            <wp:effectExtent l="0" t="0" r="0" b="0"/>
            <wp:docPr id="633" name="Picture 633" descr="This figure shows a data summary of 'Measure 13.13 – Five-year survival from colorectal cancer'. Specially this figure focuses on the five-year relative survival from colorectal cancer by age for the study period 2010-2014. The data set is available under 'Measure 13.13 – Fiv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145790" cy="2346960"/>
                    </a:xfrm>
                    <a:prstGeom prst="rect">
                      <a:avLst/>
                    </a:prstGeom>
                    <a:noFill/>
                  </pic:spPr>
                </pic:pic>
              </a:graphicData>
            </a:graphic>
          </wp:inline>
        </w:drawing>
      </w:r>
    </w:p>
    <w:p w14:paraId="4342131F" w14:textId="155BCAF0" w:rsidR="00BD5FE5" w:rsidRDefault="00BD5FE5" w:rsidP="00160602">
      <w:pPr>
        <w:pStyle w:val="DHHSbody"/>
        <w:keepNext/>
        <w:numPr>
          <w:ilvl w:val="0"/>
          <w:numId w:val="5"/>
        </w:numPr>
        <w:ind w:left="357" w:hanging="357"/>
        <w:rPr>
          <w:b/>
          <w:bCs/>
          <w:lang w:eastAsia="en-AU"/>
        </w:rPr>
      </w:pPr>
      <w:r w:rsidRPr="00BD5FE5">
        <w:rPr>
          <w:b/>
          <w:bCs/>
          <w:lang w:eastAsia="en-AU"/>
        </w:rPr>
        <w:t>Remoteness</w:t>
      </w:r>
    </w:p>
    <w:p w14:paraId="7D8519B3" w14:textId="6590909E" w:rsidR="00BD5FE5" w:rsidRDefault="00ED6DB3" w:rsidP="00BD5FE5">
      <w:pPr>
        <w:pStyle w:val="DHHSbody"/>
        <w:rPr>
          <w:b/>
          <w:bCs/>
          <w:lang w:eastAsia="en-AU"/>
        </w:rPr>
      </w:pPr>
      <w:r>
        <w:rPr>
          <w:b/>
          <w:bCs/>
          <w:noProof/>
          <w:lang w:eastAsia="en-AU"/>
        </w:rPr>
        <w:drawing>
          <wp:inline distT="0" distB="0" distL="0" distR="0" wp14:anchorId="078DD959" wp14:editId="3EC4FA39">
            <wp:extent cx="3152140" cy="2548255"/>
            <wp:effectExtent l="0" t="0" r="0" b="4445"/>
            <wp:docPr id="634" name="Picture 634" descr="This figure shows a data summary of 'Measure 13.13 – Five-year survival from colorectal cancer'. Specially this figure focuses on the five-year relative survival from colorectal cancer by remoteness for the study period 2010-2014. The data set is available under 'Measure 13.13 – Fiv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152140" cy="2548255"/>
                    </a:xfrm>
                    <a:prstGeom prst="rect">
                      <a:avLst/>
                    </a:prstGeom>
                    <a:noFill/>
                  </pic:spPr>
                </pic:pic>
              </a:graphicData>
            </a:graphic>
          </wp:inline>
        </w:drawing>
      </w:r>
    </w:p>
    <w:p w14:paraId="18AD0E14" w14:textId="77777777" w:rsidR="00BD5FE5" w:rsidRDefault="00BD5FE5" w:rsidP="00BD5FE5">
      <w:pPr>
        <w:pStyle w:val="DHHSbody"/>
        <w:ind w:left="720"/>
        <w:rPr>
          <w:b/>
          <w:bCs/>
          <w:lang w:eastAsia="en-AU"/>
        </w:rPr>
        <w:sectPr w:rsidR="00BD5FE5" w:rsidSect="00547A4F">
          <w:type w:val="continuous"/>
          <w:pgSz w:w="11906" w:h="16838"/>
          <w:pgMar w:top="1701" w:right="851" w:bottom="1134" w:left="425" w:header="454" w:footer="510" w:gutter="0"/>
          <w:cols w:num="2" w:space="720"/>
          <w:docGrid w:linePitch="360"/>
        </w:sectPr>
      </w:pPr>
    </w:p>
    <w:p w14:paraId="177A43CB" w14:textId="77777777" w:rsidR="009663AE" w:rsidRDefault="009663AE">
      <w:pPr>
        <w:rPr>
          <w:rFonts w:ascii="Arial" w:eastAsia="Times" w:hAnsi="Arial"/>
          <w:b/>
          <w:highlight w:val="lightGray"/>
        </w:rPr>
      </w:pPr>
      <w:r>
        <w:rPr>
          <w:b/>
          <w:highlight w:val="lightGray"/>
        </w:rPr>
        <w:br w:type="page"/>
      </w:r>
    </w:p>
    <w:p w14:paraId="16012017" w14:textId="77777777" w:rsidR="003B2982" w:rsidRDefault="003B2982" w:rsidP="00160602">
      <w:pPr>
        <w:pStyle w:val="DHHSbody"/>
        <w:numPr>
          <w:ilvl w:val="0"/>
          <w:numId w:val="43"/>
        </w:numPr>
        <w:ind w:left="284" w:hanging="284"/>
        <w:rPr>
          <w:b/>
          <w:lang w:eastAsia="en-AU"/>
        </w:rPr>
        <w:sectPr w:rsidR="003B2982" w:rsidSect="006116E6">
          <w:type w:val="continuous"/>
          <w:pgSz w:w="11906" w:h="16838"/>
          <w:pgMar w:top="1701" w:right="849" w:bottom="1134" w:left="426" w:header="454" w:footer="510" w:gutter="0"/>
          <w:cols w:space="720"/>
          <w:docGrid w:linePitch="360"/>
        </w:sectPr>
      </w:pPr>
    </w:p>
    <w:p w14:paraId="73FE59BB" w14:textId="78DECA3B" w:rsidR="009663AE" w:rsidRDefault="009663AE" w:rsidP="00160602">
      <w:pPr>
        <w:pStyle w:val="DHHSbody"/>
        <w:numPr>
          <w:ilvl w:val="0"/>
          <w:numId w:val="43"/>
        </w:numPr>
        <w:ind w:left="357" w:hanging="357"/>
        <w:rPr>
          <w:b/>
          <w:lang w:eastAsia="en-AU"/>
        </w:rPr>
      </w:pPr>
      <w:r>
        <w:rPr>
          <w:b/>
          <w:lang w:eastAsia="en-AU"/>
        </w:rPr>
        <w:lastRenderedPageBreak/>
        <w:t>Socioeconomic status</w:t>
      </w:r>
    </w:p>
    <w:p w14:paraId="7614D28F" w14:textId="6854E3E6" w:rsidR="009663AE" w:rsidRDefault="00ED6DB3" w:rsidP="00547A4F">
      <w:pPr>
        <w:pStyle w:val="DHHSbody"/>
        <w:tabs>
          <w:tab w:val="left" w:pos="4962"/>
        </w:tabs>
        <w:rPr>
          <w:b/>
          <w:lang w:eastAsia="en-AU"/>
        </w:rPr>
      </w:pPr>
      <w:r>
        <w:rPr>
          <w:b/>
          <w:noProof/>
          <w:lang w:eastAsia="en-AU"/>
        </w:rPr>
        <w:drawing>
          <wp:inline distT="0" distB="0" distL="0" distR="0" wp14:anchorId="4A041DCA" wp14:editId="54F1EFE4">
            <wp:extent cx="3139440" cy="2280285"/>
            <wp:effectExtent l="0" t="0" r="3810" b="5715"/>
            <wp:docPr id="635" name="Picture 635" descr="This figure shows a data summary of 'Measure 13.13 – Five-year survival from colorectal cancer'. Specially this figure focuses on the five-year relative survival from colorectal cancer by socioeconomic status for the study period 2010-2014. The data set is available under 'Measure 13.13 – Fiv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139440" cy="2280285"/>
                    </a:xfrm>
                    <a:prstGeom prst="rect">
                      <a:avLst/>
                    </a:prstGeom>
                    <a:noFill/>
                  </pic:spPr>
                </pic:pic>
              </a:graphicData>
            </a:graphic>
          </wp:inline>
        </w:drawing>
      </w:r>
    </w:p>
    <w:p w14:paraId="2C38755E" w14:textId="4C55C44A" w:rsidR="003B2982" w:rsidRDefault="003B2982" w:rsidP="00160602">
      <w:pPr>
        <w:pStyle w:val="DHHSbody"/>
        <w:keepNext/>
        <w:numPr>
          <w:ilvl w:val="0"/>
          <w:numId w:val="43"/>
        </w:numPr>
        <w:ind w:left="357" w:hanging="357"/>
        <w:rPr>
          <w:b/>
          <w:lang w:eastAsia="en-AU"/>
        </w:rPr>
      </w:pPr>
      <w:r>
        <w:rPr>
          <w:b/>
          <w:lang w:eastAsia="en-AU"/>
        </w:rPr>
        <w:t>Integrated Cancer Service</w:t>
      </w:r>
    </w:p>
    <w:p w14:paraId="11583176" w14:textId="16ACC6F2" w:rsidR="003B2982" w:rsidRDefault="00ED6DB3" w:rsidP="003B2982">
      <w:pPr>
        <w:pStyle w:val="DHHSbody"/>
        <w:rPr>
          <w:b/>
          <w:lang w:eastAsia="en-AU"/>
        </w:rPr>
      </w:pPr>
      <w:r>
        <w:rPr>
          <w:b/>
          <w:noProof/>
          <w:lang w:eastAsia="en-AU"/>
        </w:rPr>
        <w:drawing>
          <wp:inline distT="0" distB="0" distL="0" distR="0" wp14:anchorId="2A5EF7AA" wp14:editId="68B20EE5">
            <wp:extent cx="3133725" cy="2536190"/>
            <wp:effectExtent l="0" t="0" r="9525" b="0"/>
            <wp:docPr id="636" name="Picture 636" descr="This figure shows a data summary of 'Measure 13.13 – Five-year survival from colorectal cancer'. Specially this figure focuses on the five-year relative survival from colorectal cancer by Integrated Cancer Service for the study period 2010-2014. The data set is available under 'Measure 13.13 – Five-year survival from colorectal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33725" cy="2536190"/>
                    </a:xfrm>
                    <a:prstGeom prst="rect">
                      <a:avLst/>
                    </a:prstGeom>
                    <a:noFill/>
                  </pic:spPr>
                </pic:pic>
              </a:graphicData>
            </a:graphic>
          </wp:inline>
        </w:drawing>
      </w:r>
    </w:p>
    <w:p w14:paraId="502FD7E1" w14:textId="77777777" w:rsidR="003B2982" w:rsidRDefault="003B2982" w:rsidP="003B2982">
      <w:pPr>
        <w:pStyle w:val="DHHSbody"/>
        <w:ind w:left="720"/>
        <w:rPr>
          <w:b/>
          <w:lang w:eastAsia="en-AU"/>
        </w:rPr>
        <w:sectPr w:rsidR="003B2982" w:rsidSect="00547A4F">
          <w:type w:val="continuous"/>
          <w:pgSz w:w="11906" w:h="16838"/>
          <w:pgMar w:top="1701" w:right="851" w:bottom="1134" w:left="425" w:header="454" w:footer="510" w:gutter="0"/>
          <w:cols w:num="2" w:space="720"/>
          <w:docGrid w:linePitch="360"/>
        </w:sectPr>
      </w:pPr>
    </w:p>
    <w:p w14:paraId="5FCDD007" w14:textId="77777777" w:rsidR="009663AE" w:rsidRDefault="009663AE" w:rsidP="005A5151">
      <w:pPr>
        <w:pStyle w:val="DHHStablefigurenote"/>
      </w:pPr>
      <w:r w:rsidRPr="00514E0F">
        <w:t xml:space="preserve">Notes: </w:t>
      </w:r>
    </w:p>
    <w:p w14:paraId="75B278A0" w14:textId="77777777" w:rsidR="009663AE" w:rsidRPr="00CD71E6" w:rsidRDefault="009663AE" w:rsidP="005A5151">
      <w:pPr>
        <w:pStyle w:val="DHHStablefigurenote"/>
      </w:pPr>
      <w:r>
        <w:t>Analysis for the age group 0–14 years was excluded because of low numbers.</w:t>
      </w:r>
    </w:p>
    <w:p w14:paraId="5ACA9B64" w14:textId="77777777" w:rsidR="009663AE" w:rsidRDefault="009663AE" w:rsidP="005A5151">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29B8428A" w14:textId="77777777" w:rsidR="009663AE" w:rsidRPr="000305B1" w:rsidRDefault="009663AE" w:rsidP="005A5151">
      <w:pPr>
        <w:pStyle w:val="DHHStablefigurenote"/>
        <w:rPr>
          <w:b/>
        </w:rPr>
      </w:pPr>
      <w:r w:rsidRPr="00514E0F">
        <w:t>Remoteness is classified according to the Australian Standard Geo</w:t>
      </w:r>
      <w:r>
        <w:t>graphical Classification (ASGC) Remoteness Areas.</w:t>
      </w:r>
    </w:p>
    <w:p w14:paraId="5F4F1EBF" w14:textId="1B93EA99" w:rsidR="009663AE" w:rsidRDefault="009663AE" w:rsidP="005A5151">
      <w:pPr>
        <w:pStyle w:val="DHHStablefigurenote"/>
      </w:pPr>
      <w:r>
        <w:t>SES</w:t>
      </w:r>
      <w:r w:rsidRPr="000305B1">
        <w:t xml:space="preserve"> is classified according to the ABS Socioeconomic Indexes for Areas (SEIFA) Index of Relative Socio-economic Disadvantage – 1= lowest and 5 = highest.</w:t>
      </w:r>
    </w:p>
    <w:p w14:paraId="149BB172" w14:textId="7CAB2A51" w:rsidR="00DC2D82" w:rsidRPr="00DC2D82" w:rsidRDefault="00DC2D82" w:rsidP="005A5151">
      <w:pPr>
        <w:pStyle w:val="DHHStablefigurenote"/>
      </w:pPr>
      <w:r w:rsidRPr="0073300D">
        <w:t>Appendix 2 provides the dataset</w:t>
      </w:r>
      <w:r>
        <w:t>.</w:t>
      </w:r>
    </w:p>
    <w:p w14:paraId="534C976F" w14:textId="49E6F9C2" w:rsidR="00CD628B" w:rsidRPr="00671C7A" w:rsidRDefault="00CD628B" w:rsidP="00365619">
      <w:pPr>
        <w:pStyle w:val="Heading4"/>
        <w:spacing w:before="0" w:line="270" w:lineRule="atLeast"/>
        <w:rPr>
          <w:lang w:eastAsia="en-AU"/>
        </w:rPr>
      </w:pPr>
      <w:r>
        <w:rPr>
          <w:lang w:eastAsia="en-AU"/>
        </w:rPr>
        <w:t>Measure assessment</w:t>
      </w:r>
    </w:p>
    <w:p w14:paraId="4D4E217D" w14:textId="5F0E67CF" w:rsidR="00026CF2" w:rsidRPr="00F270EA" w:rsidRDefault="00CD628B" w:rsidP="00F270E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964859" w:rsidRPr="00026CF2">
        <w:rPr>
          <w:rFonts w:ascii="Arial" w:hAnsi="Arial" w:cs="Arial"/>
          <w:b/>
          <w:color w:val="C5511A"/>
        </w:rPr>
        <w:t>Amber</w:t>
      </w:r>
      <w:r w:rsidR="003B2982">
        <w:rPr>
          <w:rFonts w:ascii="Arial" w:hAnsi="Arial" w:cs="Arial"/>
          <w:b/>
          <w:color w:val="C5511A"/>
        </w:rPr>
        <w:t xml:space="preserve"> </w:t>
      </w:r>
      <w:r w:rsidR="00026CF2" w:rsidRPr="00EA3932">
        <w:rPr>
          <w:rFonts w:ascii="Arial" w:hAnsi="Arial" w:cs="Arial"/>
          <w:color w:val="C5511A"/>
        </w:rPr>
        <w:t>(desired result not yet evident)</w:t>
      </w:r>
    </w:p>
    <w:p w14:paraId="6F61A85A" w14:textId="207457D6" w:rsidR="00CD628B" w:rsidRDefault="00CD628B" w:rsidP="00F270EA">
      <w:pPr>
        <w:spacing w:after="120" w:line="270" w:lineRule="atLeast"/>
        <w:rPr>
          <w:rFonts w:ascii="Arial" w:hAnsi="Arial" w:cs="Arial"/>
        </w:rPr>
      </w:pPr>
      <w:r>
        <w:rPr>
          <w:rFonts w:ascii="Arial" w:hAnsi="Arial" w:cs="Arial"/>
        </w:rPr>
        <w:t xml:space="preserve">Overall trend: </w:t>
      </w:r>
      <w:r w:rsidR="00964859">
        <w:rPr>
          <w:rFonts w:ascii="Arial" w:hAnsi="Arial" w:cs="Arial"/>
        </w:rPr>
        <w:t xml:space="preserve">Could </w:t>
      </w:r>
      <w:r w:rsidR="005F5BC9">
        <w:rPr>
          <w:rFonts w:ascii="Arial" w:hAnsi="Arial" w:cs="Arial"/>
        </w:rPr>
        <w:t xml:space="preserve">not </w:t>
      </w:r>
      <w:r w:rsidR="00964859">
        <w:rPr>
          <w:rFonts w:ascii="Arial" w:hAnsi="Arial" w:cs="Arial"/>
        </w:rPr>
        <w:t>be calculated due to only one data point (2010</w:t>
      </w:r>
      <w:r w:rsidR="00CA6D80">
        <w:rPr>
          <w:rFonts w:ascii="Arial" w:hAnsi="Arial" w:cs="Arial"/>
        </w:rPr>
        <w:t>–</w:t>
      </w:r>
      <w:r w:rsidR="00964859">
        <w:rPr>
          <w:rFonts w:ascii="Arial" w:hAnsi="Arial" w:cs="Arial"/>
        </w:rPr>
        <w:t>2014)</w:t>
      </w:r>
    </w:p>
    <w:p w14:paraId="310321AD" w14:textId="172A4AE9" w:rsidR="00F8653D" w:rsidRDefault="00CD628B" w:rsidP="00F270EA">
      <w:pPr>
        <w:pStyle w:val="DHHSbody"/>
        <w:rPr>
          <w:rFonts w:cs="Arial"/>
          <w:lang w:eastAsia="en-AU"/>
        </w:rPr>
      </w:pPr>
      <w:r w:rsidRPr="00AF7428">
        <w:rPr>
          <w:rFonts w:cs="Arial"/>
          <w:lang w:eastAsia="en-AU"/>
        </w:rPr>
        <w:t>Commentary:</w:t>
      </w:r>
      <w:r w:rsidR="000E3280">
        <w:rPr>
          <w:rFonts w:cs="Arial"/>
          <w:lang w:eastAsia="en-AU"/>
        </w:rPr>
        <w:t xml:space="preserve"> </w:t>
      </w:r>
      <w:r w:rsidR="000E3280" w:rsidRPr="00A13FFF">
        <w:rPr>
          <w:lang w:eastAsia="en-AU"/>
        </w:rPr>
        <w:t xml:space="preserve">In 2010–2014, Australians diagnosed </w:t>
      </w:r>
      <w:r w:rsidR="000E3280">
        <w:rPr>
          <w:lang w:eastAsia="en-AU"/>
        </w:rPr>
        <w:t xml:space="preserve">with </w:t>
      </w:r>
      <w:r w:rsidR="006B2B80">
        <w:rPr>
          <w:lang w:eastAsia="en-AU"/>
        </w:rPr>
        <w:t>CRC</w:t>
      </w:r>
      <w:r w:rsidR="000E3280">
        <w:rPr>
          <w:lang w:eastAsia="en-AU"/>
        </w:rPr>
        <w:t xml:space="preserve"> had a 69 per cent</w:t>
      </w:r>
      <w:r w:rsidR="000E3280" w:rsidRPr="00A13FFF">
        <w:rPr>
          <w:lang w:eastAsia="en-AU"/>
        </w:rPr>
        <w:t xml:space="preserve"> chance of surviving</w:t>
      </w:r>
      <w:r w:rsidR="007A0191">
        <w:rPr>
          <w:lang w:eastAsia="en-AU"/>
        </w:rPr>
        <w:t xml:space="preserve"> for</w:t>
      </w:r>
      <w:r w:rsidR="000E3280" w:rsidRPr="00A13FFF">
        <w:rPr>
          <w:lang w:eastAsia="en-AU"/>
        </w:rPr>
        <w:t xml:space="preserve"> </w:t>
      </w:r>
      <w:r w:rsidR="009D0E1A">
        <w:rPr>
          <w:lang w:eastAsia="en-AU"/>
        </w:rPr>
        <w:t>five</w:t>
      </w:r>
      <w:r w:rsidR="000E3280" w:rsidRPr="00A13FFF">
        <w:rPr>
          <w:lang w:eastAsia="en-AU"/>
        </w:rPr>
        <w:t xml:space="preserve"> years compared with their counterparts in t</w:t>
      </w:r>
      <w:r w:rsidR="000E3280">
        <w:rPr>
          <w:lang w:eastAsia="en-AU"/>
        </w:rPr>
        <w:t>he general population (Figure 13.13)</w:t>
      </w:r>
      <w:r w:rsidR="000E3280" w:rsidRPr="00A13FFF">
        <w:rPr>
          <w:lang w:eastAsia="en-AU"/>
        </w:rPr>
        <w:t xml:space="preserve">. </w:t>
      </w:r>
      <w:r w:rsidR="000E3280" w:rsidRPr="00F8653D">
        <w:rPr>
          <w:lang w:eastAsia="en-AU"/>
        </w:rPr>
        <w:t xml:space="preserve">This was the highest </w:t>
      </w:r>
      <w:r w:rsidR="00CA6D80">
        <w:rPr>
          <w:lang w:eastAsia="en-AU"/>
        </w:rPr>
        <w:t>five</w:t>
      </w:r>
      <w:r w:rsidR="000E3280" w:rsidRPr="00F8653D">
        <w:rPr>
          <w:lang w:eastAsia="en-AU"/>
        </w:rPr>
        <w:t>-year relative survival rate of all digestive-tract cancers and was similar to all cancers combined (69</w:t>
      </w:r>
      <w:r w:rsidR="00F8653D" w:rsidRPr="00F8653D">
        <w:rPr>
          <w:lang w:eastAsia="en-AU"/>
        </w:rPr>
        <w:t xml:space="preserve"> per cent – Measure 13.9</w:t>
      </w:r>
      <w:r w:rsidR="000E3280" w:rsidRPr="00F8653D">
        <w:rPr>
          <w:lang w:eastAsia="en-AU"/>
        </w:rPr>
        <w:t>).</w:t>
      </w:r>
      <w:r w:rsidR="00F8653D">
        <w:rPr>
          <w:lang w:eastAsia="en-AU"/>
        </w:rPr>
        <w:t xml:space="preserve"> </w:t>
      </w:r>
      <w:r w:rsidR="00F8653D" w:rsidRPr="00F8653D">
        <w:rPr>
          <w:rFonts w:cs="Arial"/>
          <w:lang w:eastAsia="en-AU"/>
        </w:rPr>
        <w:t xml:space="preserve">Males </w:t>
      </w:r>
      <w:r w:rsidR="004B67C4">
        <w:rPr>
          <w:rFonts w:cs="Arial"/>
          <w:lang w:eastAsia="en-AU"/>
        </w:rPr>
        <w:t xml:space="preserve">(69 per cent) </w:t>
      </w:r>
      <w:r w:rsidR="00F8653D" w:rsidRPr="00F8653D">
        <w:rPr>
          <w:rFonts w:cs="Arial"/>
          <w:lang w:eastAsia="en-AU"/>
        </w:rPr>
        <w:t>and females</w:t>
      </w:r>
      <w:r w:rsidR="004B67C4">
        <w:rPr>
          <w:rFonts w:cs="Arial"/>
          <w:lang w:eastAsia="en-AU"/>
        </w:rPr>
        <w:t xml:space="preserve"> (70 per cent)</w:t>
      </w:r>
      <w:r w:rsidR="00F8653D" w:rsidRPr="00F8653D">
        <w:rPr>
          <w:rFonts w:cs="Arial"/>
          <w:lang w:eastAsia="en-AU"/>
        </w:rPr>
        <w:t xml:space="preserve"> had similar </w:t>
      </w:r>
      <w:r w:rsidR="009D0E1A">
        <w:rPr>
          <w:rFonts w:cs="Arial"/>
          <w:lang w:eastAsia="en-AU"/>
        </w:rPr>
        <w:t>five</w:t>
      </w:r>
      <w:r w:rsidR="00F8653D" w:rsidRPr="00F8653D">
        <w:rPr>
          <w:rFonts w:cs="Arial"/>
          <w:lang w:eastAsia="en-AU"/>
        </w:rPr>
        <w:t>-year relative survival rates</w:t>
      </w:r>
      <w:r w:rsidR="007A0191">
        <w:rPr>
          <w:rFonts w:cs="Arial"/>
          <w:lang w:eastAsia="en-AU"/>
        </w:rPr>
        <w:t>,</w:t>
      </w:r>
      <w:r w:rsidR="004B67C4">
        <w:rPr>
          <w:rFonts w:cs="Arial"/>
          <w:lang w:eastAsia="en-AU"/>
        </w:rPr>
        <w:t xml:space="preserve"> which decreased with age</w:t>
      </w:r>
      <w:r w:rsidR="00D575DB">
        <w:rPr>
          <w:rStyle w:val="FootnoteReference"/>
          <w:rFonts w:cs="Arial"/>
          <w:lang w:eastAsia="en-AU"/>
        </w:rPr>
        <w:footnoteReference w:id="170"/>
      </w:r>
      <w:r w:rsidR="004B67C4">
        <w:rPr>
          <w:rFonts w:cs="Arial"/>
          <w:lang w:eastAsia="en-AU"/>
        </w:rPr>
        <w:t xml:space="preserve"> (Figure 13.13).</w:t>
      </w:r>
    </w:p>
    <w:p w14:paraId="03D5A677" w14:textId="06EECB5B" w:rsidR="0018035B" w:rsidRPr="00B64550" w:rsidRDefault="006B2B80" w:rsidP="00365619">
      <w:pPr>
        <w:pStyle w:val="DHHSbody"/>
        <w:rPr>
          <w:rFonts w:cs="Arial"/>
          <w:lang w:eastAsia="en-AU"/>
        </w:rPr>
      </w:pPr>
      <w:r>
        <w:rPr>
          <w:rFonts w:cs="Arial"/>
          <w:lang w:eastAsia="en-AU"/>
        </w:rPr>
        <w:t xml:space="preserve">Victorians diagnosed with CRC had a slightly lower chance of surviving </w:t>
      </w:r>
      <w:r w:rsidR="009D0E1A">
        <w:rPr>
          <w:rFonts w:cs="Arial"/>
          <w:lang w:eastAsia="en-AU"/>
        </w:rPr>
        <w:t>five</w:t>
      </w:r>
      <w:r>
        <w:rPr>
          <w:rFonts w:cs="Arial"/>
          <w:lang w:eastAsia="en-AU"/>
        </w:rPr>
        <w:t xml:space="preserve"> years compared </w:t>
      </w:r>
      <w:r w:rsidR="001B50BF">
        <w:rPr>
          <w:rFonts w:cs="Arial"/>
          <w:lang w:eastAsia="en-AU"/>
        </w:rPr>
        <w:t xml:space="preserve">with </w:t>
      </w:r>
      <w:r>
        <w:rPr>
          <w:rFonts w:cs="Arial"/>
          <w:lang w:eastAsia="en-AU"/>
        </w:rPr>
        <w:t>the Australian average (68.1 per cent)</w:t>
      </w:r>
      <w:r w:rsidR="00B64550">
        <w:rPr>
          <w:rFonts w:cs="Arial"/>
          <w:lang w:eastAsia="en-AU"/>
        </w:rPr>
        <w:t xml:space="preserve">. </w:t>
      </w:r>
      <w:r w:rsidR="0018035B">
        <w:t>Five-year survival was 6</w:t>
      </w:r>
      <w:r w:rsidR="00B64550">
        <w:t xml:space="preserve">8.9 per cent </w:t>
      </w:r>
      <w:r w:rsidR="0018035B">
        <w:t>for females compared with 6</w:t>
      </w:r>
      <w:r w:rsidR="00B64550">
        <w:t>7.5 per cent</w:t>
      </w:r>
      <w:r w:rsidR="0018035B">
        <w:t xml:space="preserve"> for males. </w:t>
      </w:r>
    </w:p>
    <w:p w14:paraId="2021D297" w14:textId="7FBE3305" w:rsidR="00B64550" w:rsidRPr="0037269C" w:rsidRDefault="0018035B" w:rsidP="00365619">
      <w:pPr>
        <w:spacing w:after="120" w:line="270" w:lineRule="atLeast"/>
        <w:ind w:left="-5" w:right="3"/>
        <w:rPr>
          <w:rFonts w:ascii="Arial" w:hAnsi="Arial" w:cs="Arial"/>
        </w:rPr>
      </w:pPr>
      <w:r w:rsidRPr="00C46EDF">
        <w:rPr>
          <w:rFonts w:ascii="Arial" w:hAnsi="Arial" w:cs="Arial"/>
        </w:rPr>
        <w:t>Five-year survival did not vary much under the age of 7</w:t>
      </w:r>
      <w:r w:rsidR="00C46EDF" w:rsidRPr="00C46EDF">
        <w:rPr>
          <w:rFonts w:ascii="Arial" w:hAnsi="Arial" w:cs="Arial"/>
        </w:rPr>
        <w:t>4</w:t>
      </w:r>
      <w:r w:rsidR="00C46EDF">
        <w:rPr>
          <w:rFonts w:ascii="Arial" w:hAnsi="Arial" w:cs="Arial"/>
        </w:rPr>
        <w:t xml:space="preserve"> </w:t>
      </w:r>
      <w:r w:rsidRPr="00C46EDF">
        <w:rPr>
          <w:rFonts w:ascii="Arial" w:hAnsi="Arial" w:cs="Arial"/>
        </w:rPr>
        <w:t>but dropped to 6</w:t>
      </w:r>
      <w:r w:rsidR="00C46EDF" w:rsidRPr="00C46EDF">
        <w:rPr>
          <w:rFonts w:ascii="Arial" w:hAnsi="Arial" w:cs="Arial"/>
        </w:rPr>
        <w:t xml:space="preserve">4.1 per cent </w:t>
      </w:r>
      <w:r w:rsidRPr="00C46EDF">
        <w:rPr>
          <w:rFonts w:ascii="Arial" w:hAnsi="Arial" w:cs="Arial"/>
        </w:rPr>
        <w:t>for those</w:t>
      </w:r>
      <w:r w:rsidR="00C46EDF" w:rsidRPr="00C46EDF">
        <w:rPr>
          <w:rFonts w:ascii="Arial" w:hAnsi="Arial" w:cs="Arial"/>
        </w:rPr>
        <w:t xml:space="preserve"> aged 75</w:t>
      </w:r>
      <w:r w:rsidR="009D0E1A">
        <w:rPr>
          <w:rFonts w:ascii="Arial" w:hAnsi="Arial" w:cs="Arial"/>
        </w:rPr>
        <w:t>–</w:t>
      </w:r>
      <w:r w:rsidR="00C46EDF" w:rsidRPr="00C46EDF">
        <w:rPr>
          <w:rFonts w:ascii="Arial" w:hAnsi="Arial" w:cs="Arial"/>
        </w:rPr>
        <w:t xml:space="preserve">84 years </w:t>
      </w:r>
      <w:r w:rsidRPr="00C46EDF">
        <w:rPr>
          <w:rFonts w:ascii="Arial" w:hAnsi="Arial" w:cs="Arial"/>
        </w:rPr>
        <w:t xml:space="preserve">and to </w:t>
      </w:r>
      <w:r w:rsidR="00C46EDF" w:rsidRPr="00C46EDF">
        <w:rPr>
          <w:rFonts w:ascii="Arial" w:hAnsi="Arial" w:cs="Arial"/>
        </w:rPr>
        <w:t>55.8 per cent</w:t>
      </w:r>
      <w:r w:rsidRPr="00C46EDF">
        <w:rPr>
          <w:rFonts w:ascii="Arial" w:hAnsi="Arial" w:cs="Arial"/>
        </w:rPr>
        <w:t xml:space="preserve"> for those aged 8</w:t>
      </w:r>
      <w:r w:rsidR="00C46EDF" w:rsidRPr="00C46EDF">
        <w:rPr>
          <w:rFonts w:ascii="Arial" w:hAnsi="Arial" w:cs="Arial"/>
        </w:rPr>
        <w:t>5</w:t>
      </w:r>
      <w:r w:rsidRPr="00C46EDF">
        <w:rPr>
          <w:rFonts w:ascii="Arial" w:hAnsi="Arial" w:cs="Arial"/>
        </w:rPr>
        <w:t xml:space="preserve"> </w:t>
      </w:r>
      <w:r w:rsidR="001B50BF">
        <w:rPr>
          <w:rFonts w:ascii="Arial" w:hAnsi="Arial" w:cs="Arial"/>
        </w:rPr>
        <w:t>or older</w:t>
      </w:r>
      <w:r w:rsidRPr="00C46EDF">
        <w:rPr>
          <w:rFonts w:ascii="Arial" w:hAnsi="Arial" w:cs="Arial"/>
        </w:rPr>
        <w:t xml:space="preserve">. </w:t>
      </w:r>
    </w:p>
    <w:p w14:paraId="186BD89E" w14:textId="43DC9147" w:rsidR="00B64550" w:rsidRPr="00346262" w:rsidRDefault="0018035B" w:rsidP="00365619">
      <w:pPr>
        <w:spacing w:after="120" w:line="270" w:lineRule="atLeast"/>
        <w:ind w:left="-5" w:right="3"/>
        <w:rPr>
          <w:rFonts w:ascii="Arial" w:hAnsi="Arial" w:cs="Arial"/>
        </w:rPr>
      </w:pPr>
      <w:r w:rsidRPr="00346262">
        <w:rPr>
          <w:rFonts w:ascii="Arial" w:hAnsi="Arial" w:cs="Arial"/>
        </w:rPr>
        <w:t xml:space="preserve">Survival varied by remoteness area: </w:t>
      </w:r>
      <w:r w:rsidR="009D0E1A">
        <w:rPr>
          <w:rFonts w:ascii="Arial" w:hAnsi="Arial" w:cs="Arial"/>
        </w:rPr>
        <w:t>five</w:t>
      </w:r>
      <w:r w:rsidRPr="00346262">
        <w:rPr>
          <w:rFonts w:ascii="Arial" w:hAnsi="Arial" w:cs="Arial"/>
        </w:rPr>
        <w:t xml:space="preserve">-year survival was higher in </w:t>
      </w:r>
      <w:r w:rsidR="00BE62B2">
        <w:rPr>
          <w:rFonts w:ascii="Arial" w:hAnsi="Arial" w:cs="Arial"/>
        </w:rPr>
        <w:t>m</w:t>
      </w:r>
      <w:r w:rsidRPr="00346262">
        <w:rPr>
          <w:rFonts w:ascii="Arial" w:hAnsi="Arial" w:cs="Arial"/>
        </w:rPr>
        <w:t>ajor cities (6</w:t>
      </w:r>
      <w:r w:rsidR="00C46EDF" w:rsidRPr="00346262">
        <w:rPr>
          <w:rFonts w:ascii="Arial" w:hAnsi="Arial" w:cs="Arial"/>
        </w:rPr>
        <w:t>8.6 per cent</w:t>
      </w:r>
      <w:r w:rsidRPr="00346262">
        <w:rPr>
          <w:rFonts w:ascii="Arial" w:hAnsi="Arial" w:cs="Arial"/>
        </w:rPr>
        <w:t xml:space="preserve">) than in </w:t>
      </w:r>
      <w:r w:rsidR="007A0191">
        <w:rPr>
          <w:rFonts w:ascii="Arial" w:hAnsi="Arial" w:cs="Arial"/>
        </w:rPr>
        <w:t>i</w:t>
      </w:r>
      <w:r w:rsidRPr="00346262">
        <w:rPr>
          <w:rFonts w:ascii="Arial" w:hAnsi="Arial" w:cs="Arial"/>
        </w:rPr>
        <w:t>nner regional</w:t>
      </w:r>
      <w:r w:rsidRPr="00346262">
        <w:rPr>
          <w:rFonts w:ascii="Arial" w:hAnsi="Arial" w:cs="Arial"/>
          <w:i/>
        </w:rPr>
        <w:t xml:space="preserve"> </w:t>
      </w:r>
      <w:r w:rsidRPr="00346262">
        <w:rPr>
          <w:rFonts w:ascii="Arial" w:hAnsi="Arial" w:cs="Arial"/>
        </w:rPr>
        <w:t>(6</w:t>
      </w:r>
      <w:r w:rsidR="00C46EDF" w:rsidRPr="00346262">
        <w:rPr>
          <w:rFonts w:ascii="Arial" w:hAnsi="Arial" w:cs="Arial"/>
        </w:rPr>
        <w:t>7.9 per cent</w:t>
      </w:r>
      <w:r w:rsidRPr="00346262">
        <w:rPr>
          <w:rFonts w:ascii="Arial" w:hAnsi="Arial" w:cs="Arial"/>
        </w:rPr>
        <w:t xml:space="preserve">) and </w:t>
      </w:r>
      <w:r w:rsidR="00BE62B2">
        <w:rPr>
          <w:rFonts w:ascii="Arial" w:hAnsi="Arial" w:cs="Arial"/>
        </w:rPr>
        <w:t>o</w:t>
      </w:r>
      <w:r w:rsidRPr="00346262">
        <w:rPr>
          <w:rFonts w:ascii="Arial" w:hAnsi="Arial" w:cs="Arial"/>
        </w:rPr>
        <w:t>uter regional</w:t>
      </w:r>
      <w:r w:rsidR="00C46EDF" w:rsidRPr="00346262">
        <w:rPr>
          <w:rFonts w:ascii="Arial" w:hAnsi="Arial" w:cs="Arial"/>
        </w:rPr>
        <w:t>/remote</w:t>
      </w:r>
      <w:r w:rsidRPr="00346262">
        <w:rPr>
          <w:rFonts w:ascii="Arial" w:hAnsi="Arial" w:cs="Arial"/>
          <w:i/>
        </w:rPr>
        <w:t xml:space="preserve"> </w:t>
      </w:r>
      <w:r w:rsidRPr="00346262">
        <w:rPr>
          <w:rFonts w:ascii="Arial" w:hAnsi="Arial" w:cs="Arial"/>
        </w:rPr>
        <w:t>(</w:t>
      </w:r>
      <w:r w:rsidR="00C46EDF" w:rsidRPr="00346262">
        <w:rPr>
          <w:rFonts w:ascii="Arial" w:hAnsi="Arial" w:cs="Arial"/>
        </w:rPr>
        <w:t>64.1 per cent</w:t>
      </w:r>
      <w:r w:rsidRPr="00346262">
        <w:rPr>
          <w:rFonts w:ascii="Arial" w:hAnsi="Arial" w:cs="Arial"/>
        </w:rPr>
        <w:t>) areas.</w:t>
      </w:r>
      <w:r w:rsidR="00952FC7">
        <w:rPr>
          <w:rFonts w:ascii="Arial" w:hAnsi="Arial" w:cs="Arial"/>
        </w:rPr>
        <w:t xml:space="preserve"> </w:t>
      </w:r>
      <w:r w:rsidR="00C66C3C" w:rsidRPr="00346262">
        <w:rPr>
          <w:rFonts w:ascii="Arial" w:hAnsi="Arial" w:cs="Arial"/>
        </w:rPr>
        <w:t>This was also reflected in the survival rates between ICS</w:t>
      </w:r>
      <w:r w:rsidR="00A7704B">
        <w:rPr>
          <w:rFonts w:ascii="Arial" w:hAnsi="Arial" w:cs="Arial"/>
        </w:rPr>
        <w:t>,</w:t>
      </w:r>
      <w:r w:rsidR="00C66C3C" w:rsidRPr="00346262">
        <w:rPr>
          <w:rFonts w:ascii="Arial" w:hAnsi="Arial" w:cs="Arial"/>
        </w:rPr>
        <w:t xml:space="preserve"> with </w:t>
      </w:r>
      <w:r w:rsidR="00346262">
        <w:rPr>
          <w:rFonts w:ascii="Arial" w:hAnsi="Arial" w:cs="Arial"/>
        </w:rPr>
        <w:t>urban</w:t>
      </w:r>
      <w:r w:rsidR="00C66C3C" w:rsidRPr="00346262">
        <w:rPr>
          <w:rFonts w:ascii="Arial" w:hAnsi="Arial" w:cs="Arial"/>
        </w:rPr>
        <w:t xml:space="preserve"> ICS such as NEMICS</w:t>
      </w:r>
      <w:r w:rsidR="006D63F3">
        <w:rPr>
          <w:rFonts w:ascii="Arial" w:hAnsi="Arial" w:cs="Arial"/>
        </w:rPr>
        <w:t xml:space="preserve"> (69.7 per cent) </w:t>
      </w:r>
      <w:r w:rsidR="00C66C3C" w:rsidRPr="00346262">
        <w:rPr>
          <w:rFonts w:ascii="Arial" w:hAnsi="Arial" w:cs="Arial"/>
        </w:rPr>
        <w:t>and</w:t>
      </w:r>
      <w:r w:rsidR="00346262" w:rsidRPr="00346262">
        <w:rPr>
          <w:rFonts w:ascii="Arial" w:hAnsi="Arial" w:cs="Arial"/>
        </w:rPr>
        <w:t xml:space="preserve"> SMICS </w:t>
      </w:r>
      <w:r w:rsidR="006D63F3">
        <w:rPr>
          <w:rFonts w:ascii="Arial" w:hAnsi="Arial" w:cs="Arial"/>
        </w:rPr>
        <w:t xml:space="preserve">(70.5 per cent) </w:t>
      </w:r>
      <w:r w:rsidR="00A7704B">
        <w:rPr>
          <w:rFonts w:ascii="Arial" w:hAnsi="Arial" w:cs="Arial"/>
        </w:rPr>
        <w:t xml:space="preserve">higher </w:t>
      </w:r>
      <w:r w:rsidR="00346262" w:rsidRPr="00346262">
        <w:rPr>
          <w:rFonts w:ascii="Arial" w:hAnsi="Arial" w:cs="Arial"/>
        </w:rPr>
        <w:t xml:space="preserve">compared </w:t>
      </w:r>
      <w:r w:rsidR="001B50BF">
        <w:rPr>
          <w:rFonts w:ascii="Arial" w:hAnsi="Arial" w:cs="Arial"/>
        </w:rPr>
        <w:t>with</w:t>
      </w:r>
      <w:r w:rsidR="001B50BF" w:rsidRPr="00346262">
        <w:rPr>
          <w:rFonts w:ascii="Arial" w:hAnsi="Arial" w:cs="Arial"/>
        </w:rPr>
        <w:t xml:space="preserve"> </w:t>
      </w:r>
      <w:r w:rsidR="00346262" w:rsidRPr="00346262">
        <w:rPr>
          <w:rFonts w:ascii="Arial" w:hAnsi="Arial" w:cs="Arial"/>
        </w:rPr>
        <w:t>their rural</w:t>
      </w:r>
      <w:r w:rsidR="006D63F3">
        <w:rPr>
          <w:rFonts w:ascii="Arial" w:hAnsi="Arial" w:cs="Arial"/>
        </w:rPr>
        <w:t xml:space="preserve"> </w:t>
      </w:r>
      <w:r w:rsidR="00346262" w:rsidRPr="00346262">
        <w:rPr>
          <w:rFonts w:ascii="Arial" w:hAnsi="Arial" w:cs="Arial"/>
        </w:rPr>
        <w:t xml:space="preserve">counterparts </w:t>
      </w:r>
      <w:r w:rsidR="006D63F3">
        <w:rPr>
          <w:rFonts w:ascii="Arial" w:hAnsi="Arial" w:cs="Arial"/>
        </w:rPr>
        <w:t>such as GRICS (63.9 per cent) (Figure 13.13.1)</w:t>
      </w:r>
      <w:r w:rsidR="008316CE">
        <w:rPr>
          <w:rFonts w:ascii="Arial" w:hAnsi="Arial" w:cs="Arial"/>
        </w:rPr>
        <w:t>.</w:t>
      </w:r>
    </w:p>
    <w:p w14:paraId="1396333B" w14:textId="043825D8" w:rsidR="0092202A" w:rsidRDefault="00F24648" w:rsidP="00F24648">
      <w:pPr>
        <w:spacing w:after="120" w:line="270" w:lineRule="atLeast"/>
        <w:ind w:left="-5" w:right="3"/>
        <w:rPr>
          <w:rFonts w:ascii="Arial" w:hAnsi="Arial" w:cs="Arial"/>
        </w:rPr>
      </w:pPr>
      <w:r>
        <w:rPr>
          <w:rFonts w:ascii="Arial" w:hAnsi="Arial" w:cs="Arial"/>
        </w:rPr>
        <w:t xml:space="preserve">Five-year survival </w:t>
      </w:r>
      <w:r w:rsidR="0018035B" w:rsidRPr="00346262">
        <w:rPr>
          <w:rFonts w:ascii="Arial" w:hAnsi="Arial" w:cs="Arial"/>
        </w:rPr>
        <w:t xml:space="preserve">decreased with greater </w:t>
      </w:r>
      <w:r w:rsidR="002C35B2">
        <w:rPr>
          <w:rFonts w:ascii="Arial" w:hAnsi="Arial" w:cs="Arial"/>
        </w:rPr>
        <w:t>socioeconomic</w:t>
      </w:r>
      <w:r w:rsidR="0018035B" w:rsidRPr="00346262">
        <w:rPr>
          <w:rFonts w:ascii="Arial" w:hAnsi="Arial" w:cs="Arial"/>
        </w:rPr>
        <w:t xml:space="preserve"> disadvantage</w:t>
      </w:r>
      <w:r>
        <w:rPr>
          <w:rFonts w:ascii="Arial" w:hAnsi="Arial" w:cs="Arial"/>
        </w:rPr>
        <w:t>;</w:t>
      </w:r>
      <w:r w:rsidR="0018035B" w:rsidRPr="00346262">
        <w:rPr>
          <w:rFonts w:ascii="Arial" w:hAnsi="Arial" w:cs="Arial"/>
        </w:rPr>
        <w:t xml:space="preserve"> </w:t>
      </w:r>
      <w:r>
        <w:rPr>
          <w:rFonts w:ascii="Arial" w:hAnsi="Arial" w:cs="Arial"/>
        </w:rPr>
        <w:t>f</w:t>
      </w:r>
      <w:r w:rsidR="0018035B" w:rsidRPr="00346262">
        <w:rPr>
          <w:rFonts w:ascii="Arial" w:hAnsi="Arial" w:cs="Arial"/>
        </w:rPr>
        <w:t>ive-year survival was</w:t>
      </w:r>
      <w:r>
        <w:rPr>
          <w:rFonts w:ascii="Arial" w:hAnsi="Arial" w:cs="Arial"/>
        </w:rPr>
        <w:t xml:space="preserve"> 74.9 per cent i</w:t>
      </w:r>
      <w:r w:rsidR="0018035B" w:rsidRPr="00346262">
        <w:rPr>
          <w:rFonts w:ascii="Arial" w:hAnsi="Arial" w:cs="Arial"/>
        </w:rPr>
        <w:t>n</w:t>
      </w:r>
      <w:r>
        <w:rPr>
          <w:rFonts w:ascii="Arial" w:hAnsi="Arial" w:cs="Arial"/>
        </w:rPr>
        <w:t xml:space="preserve"> </w:t>
      </w:r>
      <w:r w:rsidR="0018035B" w:rsidRPr="00346262">
        <w:rPr>
          <w:rFonts w:ascii="Arial" w:hAnsi="Arial" w:cs="Arial"/>
        </w:rPr>
        <w:t>the</w:t>
      </w:r>
      <w:r>
        <w:rPr>
          <w:rFonts w:ascii="Arial" w:hAnsi="Arial" w:cs="Arial"/>
        </w:rPr>
        <w:t xml:space="preserve"> </w:t>
      </w:r>
      <w:r w:rsidR="0018035B" w:rsidRPr="00346262">
        <w:rPr>
          <w:rFonts w:ascii="Arial" w:hAnsi="Arial" w:cs="Arial"/>
        </w:rPr>
        <w:t xml:space="preserve">highest </w:t>
      </w:r>
      <w:r w:rsidR="002C35B2">
        <w:rPr>
          <w:rFonts w:ascii="Arial" w:hAnsi="Arial" w:cs="Arial"/>
        </w:rPr>
        <w:t>socioeconomic</w:t>
      </w:r>
      <w:r w:rsidR="0018035B" w:rsidRPr="00346262">
        <w:rPr>
          <w:rFonts w:ascii="Arial" w:hAnsi="Arial" w:cs="Arial"/>
        </w:rPr>
        <w:t xml:space="preserve"> quintile </w:t>
      </w:r>
      <w:r>
        <w:rPr>
          <w:rFonts w:ascii="Arial" w:hAnsi="Arial" w:cs="Arial"/>
        </w:rPr>
        <w:t xml:space="preserve">and 61.2 per cent in the </w:t>
      </w:r>
      <w:r w:rsidR="0018035B" w:rsidRPr="00346262">
        <w:rPr>
          <w:rFonts w:ascii="Arial" w:hAnsi="Arial" w:cs="Arial"/>
        </w:rPr>
        <w:t xml:space="preserve">lowest </w:t>
      </w:r>
      <w:r w:rsidR="002C35B2">
        <w:rPr>
          <w:rFonts w:ascii="Arial" w:hAnsi="Arial" w:cs="Arial"/>
        </w:rPr>
        <w:t>socioeconomic</w:t>
      </w:r>
      <w:r w:rsidR="0018035B" w:rsidRPr="00346262">
        <w:rPr>
          <w:rFonts w:ascii="Arial" w:hAnsi="Arial" w:cs="Arial"/>
        </w:rPr>
        <w:t xml:space="preserve"> quintiles </w:t>
      </w:r>
      <w:r w:rsidR="006D63F3">
        <w:rPr>
          <w:rFonts w:ascii="Arial" w:hAnsi="Arial" w:cs="Arial"/>
        </w:rPr>
        <w:t>(Figure 13.13.1)</w:t>
      </w:r>
      <w:r w:rsidR="0092202A">
        <w:rPr>
          <w:rFonts w:ascii="Arial" w:hAnsi="Arial" w:cs="Arial"/>
        </w:rPr>
        <w:t>.</w:t>
      </w:r>
    </w:p>
    <w:p w14:paraId="0A14A8BC" w14:textId="77777777" w:rsidR="0092202A" w:rsidRDefault="0092202A">
      <w:pPr>
        <w:rPr>
          <w:rStyle w:val="Heading3Char"/>
        </w:rPr>
      </w:pPr>
      <w:r>
        <w:rPr>
          <w:rStyle w:val="Heading3Char"/>
        </w:rPr>
        <w:br w:type="page"/>
      </w:r>
    </w:p>
    <w:p w14:paraId="44CBF5D2" w14:textId="791086EA" w:rsidR="005C15AA" w:rsidRPr="0092202A" w:rsidRDefault="005C15AA" w:rsidP="0092202A">
      <w:pPr>
        <w:pStyle w:val="Heading3"/>
        <w:rPr>
          <w:rStyle w:val="Heading3Char"/>
          <w:b/>
          <w:bCs/>
        </w:rPr>
      </w:pPr>
      <w:bookmarkStart w:id="913" w:name="_Measure_13.14_–"/>
      <w:bookmarkEnd w:id="913"/>
      <w:r w:rsidRPr="0092202A">
        <w:rPr>
          <w:rStyle w:val="Heading3Char"/>
          <w:b/>
          <w:bCs/>
        </w:rPr>
        <w:lastRenderedPageBreak/>
        <w:t xml:space="preserve">Measure 13.14 – </w:t>
      </w:r>
      <w:r w:rsidR="00A4158A" w:rsidRPr="0092202A">
        <w:rPr>
          <w:rStyle w:val="Heading3Char"/>
          <w:b/>
          <w:bCs/>
        </w:rPr>
        <w:t xml:space="preserve">Five-year </w:t>
      </w:r>
      <w:r w:rsidR="00707755" w:rsidRPr="0092202A">
        <w:rPr>
          <w:rStyle w:val="Heading3Char"/>
          <w:b/>
          <w:bCs/>
        </w:rPr>
        <w:t xml:space="preserve">relative </w:t>
      </w:r>
      <w:r w:rsidR="00A4158A" w:rsidRPr="0092202A">
        <w:rPr>
          <w:rStyle w:val="Heading3Char"/>
          <w:b/>
          <w:bCs/>
        </w:rPr>
        <w:t>survival from brain cancer</w:t>
      </w:r>
      <w:r w:rsidR="00B771EB" w:rsidRPr="0092202A">
        <w:rPr>
          <w:rStyle w:val="Heading3Char"/>
          <w:b/>
          <w:bCs/>
        </w:rPr>
        <w:t xml:space="preserve"> (C71)</w:t>
      </w:r>
    </w:p>
    <w:p w14:paraId="5FA245DD" w14:textId="61E33BCE" w:rsidR="00F64CCE" w:rsidRDefault="005641A3" w:rsidP="008D320F">
      <w:pPr>
        <w:pStyle w:val="DHHSfigurecaption"/>
      </w:pPr>
      <w:bookmarkStart w:id="914" w:name="_Toc19008185"/>
      <w:bookmarkStart w:id="915" w:name="_Toc19008380"/>
      <w:bookmarkStart w:id="916" w:name="_Toc19008527"/>
      <w:bookmarkStart w:id="917" w:name="_Toc19008674"/>
      <w:bookmarkStart w:id="918" w:name="_Toc27414382"/>
      <w:r>
        <w:t>Figure 13.14</w:t>
      </w:r>
      <w:r w:rsidR="009D0E1A">
        <w:t>:</w:t>
      </w:r>
      <w:r>
        <w:t xml:space="preserve"> Five</w:t>
      </w:r>
      <w:r w:rsidR="00AA5069">
        <w:t>-year relative survival from</w:t>
      </w:r>
      <w:r w:rsidR="00F64CCE" w:rsidRPr="006C654C">
        <w:t xml:space="preserve"> </w:t>
      </w:r>
      <w:r w:rsidR="00F64CCE">
        <w:t>brain cancer</w:t>
      </w:r>
      <w:r w:rsidR="00F64CCE" w:rsidRPr="006C654C">
        <w:t xml:space="preserve"> (nationally)</w:t>
      </w:r>
      <w:r w:rsidR="00A7704B">
        <w:t>,</w:t>
      </w:r>
      <w:r w:rsidR="00F64CCE" w:rsidRPr="006C654C">
        <w:t xml:space="preserve"> by age and sex, 2010</w:t>
      </w:r>
      <w:r w:rsidR="009D0E1A">
        <w:t>–</w:t>
      </w:r>
      <w:r w:rsidR="00F64CCE" w:rsidRPr="006C654C">
        <w:t>2014</w:t>
      </w:r>
      <w:r w:rsidR="00F64CCE" w:rsidRPr="00466489">
        <w:rPr>
          <w:rStyle w:val="FootnoteReference"/>
          <w:b w:val="0"/>
          <w:sz w:val="16"/>
          <w:szCs w:val="16"/>
          <w:lang w:eastAsia="en-AU"/>
        </w:rPr>
        <w:footnoteReference w:id="171"/>
      </w:r>
      <w:bookmarkEnd w:id="914"/>
      <w:bookmarkEnd w:id="915"/>
      <w:bookmarkEnd w:id="916"/>
      <w:bookmarkEnd w:id="917"/>
      <w:bookmarkEnd w:id="918"/>
    </w:p>
    <w:p w14:paraId="0C8EEB3D" w14:textId="2ED6BE9C" w:rsidR="002877F8" w:rsidRPr="002877F8" w:rsidRDefault="002877F8" w:rsidP="002877F8">
      <w:pPr>
        <w:pStyle w:val="DHHSbody"/>
      </w:pPr>
      <w:r>
        <w:rPr>
          <w:noProof/>
        </w:rPr>
        <w:drawing>
          <wp:inline distT="0" distB="0" distL="0" distR="0" wp14:anchorId="2AFFE712" wp14:editId="285A5973">
            <wp:extent cx="6324600" cy="3387479"/>
            <wp:effectExtent l="0" t="0" r="0" b="3810"/>
            <wp:docPr id="289" name="Picture 289" descr="This figure forms part of the section that is specific to Measure 13.14 - Five-year relative survival from brain cancer.  It shows the five-year relative survival from brain cancer (nationally)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330986" cy="3390899"/>
                    </a:xfrm>
                    <a:prstGeom prst="rect">
                      <a:avLst/>
                    </a:prstGeom>
                  </pic:spPr>
                </pic:pic>
              </a:graphicData>
            </a:graphic>
          </wp:inline>
        </w:drawing>
      </w:r>
    </w:p>
    <w:p w14:paraId="7AB78B53" w14:textId="666D5CD3" w:rsidR="0004297C" w:rsidRDefault="0004297C" w:rsidP="005A5151">
      <w:pPr>
        <w:pStyle w:val="DHHStablefigurenote"/>
        <w:rPr>
          <w:lang w:val="en"/>
        </w:rPr>
      </w:pPr>
      <w:r>
        <w:rPr>
          <w:lang w:val="en"/>
        </w:rPr>
        <w:t>Source:</w:t>
      </w:r>
      <w:r w:rsidRPr="0004297C">
        <w:rPr>
          <w:lang w:val="en"/>
        </w:rPr>
        <w:t xml:space="preserve"> </w:t>
      </w:r>
      <w:r w:rsidRPr="000A37BC">
        <w:rPr>
          <w:lang w:val="en"/>
        </w:rPr>
        <w:t>AIHW Australian Cancer Database 2014</w:t>
      </w:r>
    </w:p>
    <w:p w14:paraId="49041B34" w14:textId="372AF718" w:rsidR="00F64CCE" w:rsidRPr="000A37BC" w:rsidRDefault="00F64CCE" w:rsidP="005A5151">
      <w:pPr>
        <w:pStyle w:val="DHHStablefigurenote"/>
        <w:rPr>
          <w:lang w:val="en"/>
        </w:rPr>
      </w:pPr>
      <w:r w:rsidRPr="000A37BC">
        <w:rPr>
          <w:lang w:val="en"/>
        </w:rPr>
        <w:t>Notes</w:t>
      </w:r>
      <w:r w:rsidR="00BE62B2">
        <w:rPr>
          <w:lang w:val="en"/>
        </w:rPr>
        <w:t>:</w:t>
      </w:r>
    </w:p>
    <w:p w14:paraId="3D947EAB" w14:textId="1471E0D4" w:rsidR="00F64CCE" w:rsidRDefault="00F64CCE" w:rsidP="005A5151">
      <w:pPr>
        <w:pStyle w:val="DHHStablefigurenote"/>
        <w:rPr>
          <w:lang w:val="en"/>
        </w:rPr>
      </w:pPr>
      <w:r w:rsidRPr="000A37BC">
        <w:rPr>
          <w:lang w:val="en"/>
        </w:rPr>
        <w:t>Relative survival was calculated with the period method, using the period 2010–2014.</w:t>
      </w:r>
      <w:r w:rsidR="00952FC7">
        <w:rPr>
          <w:lang w:val="en"/>
        </w:rPr>
        <w:t xml:space="preserve"> </w:t>
      </w:r>
      <w:r w:rsidRPr="000A37BC">
        <w:rPr>
          <w:lang w:val="en"/>
        </w:rPr>
        <w:t xml:space="preserve">Note that this period does not contain incidence data for 2014 for </w:t>
      </w:r>
      <w:r w:rsidR="00A7704B">
        <w:rPr>
          <w:lang w:val="en"/>
        </w:rPr>
        <w:t>New South Wales</w:t>
      </w:r>
      <w:r w:rsidR="00A7704B" w:rsidRPr="000A37BC">
        <w:rPr>
          <w:lang w:val="en"/>
        </w:rPr>
        <w:t xml:space="preserve"> </w:t>
      </w:r>
      <w:r w:rsidRPr="000A37BC">
        <w:rPr>
          <w:lang w:val="en"/>
        </w:rPr>
        <w:t xml:space="preserve">because </w:t>
      </w:r>
      <w:r w:rsidR="00A7704B">
        <w:rPr>
          <w:lang w:val="en"/>
        </w:rPr>
        <w:t xml:space="preserve">that </w:t>
      </w:r>
      <w:r>
        <w:rPr>
          <w:lang w:val="en"/>
        </w:rPr>
        <w:t xml:space="preserve">data </w:t>
      </w:r>
      <w:r w:rsidR="00A7704B">
        <w:rPr>
          <w:lang w:val="en"/>
        </w:rPr>
        <w:t xml:space="preserve">was </w:t>
      </w:r>
      <w:r>
        <w:rPr>
          <w:lang w:val="en"/>
        </w:rPr>
        <w:t>un</w:t>
      </w:r>
      <w:r w:rsidRPr="000A37BC">
        <w:rPr>
          <w:lang w:val="en"/>
        </w:rPr>
        <w:t>available.</w:t>
      </w:r>
    </w:p>
    <w:p w14:paraId="04CC4BBA" w14:textId="30598DB3" w:rsidR="00F64CCE" w:rsidRPr="002A2CBF" w:rsidRDefault="00E2158E" w:rsidP="005A5151">
      <w:pPr>
        <w:pStyle w:val="DHHStablefigurenote"/>
        <w:rPr>
          <w:rFonts w:cs="Arial"/>
          <w:lang w:val="en"/>
        </w:rPr>
      </w:pPr>
      <w:r w:rsidRPr="00E2158E">
        <w:rPr>
          <w:rFonts w:cs="Arial"/>
          <w:lang w:val="en"/>
        </w:rPr>
        <w:t>Data for some categories that do not appear in the charts have been deliberately suppressed due to small numbers, confidentiality, and/or reliability concerns</w:t>
      </w:r>
      <w:r w:rsidRPr="00712DE4">
        <w:rPr>
          <w:rFonts w:cs="Arial"/>
          <w:color w:val="333333"/>
          <w:lang w:val="en"/>
        </w:rPr>
        <w:t>.</w:t>
      </w:r>
    </w:p>
    <w:p w14:paraId="3428F834" w14:textId="10249654" w:rsidR="002A2CBF" w:rsidRDefault="002A2CBF" w:rsidP="008D320F">
      <w:pPr>
        <w:pStyle w:val="DHHSfigurecaption"/>
      </w:pPr>
      <w:bookmarkStart w:id="919" w:name="_Toc19008186"/>
      <w:bookmarkStart w:id="920" w:name="_Toc19008381"/>
      <w:bookmarkStart w:id="921" w:name="_Toc19008528"/>
      <w:bookmarkStart w:id="922" w:name="_Toc19008675"/>
      <w:bookmarkStart w:id="923" w:name="_Toc27414383"/>
      <w:r w:rsidRPr="008A5FEF">
        <w:t>Figure 13.</w:t>
      </w:r>
      <w:r>
        <w:t>14</w:t>
      </w:r>
      <w:r w:rsidR="000D10A3">
        <w:t>.1</w:t>
      </w:r>
      <w:r w:rsidR="009D0E1A">
        <w:t>:</w:t>
      </w:r>
      <w:r>
        <w:t xml:space="preserve"> Five-year relative survival from brain cancer</w:t>
      </w:r>
      <w:r w:rsidR="00A7704B">
        <w:t>,</w:t>
      </w:r>
      <w:r>
        <w:t xml:space="preserve"> by age (A), remoteness (B)</w:t>
      </w:r>
      <w:r w:rsidR="00C2751A">
        <w:t xml:space="preserve">, </w:t>
      </w:r>
      <w:r w:rsidR="00DE7FFE">
        <w:t>SES</w:t>
      </w:r>
      <w:r w:rsidR="00C2751A">
        <w:t xml:space="preserve"> (C)</w:t>
      </w:r>
      <w:r>
        <w:t xml:space="preserve"> and </w:t>
      </w:r>
      <w:r w:rsidR="008439C8">
        <w:t>ICS</w:t>
      </w:r>
      <w:r>
        <w:t xml:space="preserve"> (</w:t>
      </w:r>
      <w:r w:rsidR="00C2751A">
        <w:t>D</w:t>
      </w:r>
      <w:r>
        <w:t>), Victoria, 2010</w:t>
      </w:r>
      <w:r w:rsidR="009D0E1A">
        <w:t>–</w:t>
      </w:r>
      <w:r>
        <w:t>2014</w:t>
      </w:r>
      <w:bookmarkEnd w:id="919"/>
      <w:bookmarkEnd w:id="920"/>
      <w:bookmarkEnd w:id="921"/>
      <w:bookmarkEnd w:id="922"/>
      <w:bookmarkEnd w:id="923"/>
    </w:p>
    <w:p w14:paraId="50BA1132" w14:textId="77777777" w:rsidR="00F024B3" w:rsidRDefault="00F024B3" w:rsidP="00160602">
      <w:pPr>
        <w:pStyle w:val="Heading4"/>
        <w:numPr>
          <w:ilvl w:val="0"/>
          <w:numId w:val="6"/>
        </w:numPr>
        <w:ind w:left="342" w:hanging="283"/>
        <w:rPr>
          <w:lang w:eastAsia="en-AU"/>
        </w:rPr>
        <w:sectPr w:rsidR="00F024B3" w:rsidSect="006116E6">
          <w:type w:val="continuous"/>
          <w:pgSz w:w="11906" w:h="16838"/>
          <w:pgMar w:top="1701" w:right="849" w:bottom="1134" w:left="426" w:header="454" w:footer="510" w:gutter="0"/>
          <w:cols w:space="720"/>
          <w:docGrid w:linePitch="360"/>
        </w:sectPr>
      </w:pPr>
    </w:p>
    <w:p w14:paraId="4EC70066" w14:textId="7D9A520B" w:rsidR="000500ED" w:rsidRPr="00542AB1" w:rsidRDefault="000500ED" w:rsidP="00160602">
      <w:pPr>
        <w:pStyle w:val="DHHSbody"/>
        <w:numPr>
          <w:ilvl w:val="0"/>
          <w:numId w:val="6"/>
        </w:numPr>
        <w:ind w:left="357" w:hanging="357"/>
        <w:rPr>
          <w:b/>
          <w:bCs/>
          <w:lang w:eastAsia="en-AU"/>
        </w:rPr>
      </w:pPr>
      <w:r w:rsidRPr="00542AB1">
        <w:rPr>
          <w:b/>
          <w:bCs/>
          <w:lang w:eastAsia="en-AU"/>
        </w:rPr>
        <w:t>Age</w:t>
      </w:r>
    </w:p>
    <w:p w14:paraId="66A7CF42" w14:textId="47DFC04C" w:rsidR="000500ED" w:rsidRDefault="0043138F" w:rsidP="002A2CBF">
      <w:pPr>
        <w:pStyle w:val="DHHSbody"/>
        <w:rPr>
          <w:b/>
          <w:lang w:eastAsia="en-AU"/>
        </w:rPr>
      </w:pPr>
      <w:r>
        <w:rPr>
          <w:b/>
          <w:noProof/>
          <w:lang w:eastAsia="en-AU"/>
        </w:rPr>
        <w:drawing>
          <wp:inline distT="0" distB="0" distL="0" distR="0" wp14:anchorId="460CEEA2" wp14:editId="2EE3E1DE">
            <wp:extent cx="3139440" cy="2517775"/>
            <wp:effectExtent l="0" t="0" r="3810" b="0"/>
            <wp:docPr id="637" name="Picture 637" descr="This figure shows a data summary of 'Measure 13.14 – Five-year survival from brain cancer'. Specially this figure focuses on the five-year relative survival from brain cancer by age for the study period 2010-2014. The data set is available under 'Measure 13.14 – Fiv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139440" cy="2517775"/>
                    </a:xfrm>
                    <a:prstGeom prst="rect">
                      <a:avLst/>
                    </a:prstGeom>
                    <a:noFill/>
                  </pic:spPr>
                </pic:pic>
              </a:graphicData>
            </a:graphic>
          </wp:inline>
        </w:drawing>
      </w:r>
    </w:p>
    <w:p w14:paraId="0334049A" w14:textId="48673D67" w:rsidR="00F024B3" w:rsidRDefault="00F024B3" w:rsidP="00160602">
      <w:pPr>
        <w:pStyle w:val="DHHSbody"/>
        <w:numPr>
          <w:ilvl w:val="0"/>
          <w:numId w:val="6"/>
        </w:numPr>
        <w:ind w:left="357" w:hanging="357"/>
        <w:rPr>
          <w:b/>
          <w:bCs/>
          <w:lang w:eastAsia="en-AU"/>
        </w:rPr>
      </w:pPr>
      <w:r w:rsidRPr="00F024B3">
        <w:rPr>
          <w:b/>
          <w:bCs/>
          <w:lang w:eastAsia="en-AU"/>
        </w:rPr>
        <w:t>Remoteness</w:t>
      </w:r>
    </w:p>
    <w:p w14:paraId="3BAB75A1" w14:textId="27604716" w:rsidR="0043138F" w:rsidRPr="0043138F" w:rsidRDefault="0043138F" w:rsidP="0043138F">
      <w:pPr>
        <w:pStyle w:val="DHHSbody"/>
      </w:pPr>
      <w:r>
        <w:rPr>
          <w:noProof/>
        </w:rPr>
        <w:drawing>
          <wp:inline distT="0" distB="0" distL="0" distR="0" wp14:anchorId="27D2F6E6" wp14:editId="16073512">
            <wp:extent cx="3133725" cy="2658110"/>
            <wp:effectExtent l="0" t="0" r="9525" b="8890"/>
            <wp:docPr id="638" name="Picture 638" descr="This figure shows a data summary of 'Measure 13.14 – Five-year survival from brain cancer'. Specially this figure focuses on the five-year relative survival from brain cancer by remoteness for the study period 2010-2014. The data set is available under 'Measure 13.14 – Fiv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33725" cy="2658110"/>
                    </a:xfrm>
                    <a:prstGeom prst="rect">
                      <a:avLst/>
                    </a:prstGeom>
                    <a:noFill/>
                  </pic:spPr>
                </pic:pic>
              </a:graphicData>
            </a:graphic>
          </wp:inline>
        </w:drawing>
      </w:r>
    </w:p>
    <w:p w14:paraId="67B7B6ED" w14:textId="1083A0A9" w:rsidR="00F024B3" w:rsidRDefault="00F024B3" w:rsidP="00F024B3">
      <w:pPr>
        <w:pStyle w:val="DHHSbody"/>
        <w:rPr>
          <w:b/>
          <w:bCs/>
          <w:lang w:eastAsia="en-AU"/>
        </w:rPr>
        <w:sectPr w:rsidR="00F024B3" w:rsidSect="00F024B3">
          <w:type w:val="continuous"/>
          <w:pgSz w:w="11906" w:h="16838"/>
          <w:pgMar w:top="1701" w:right="849" w:bottom="1134" w:left="426" w:header="454" w:footer="510" w:gutter="0"/>
          <w:cols w:num="2" w:space="720"/>
          <w:docGrid w:linePitch="360"/>
        </w:sectPr>
      </w:pPr>
    </w:p>
    <w:p w14:paraId="59FD0B77" w14:textId="1E2D1701" w:rsidR="000500ED" w:rsidRPr="00542AB1" w:rsidRDefault="000500ED" w:rsidP="00160602">
      <w:pPr>
        <w:pStyle w:val="DHHSbody"/>
        <w:keepNext/>
        <w:numPr>
          <w:ilvl w:val="0"/>
          <w:numId w:val="6"/>
        </w:numPr>
        <w:ind w:left="357" w:hanging="357"/>
        <w:rPr>
          <w:b/>
          <w:bCs/>
          <w:lang w:eastAsia="en-AU"/>
        </w:rPr>
      </w:pPr>
      <w:r w:rsidRPr="00542AB1">
        <w:rPr>
          <w:b/>
          <w:bCs/>
          <w:lang w:eastAsia="en-AU"/>
        </w:rPr>
        <w:lastRenderedPageBreak/>
        <w:t>Socioeconomic status</w:t>
      </w:r>
    </w:p>
    <w:p w14:paraId="02275ACB" w14:textId="256838AA" w:rsidR="000500ED" w:rsidRDefault="0043138F" w:rsidP="00542AB1">
      <w:pPr>
        <w:pStyle w:val="DHHSbody"/>
        <w:rPr>
          <w:b/>
          <w:lang w:eastAsia="en-AU"/>
        </w:rPr>
      </w:pPr>
      <w:r>
        <w:rPr>
          <w:b/>
          <w:noProof/>
          <w:lang w:eastAsia="en-AU"/>
        </w:rPr>
        <w:drawing>
          <wp:inline distT="0" distB="0" distL="0" distR="0" wp14:anchorId="3CDD8BE6" wp14:editId="0DE7F1BD">
            <wp:extent cx="3145790" cy="2334895"/>
            <wp:effectExtent l="0" t="0" r="0" b="8255"/>
            <wp:docPr id="639" name="Picture 639" descr="This figure shows a data summary of 'Measure 13.14 – Five-year survival from brain cancer'. Specially this figure focuses on the five-year relative survival from brain cancer by socioeconomic status for the study period 2010-2014. The data set is available under 'Measure 13.14 – Five-year survival from brain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145790" cy="2334895"/>
                    </a:xfrm>
                    <a:prstGeom prst="rect">
                      <a:avLst/>
                    </a:prstGeom>
                    <a:noFill/>
                  </pic:spPr>
                </pic:pic>
              </a:graphicData>
            </a:graphic>
          </wp:inline>
        </w:drawing>
      </w:r>
    </w:p>
    <w:p w14:paraId="2E8E5627" w14:textId="3A217D34" w:rsidR="0006797C" w:rsidRPr="00542AB1" w:rsidRDefault="0006797C" w:rsidP="00160602">
      <w:pPr>
        <w:pStyle w:val="DHHSbody"/>
        <w:keepNext/>
        <w:numPr>
          <w:ilvl w:val="0"/>
          <w:numId w:val="6"/>
        </w:numPr>
        <w:ind w:left="357" w:hanging="357"/>
        <w:rPr>
          <w:b/>
          <w:bCs/>
          <w:lang w:eastAsia="en-AU"/>
        </w:rPr>
      </w:pPr>
      <w:r w:rsidRPr="00542AB1">
        <w:rPr>
          <w:b/>
          <w:bCs/>
          <w:lang w:eastAsia="en-AU"/>
        </w:rPr>
        <w:t>Integrated Cancer Service</w:t>
      </w:r>
    </w:p>
    <w:p w14:paraId="08FA51EB" w14:textId="1AD27E5F" w:rsidR="0006797C" w:rsidRDefault="00EB336E" w:rsidP="0006797C">
      <w:pPr>
        <w:pStyle w:val="DHHSbody"/>
        <w:rPr>
          <w:b/>
          <w:lang w:eastAsia="en-AU"/>
        </w:rPr>
      </w:pPr>
      <w:r>
        <w:rPr>
          <w:noProof/>
          <w:lang w:val="en-NZ" w:eastAsia="en-NZ"/>
        </w:rPr>
        <w:drawing>
          <wp:inline distT="0" distB="0" distL="0" distR="0" wp14:anchorId="1846D157" wp14:editId="0CDF230E">
            <wp:extent cx="3143885" cy="2713383"/>
            <wp:effectExtent l="0" t="0" r="0" b="0"/>
            <wp:docPr id="340" name="Chart 340" descr="This figure shows a data summary of 'Measure 13.14 – Five-year survival from brain cancer'. Specially this figure focuses on the five-year relative survival from brain cancer by Integrated Cancer Service for the study period 2010-2014. The data set is available under 'Measure 13.14 – Five-year survival from brain cancer' in a separate volume, the Victorian cancer plan monitoring and evaluation framework: baseline report: Appendix 2: Datasets available on Cancer care &lt;https://www2.health.vic.gov.au/about/health-strategies/cancer-care&gt;">
              <a:extLst xmlns:a="http://schemas.openxmlformats.org/drawingml/2006/main">
                <a:ext uri="{FF2B5EF4-FFF2-40B4-BE49-F238E27FC236}">
                  <a16:creationId xmlns:a16="http://schemas.microsoft.com/office/drawing/2014/main" id="{B9272761-1127-4958-9084-55CE5A4BAC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14:paraId="22314DFE" w14:textId="77777777" w:rsidR="0006797C" w:rsidRDefault="0006797C" w:rsidP="000500ED">
      <w:pPr>
        <w:pStyle w:val="DHHSbody"/>
        <w:rPr>
          <w:i/>
          <w:sz w:val="18"/>
          <w:szCs w:val="18"/>
          <w:lang w:eastAsia="en-AU"/>
        </w:rPr>
        <w:sectPr w:rsidR="0006797C" w:rsidSect="00542AB1">
          <w:type w:val="continuous"/>
          <w:pgSz w:w="11906" w:h="16838"/>
          <w:pgMar w:top="1701" w:right="851" w:bottom="1134" w:left="425" w:header="454" w:footer="510" w:gutter="0"/>
          <w:cols w:num="2" w:space="720"/>
          <w:docGrid w:linePitch="360"/>
        </w:sectPr>
      </w:pPr>
    </w:p>
    <w:p w14:paraId="34694552" w14:textId="3C6C4F77" w:rsidR="000500ED" w:rsidRDefault="000500ED" w:rsidP="00561DBE">
      <w:pPr>
        <w:pStyle w:val="DHHStablefigurenote"/>
      </w:pPr>
      <w:r w:rsidRPr="00514E0F">
        <w:t xml:space="preserve">Notes: </w:t>
      </w:r>
    </w:p>
    <w:p w14:paraId="4595347A" w14:textId="77777777" w:rsidR="000500ED" w:rsidRDefault="000500ED" w:rsidP="00561DBE">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080B166C" w14:textId="77777777" w:rsidR="000500ED" w:rsidRPr="000305B1" w:rsidRDefault="000500ED" w:rsidP="00561DBE">
      <w:pPr>
        <w:pStyle w:val="DHHStablefigurenote"/>
        <w:rPr>
          <w:b/>
        </w:rPr>
      </w:pPr>
      <w:r w:rsidRPr="00514E0F">
        <w:t>Remoteness is classified according to the Australian Standard Geo</w:t>
      </w:r>
      <w:r>
        <w:t>graphical Classification (ASGC) Remoteness Areas.</w:t>
      </w:r>
    </w:p>
    <w:p w14:paraId="0CC532F5" w14:textId="606D39CC" w:rsidR="000500ED" w:rsidRDefault="000500ED" w:rsidP="00561DBE">
      <w:pPr>
        <w:pStyle w:val="DHHStablefigurenote"/>
      </w:pPr>
      <w:r>
        <w:t>SES</w:t>
      </w:r>
      <w:r w:rsidRPr="000305B1">
        <w:t xml:space="preserve"> is classified according to the ABS Socioeconomic Indexes for Areas (SEIFA) Index of Relative Socio-economic Disadvantage – 1= lowest and 5 = highest.</w:t>
      </w:r>
    </w:p>
    <w:p w14:paraId="594F27B1" w14:textId="4D834E2D" w:rsidR="00DC2D82" w:rsidRPr="00DC2D82" w:rsidRDefault="00DC2D82" w:rsidP="00561DBE">
      <w:pPr>
        <w:pStyle w:val="DHHStablefigurenote"/>
      </w:pPr>
      <w:r w:rsidRPr="0073300D">
        <w:t>Appendix 2 provides the dataset</w:t>
      </w:r>
      <w:r>
        <w:t>.</w:t>
      </w:r>
    </w:p>
    <w:p w14:paraId="2C81DDBD" w14:textId="6E7F402F" w:rsidR="00CD628B" w:rsidRPr="00671C7A" w:rsidRDefault="00CD628B" w:rsidP="00365619">
      <w:pPr>
        <w:pStyle w:val="Heading4"/>
        <w:spacing w:before="0" w:line="270" w:lineRule="atLeast"/>
        <w:rPr>
          <w:lang w:eastAsia="en-AU"/>
        </w:rPr>
      </w:pPr>
      <w:r>
        <w:rPr>
          <w:lang w:eastAsia="en-AU"/>
        </w:rPr>
        <w:t>Measure assessment</w:t>
      </w:r>
    </w:p>
    <w:p w14:paraId="1721D0D9" w14:textId="0C036397" w:rsidR="006537FE" w:rsidRPr="00F270EA" w:rsidRDefault="00CD628B" w:rsidP="00F270E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964859" w:rsidRPr="0065733F">
        <w:rPr>
          <w:rFonts w:ascii="Arial" w:hAnsi="Arial" w:cs="Arial"/>
          <w:b/>
          <w:color w:val="C5511A"/>
        </w:rPr>
        <w:t>Amber</w:t>
      </w:r>
      <w:r w:rsidR="006537FE">
        <w:rPr>
          <w:rFonts w:ascii="Arial" w:hAnsi="Arial" w:cs="Arial"/>
          <w:b/>
          <w:color w:val="C5511A"/>
        </w:rPr>
        <w:t xml:space="preserve"> </w:t>
      </w:r>
      <w:r w:rsidR="006537FE" w:rsidRPr="00EA3932">
        <w:rPr>
          <w:rFonts w:ascii="Arial" w:hAnsi="Arial" w:cs="Arial"/>
          <w:color w:val="C5511A"/>
        </w:rPr>
        <w:t>(desired result not yet evident)</w:t>
      </w:r>
    </w:p>
    <w:p w14:paraId="45B1DB3D" w14:textId="67837078" w:rsidR="00CD628B" w:rsidRDefault="00CD628B" w:rsidP="00F270EA">
      <w:pPr>
        <w:spacing w:after="120" w:line="270" w:lineRule="atLeast"/>
        <w:rPr>
          <w:rFonts w:ascii="Arial" w:hAnsi="Arial" w:cs="Arial"/>
        </w:rPr>
      </w:pPr>
      <w:r>
        <w:rPr>
          <w:rFonts w:ascii="Arial" w:hAnsi="Arial" w:cs="Arial"/>
        </w:rPr>
        <w:t xml:space="preserve">Overall trend: </w:t>
      </w:r>
      <w:r w:rsidR="00964859">
        <w:rPr>
          <w:rFonts w:ascii="Arial" w:hAnsi="Arial" w:cs="Arial"/>
        </w:rPr>
        <w:t xml:space="preserve">Could </w:t>
      </w:r>
      <w:r w:rsidR="005F5BC9">
        <w:rPr>
          <w:rFonts w:ascii="Arial" w:hAnsi="Arial" w:cs="Arial"/>
        </w:rPr>
        <w:t xml:space="preserve">not </w:t>
      </w:r>
      <w:r w:rsidR="00964859">
        <w:rPr>
          <w:rFonts w:ascii="Arial" w:hAnsi="Arial" w:cs="Arial"/>
        </w:rPr>
        <w:t>be calculated due to only one data point (2010</w:t>
      </w:r>
      <w:r w:rsidR="009D0E1A">
        <w:rPr>
          <w:rFonts w:ascii="Arial" w:hAnsi="Arial" w:cs="Arial"/>
        </w:rPr>
        <w:t>–</w:t>
      </w:r>
      <w:r w:rsidR="00964859">
        <w:rPr>
          <w:rFonts w:ascii="Arial" w:hAnsi="Arial" w:cs="Arial"/>
        </w:rPr>
        <w:t>2014)</w:t>
      </w:r>
    </w:p>
    <w:p w14:paraId="751BEF3C" w14:textId="0BE9158B" w:rsidR="002A75F0" w:rsidRPr="002F2C81" w:rsidRDefault="00CD628B" w:rsidP="00F270EA">
      <w:pPr>
        <w:autoSpaceDE w:val="0"/>
        <w:autoSpaceDN w:val="0"/>
        <w:adjustRightInd w:val="0"/>
        <w:spacing w:after="120" w:line="270" w:lineRule="atLeast"/>
        <w:rPr>
          <w:rFonts w:ascii="Arial" w:hAnsi="Arial" w:cs="Arial"/>
        </w:rPr>
      </w:pPr>
      <w:r w:rsidRPr="002F2C81">
        <w:rPr>
          <w:rFonts w:ascii="Arial" w:hAnsi="Arial" w:cs="Arial"/>
        </w:rPr>
        <w:t>Commentary:</w:t>
      </w:r>
      <w:r w:rsidR="00A822A3" w:rsidRPr="002F2C81">
        <w:rPr>
          <w:rFonts w:ascii="Arial" w:hAnsi="Arial" w:cs="Arial"/>
        </w:rPr>
        <w:t xml:space="preserve"> At a national level, in 20</w:t>
      </w:r>
      <w:r w:rsidR="002A75F0" w:rsidRPr="002F2C81">
        <w:rPr>
          <w:rFonts w:ascii="Arial" w:hAnsi="Arial" w:cs="Arial"/>
        </w:rPr>
        <w:t>10</w:t>
      </w:r>
      <w:r w:rsidR="00A822A3" w:rsidRPr="002F2C81">
        <w:rPr>
          <w:rFonts w:ascii="Arial" w:hAnsi="Arial" w:cs="Arial"/>
        </w:rPr>
        <w:t>–201</w:t>
      </w:r>
      <w:r w:rsidR="002A75F0" w:rsidRPr="002F2C81">
        <w:rPr>
          <w:rFonts w:ascii="Arial" w:hAnsi="Arial" w:cs="Arial"/>
        </w:rPr>
        <w:t>4</w:t>
      </w:r>
      <w:r w:rsidR="00A7704B">
        <w:rPr>
          <w:rFonts w:ascii="Arial" w:hAnsi="Arial" w:cs="Arial"/>
        </w:rPr>
        <w:t xml:space="preserve"> people</w:t>
      </w:r>
      <w:r w:rsidR="00A822A3" w:rsidRPr="002F2C81">
        <w:rPr>
          <w:rFonts w:ascii="Arial" w:hAnsi="Arial" w:cs="Arial"/>
        </w:rPr>
        <w:t xml:space="preserve"> with brain cancer had a 2</w:t>
      </w:r>
      <w:r w:rsidR="002A75F0" w:rsidRPr="002F2C81">
        <w:rPr>
          <w:rFonts w:ascii="Arial" w:hAnsi="Arial" w:cs="Arial"/>
        </w:rPr>
        <w:t>1.9</w:t>
      </w:r>
      <w:r w:rsidR="00A822A3" w:rsidRPr="002F2C81">
        <w:rPr>
          <w:rFonts w:ascii="Arial" w:hAnsi="Arial" w:cs="Arial"/>
        </w:rPr>
        <w:t xml:space="preserve"> per cent chance of surviving for at least </w:t>
      </w:r>
      <w:r w:rsidR="008869C1">
        <w:rPr>
          <w:rFonts w:ascii="Arial" w:hAnsi="Arial" w:cs="Arial"/>
        </w:rPr>
        <w:t>five</w:t>
      </w:r>
      <w:r w:rsidR="00A822A3" w:rsidRPr="002F2C81">
        <w:rPr>
          <w:rFonts w:ascii="Arial" w:hAnsi="Arial" w:cs="Arial"/>
        </w:rPr>
        <w:t xml:space="preserve"> years compared with the general population.</w:t>
      </w:r>
      <w:r w:rsidR="00E44FE3" w:rsidRPr="002F2C81">
        <w:rPr>
          <w:rFonts w:ascii="Arial" w:hAnsi="Arial" w:cs="Arial"/>
          <w:sz w:val="21"/>
          <w:szCs w:val="21"/>
        </w:rPr>
        <w:t xml:space="preserve"> </w:t>
      </w:r>
      <w:r w:rsidR="00E44FE3" w:rsidRPr="002F2C81">
        <w:rPr>
          <w:rFonts w:ascii="Arial" w:hAnsi="Arial" w:cs="Arial"/>
        </w:rPr>
        <w:t xml:space="preserve">Five-year survival was slightly higher for females (24 </w:t>
      </w:r>
      <w:r w:rsidR="00A13FFF" w:rsidRPr="002F2C81">
        <w:rPr>
          <w:rFonts w:ascii="Arial" w:hAnsi="Arial" w:cs="Arial"/>
        </w:rPr>
        <w:t xml:space="preserve">per cent) </w:t>
      </w:r>
      <w:r w:rsidR="00A7704B">
        <w:rPr>
          <w:rFonts w:ascii="Arial" w:hAnsi="Arial" w:cs="Arial"/>
        </w:rPr>
        <w:t>than</w:t>
      </w:r>
      <w:r w:rsidR="001B50BF" w:rsidRPr="002F2C81">
        <w:rPr>
          <w:rFonts w:ascii="Arial" w:hAnsi="Arial" w:cs="Arial"/>
        </w:rPr>
        <w:t xml:space="preserve"> </w:t>
      </w:r>
      <w:r w:rsidR="00A13FFF" w:rsidRPr="002F2C81">
        <w:rPr>
          <w:rFonts w:ascii="Arial" w:hAnsi="Arial" w:cs="Arial"/>
        </w:rPr>
        <w:t>males (20 per cent</w:t>
      </w:r>
      <w:r w:rsidR="00E44FE3" w:rsidRPr="002F2C81">
        <w:rPr>
          <w:rFonts w:ascii="Arial" w:hAnsi="Arial" w:cs="Arial"/>
        </w:rPr>
        <w:t>)</w:t>
      </w:r>
      <w:r w:rsidR="00EA4B33" w:rsidRPr="002F2C81">
        <w:rPr>
          <w:rStyle w:val="FootnoteReference"/>
          <w:rFonts w:cs="Arial"/>
        </w:rPr>
        <w:footnoteReference w:id="172"/>
      </w:r>
      <w:r w:rsidR="00A13FFF" w:rsidRPr="002F2C81">
        <w:rPr>
          <w:rFonts w:ascii="Arial" w:hAnsi="Arial" w:cs="Arial"/>
        </w:rPr>
        <w:t xml:space="preserve"> (Figure 13.14)</w:t>
      </w:r>
      <w:r w:rsidR="00E44FE3" w:rsidRPr="002F2C81">
        <w:rPr>
          <w:rFonts w:ascii="Arial" w:hAnsi="Arial" w:cs="Arial"/>
        </w:rPr>
        <w:t>.</w:t>
      </w:r>
      <w:r w:rsidR="00952FC7">
        <w:rPr>
          <w:rFonts w:ascii="Arial" w:hAnsi="Arial" w:cs="Arial"/>
        </w:rPr>
        <w:t xml:space="preserve"> </w:t>
      </w:r>
    </w:p>
    <w:p w14:paraId="5B5B41D4" w14:textId="01994F14" w:rsidR="00EA4B33" w:rsidRPr="002F2C81" w:rsidRDefault="002A75F0" w:rsidP="00365619">
      <w:pPr>
        <w:autoSpaceDE w:val="0"/>
        <w:autoSpaceDN w:val="0"/>
        <w:adjustRightInd w:val="0"/>
        <w:spacing w:after="120" w:line="270" w:lineRule="atLeast"/>
        <w:rPr>
          <w:rFonts w:ascii="Arial" w:hAnsi="Arial" w:cs="Arial"/>
        </w:rPr>
      </w:pPr>
      <w:r w:rsidRPr="002F2C81">
        <w:rPr>
          <w:rFonts w:ascii="Arial" w:hAnsi="Arial" w:cs="Arial"/>
        </w:rPr>
        <w:t xml:space="preserve">In Victoria, </w:t>
      </w:r>
      <w:r w:rsidR="00A7704B">
        <w:rPr>
          <w:rFonts w:ascii="Arial" w:hAnsi="Arial" w:cs="Arial"/>
        </w:rPr>
        <w:t>people</w:t>
      </w:r>
      <w:r w:rsidR="00A7704B" w:rsidRPr="002F2C81">
        <w:rPr>
          <w:rFonts w:ascii="Arial" w:hAnsi="Arial" w:cs="Arial"/>
        </w:rPr>
        <w:t xml:space="preserve"> </w:t>
      </w:r>
      <w:r w:rsidRPr="002F2C81">
        <w:rPr>
          <w:rFonts w:ascii="Arial" w:hAnsi="Arial" w:cs="Arial"/>
        </w:rPr>
        <w:t>diagnosed with brain cancer had a higher chance</w:t>
      </w:r>
      <w:r w:rsidR="00EA4B33" w:rsidRPr="002F2C81">
        <w:rPr>
          <w:rFonts w:ascii="Arial" w:hAnsi="Arial" w:cs="Arial"/>
        </w:rPr>
        <w:t xml:space="preserve"> (25</w:t>
      </w:r>
      <w:r w:rsidR="004E1734">
        <w:rPr>
          <w:rFonts w:ascii="Arial" w:hAnsi="Arial" w:cs="Arial"/>
        </w:rPr>
        <w:t>.0</w:t>
      </w:r>
      <w:r w:rsidR="00EA4B33" w:rsidRPr="002F2C81">
        <w:rPr>
          <w:rFonts w:ascii="Arial" w:hAnsi="Arial" w:cs="Arial"/>
        </w:rPr>
        <w:t xml:space="preserve"> per cent)</w:t>
      </w:r>
      <w:r w:rsidRPr="002F2C81">
        <w:rPr>
          <w:rFonts w:ascii="Arial" w:hAnsi="Arial" w:cs="Arial"/>
        </w:rPr>
        <w:t xml:space="preserve"> than the Australian </w:t>
      </w:r>
      <w:r w:rsidR="00EA4B33" w:rsidRPr="002F2C81">
        <w:rPr>
          <w:rFonts w:ascii="Arial" w:hAnsi="Arial" w:cs="Arial"/>
        </w:rPr>
        <w:t>average</w:t>
      </w:r>
      <w:r w:rsidRPr="002F2C81">
        <w:rPr>
          <w:rFonts w:ascii="Arial" w:hAnsi="Arial" w:cs="Arial"/>
        </w:rPr>
        <w:t xml:space="preserve"> of surviving for at least </w:t>
      </w:r>
      <w:r w:rsidR="001B50BF">
        <w:rPr>
          <w:rFonts w:ascii="Arial" w:hAnsi="Arial" w:cs="Arial"/>
        </w:rPr>
        <w:t>five</w:t>
      </w:r>
      <w:r w:rsidRPr="002F2C81">
        <w:rPr>
          <w:rFonts w:ascii="Arial" w:hAnsi="Arial" w:cs="Arial"/>
        </w:rPr>
        <w:t xml:space="preserve"> years</w:t>
      </w:r>
      <w:r w:rsidR="00EA4B33" w:rsidRPr="002F2C81">
        <w:rPr>
          <w:rFonts w:ascii="Arial" w:hAnsi="Arial" w:cs="Arial"/>
        </w:rPr>
        <w:t xml:space="preserve"> </w:t>
      </w:r>
      <w:r w:rsidRPr="002F2C81">
        <w:rPr>
          <w:rFonts w:ascii="Arial" w:hAnsi="Arial" w:cs="Arial"/>
        </w:rPr>
        <w:t>in 2010</w:t>
      </w:r>
      <w:r w:rsidR="00CA6D80">
        <w:rPr>
          <w:rFonts w:ascii="Arial" w:hAnsi="Arial" w:cs="Arial"/>
        </w:rPr>
        <w:t>–</w:t>
      </w:r>
      <w:r w:rsidRPr="002F2C81">
        <w:rPr>
          <w:rFonts w:ascii="Arial" w:hAnsi="Arial" w:cs="Arial"/>
        </w:rPr>
        <w:t>2014</w:t>
      </w:r>
      <w:r w:rsidR="00EA4B33" w:rsidRPr="002F2C81">
        <w:rPr>
          <w:rFonts w:ascii="Arial" w:hAnsi="Arial" w:cs="Arial"/>
        </w:rPr>
        <w:t>. Five-</w:t>
      </w:r>
      <w:r w:rsidRPr="002F2C81">
        <w:rPr>
          <w:rFonts w:ascii="Arial" w:hAnsi="Arial" w:cs="Arial"/>
        </w:rPr>
        <w:t>year survival was higher for females (2</w:t>
      </w:r>
      <w:r w:rsidR="00EA4B33" w:rsidRPr="002F2C81">
        <w:rPr>
          <w:rFonts w:ascii="Arial" w:hAnsi="Arial" w:cs="Arial"/>
        </w:rPr>
        <w:t>7.9 per cent</w:t>
      </w:r>
      <w:r w:rsidRPr="002F2C81">
        <w:rPr>
          <w:rFonts w:ascii="Arial" w:hAnsi="Arial" w:cs="Arial"/>
        </w:rPr>
        <w:t>) than for males (2</w:t>
      </w:r>
      <w:r w:rsidR="00EA4B33" w:rsidRPr="002F2C81">
        <w:rPr>
          <w:rFonts w:ascii="Arial" w:hAnsi="Arial" w:cs="Arial"/>
        </w:rPr>
        <w:t>2.6 per cent</w:t>
      </w:r>
      <w:r w:rsidRPr="002F2C81">
        <w:rPr>
          <w:rFonts w:ascii="Arial" w:hAnsi="Arial" w:cs="Arial"/>
        </w:rPr>
        <w:t xml:space="preserve">). </w:t>
      </w:r>
    </w:p>
    <w:p w14:paraId="0A27546C" w14:textId="1EAD200B" w:rsidR="00EA4B33" w:rsidRPr="002F2C81" w:rsidRDefault="002A75F0" w:rsidP="00365619">
      <w:pPr>
        <w:spacing w:after="120" w:line="270" w:lineRule="atLeast"/>
        <w:ind w:left="-5" w:right="3"/>
        <w:rPr>
          <w:rFonts w:ascii="Arial" w:hAnsi="Arial" w:cs="Arial"/>
        </w:rPr>
      </w:pPr>
      <w:r w:rsidRPr="002F2C81">
        <w:rPr>
          <w:rFonts w:ascii="Arial" w:hAnsi="Arial" w:cs="Arial"/>
        </w:rPr>
        <w:t xml:space="preserve">Five-year survival was highest for those aged </w:t>
      </w:r>
      <w:r w:rsidR="00EA4B33" w:rsidRPr="002F2C81">
        <w:rPr>
          <w:rFonts w:ascii="Arial" w:hAnsi="Arial" w:cs="Arial"/>
        </w:rPr>
        <w:t>15</w:t>
      </w:r>
      <w:r w:rsidRPr="002F2C81">
        <w:rPr>
          <w:rFonts w:ascii="Arial" w:hAnsi="Arial" w:cs="Arial"/>
        </w:rPr>
        <w:t>–</w:t>
      </w:r>
      <w:r w:rsidR="00EA4B33" w:rsidRPr="002F2C81">
        <w:rPr>
          <w:rFonts w:ascii="Arial" w:hAnsi="Arial" w:cs="Arial"/>
        </w:rPr>
        <w:t>24</w:t>
      </w:r>
      <w:r w:rsidRPr="002F2C81">
        <w:rPr>
          <w:rFonts w:ascii="Arial" w:hAnsi="Arial" w:cs="Arial"/>
        </w:rPr>
        <w:t xml:space="preserve"> (</w:t>
      </w:r>
      <w:r w:rsidR="00EA4B33" w:rsidRPr="002F2C81">
        <w:rPr>
          <w:rFonts w:ascii="Arial" w:hAnsi="Arial" w:cs="Arial"/>
        </w:rPr>
        <w:t>82.8 per cent</w:t>
      </w:r>
      <w:r w:rsidRPr="002F2C81">
        <w:rPr>
          <w:rFonts w:ascii="Arial" w:hAnsi="Arial" w:cs="Arial"/>
        </w:rPr>
        <w:t xml:space="preserve">) and dropped steeply with age thereafter. Survival was less than </w:t>
      </w:r>
      <w:r w:rsidR="001B50BF">
        <w:rPr>
          <w:rFonts w:ascii="Arial" w:hAnsi="Arial" w:cs="Arial"/>
        </w:rPr>
        <w:t>seven</w:t>
      </w:r>
      <w:r w:rsidR="00EA4B33" w:rsidRPr="002F2C81">
        <w:rPr>
          <w:rFonts w:ascii="Arial" w:hAnsi="Arial" w:cs="Arial"/>
        </w:rPr>
        <w:t xml:space="preserve"> per cent</w:t>
      </w:r>
      <w:r w:rsidRPr="002F2C81">
        <w:rPr>
          <w:rFonts w:ascii="Arial" w:hAnsi="Arial" w:cs="Arial"/>
        </w:rPr>
        <w:t xml:space="preserve"> for those aged </w:t>
      </w:r>
      <w:r w:rsidR="00EA4B33" w:rsidRPr="002F2C81">
        <w:rPr>
          <w:rFonts w:ascii="Arial" w:hAnsi="Arial" w:cs="Arial"/>
        </w:rPr>
        <w:t>65</w:t>
      </w:r>
      <w:r w:rsidRPr="002F2C81">
        <w:rPr>
          <w:rFonts w:ascii="Arial" w:hAnsi="Arial" w:cs="Arial"/>
        </w:rPr>
        <w:t>–7</w:t>
      </w:r>
      <w:r w:rsidR="00EA4B33" w:rsidRPr="002F2C81">
        <w:rPr>
          <w:rFonts w:ascii="Arial" w:hAnsi="Arial" w:cs="Arial"/>
        </w:rPr>
        <w:t>4</w:t>
      </w:r>
      <w:r w:rsidRPr="002F2C81">
        <w:rPr>
          <w:rFonts w:ascii="Arial" w:hAnsi="Arial" w:cs="Arial"/>
        </w:rPr>
        <w:t xml:space="preserve"> </w:t>
      </w:r>
      <w:r w:rsidR="001B50BF">
        <w:rPr>
          <w:rFonts w:ascii="Arial" w:hAnsi="Arial" w:cs="Arial"/>
        </w:rPr>
        <w:t>or</w:t>
      </w:r>
      <w:r w:rsidR="001B50BF" w:rsidRPr="002F2C81">
        <w:rPr>
          <w:rFonts w:ascii="Arial" w:hAnsi="Arial" w:cs="Arial"/>
        </w:rPr>
        <w:t xml:space="preserve"> </w:t>
      </w:r>
      <w:r w:rsidRPr="002F2C81">
        <w:rPr>
          <w:rFonts w:ascii="Arial" w:hAnsi="Arial" w:cs="Arial"/>
        </w:rPr>
        <w:t>older.</w:t>
      </w:r>
    </w:p>
    <w:p w14:paraId="1A39ABA5" w14:textId="35B8F959" w:rsidR="00CF2330" w:rsidRPr="002F2C81" w:rsidRDefault="002A75F0" w:rsidP="00365619">
      <w:pPr>
        <w:spacing w:after="120" w:line="270" w:lineRule="atLeast"/>
        <w:ind w:left="-5" w:right="3"/>
        <w:rPr>
          <w:rFonts w:ascii="Arial" w:hAnsi="Arial" w:cs="Arial"/>
        </w:rPr>
      </w:pPr>
      <w:r w:rsidRPr="002F2C81">
        <w:rPr>
          <w:rFonts w:ascii="Arial" w:hAnsi="Arial" w:cs="Arial"/>
        </w:rPr>
        <w:t xml:space="preserve">Survival varied </w:t>
      </w:r>
      <w:r w:rsidR="00EA4B33" w:rsidRPr="002F2C81">
        <w:rPr>
          <w:rFonts w:ascii="Arial" w:hAnsi="Arial" w:cs="Arial"/>
        </w:rPr>
        <w:t>significantly</w:t>
      </w:r>
      <w:r w:rsidRPr="002F2C81">
        <w:rPr>
          <w:rFonts w:ascii="Arial" w:hAnsi="Arial" w:cs="Arial"/>
        </w:rPr>
        <w:t xml:space="preserve"> by remoteness: </w:t>
      </w:r>
      <w:r w:rsidR="001B50BF">
        <w:rPr>
          <w:rFonts w:ascii="Arial" w:hAnsi="Arial" w:cs="Arial"/>
        </w:rPr>
        <w:t>five</w:t>
      </w:r>
      <w:r w:rsidRPr="002F2C81">
        <w:rPr>
          <w:rFonts w:ascii="Arial" w:hAnsi="Arial" w:cs="Arial"/>
        </w:rPr>
        <w:t xml:space="preserve">-year survival was significantly higher in </w:t>
      </w:r>
      <w:r w:rsidR="001B50BF">
        <w:rPr>
          <w:rFonts w:ascii="Arial" w:hAnsi="Arial" w:cs="Arial"/>
        </w:rPr>
        <w:t>m</w:t>
      </w:r>
      <w:r w:rsidRPr="002F2C81">
        <w:rPr>
          <w:rFonts w:ascii="Arial" w:hAnsi="Arial" w:cs="Arial"/>
        </w:rPr>
        <w:t xml:space="preserve">ajor cities </w:t>
      </w:r>
      <w:r w:rsidR="00EA4B33" w:rsidRPr="002F2C81">
        <w:rPr>
          <w:rFonts w:ascii="Arial" w:hAnsi="Arial" w:cs="Arial"/>
        </w:rPr>
        <w:t xml:space="preserve">(25.7 per cent) and </w:t>
      </w:r>
      <w:r w:rsidR="00A7704B">
        <w:rPr>
          <w:rFonts w:ascii="Arial" w:hAnsi="Arial" w:cs="Arial"/>
        </w:rPr>
        <w:t>i</w:t>
      </w:r>
      <w:r w:rsidR="00EA4B33" w:rsidRPr="002F2C81">
        <w:rPr>
          <w:rFonts w:ascii="Arial" w:hAnsi="Arial" w:cs="Arial"/>
        </w:rPr>
        <w:t xml:space="preserve">nner regional areas (24.8 per cent) </w:t>
      </w:r>
      <w:r w:rsidRPr="002F2C81">
        <w:rPr>
          <w:rFonts w:ascii="Arial" w:hAnsi="Arial" w:cs="Arial"/>
        </w:rPr>
        <w:t xml:space="preserve">compared with </w:t>
      </w:r>
      <w:r w:rsidR="00A7704B">
        <w:rPr>
          <w:rFonts w:ascii="Arial" w:hAnsi="Arial" w:cs="Arial"/>
        </w:rPr>
        <w:t>o</w:t>
      </w:r>
      <w:r w:rsidR="00EA4B33" w:rsidRPr="002F2C81">
        <w:rPr>
          <w:rFonts w:ascii="Arial" w:hAnsi="Arial" w:cs="Arial"/>
        </w:rPr>
        <w:t>uter regional/remote</w:t>
      </w:r>
      <w:r w:rsidRPr="002F2C81">
        <w:rPr>
          <w:rFonts w:ascii="Arial" w:hAnsi="Arial" w:cs="Arial"/>
        </w:rPr>
        <w:t xml:space="preserve"> areas</w:t>
      </w:r>
      <w:r w:rsidR="00CF2330" w:rsidRPr="002F2C81">
        <w:rPr>
          <w:rFonts w:ascii="Arial" w:hAnsi="Arial" w:cs="Arial"/>
        </w:rPr>
        <w:t xml:space="preserve"> (11.6 per cent).</w:t>
      </w:r>
      <w:r w:rsidR="00A7704B">
        <w:rPr>
          <w:rFonts w:ascii="Arial" w:hAnsi="Arial" w:cs="Arial"/>
        </w:rPr>
        <w:t xml:space="preserve"> </w:t>
      </w:r>
      <w:r w:rsidR="00CF2330" w:rsidRPr="002F2C81">
        <w:rPr>
          <w:rFonts w:ascii="Arial" w:hAnsi="Arial" w:cs="Arial"/>
        </w:rPr>
        <w:t>This disparity was also reflected in survival broken down by ICS</w:t>
      </w:r>
      <w:r w:rsidR="00A7704B">
        <w:rPr>
          <w:rFonts w:ascii="Arial" w:hAnsi="Arial" w:cs="Arial"/>
        </w:rPr>
        <w:t>,</w:t>
      </w:r>
      <w:r w:rsidR="00CF2330" w:rsidRPr="002F2C81">
        <w:rPr>
          <w:rFonts w:ascii="Arial" w:hAnsi="Arial" w:cs="Arial"/>
        </w:rPr>
        <w:t xml:space="preserve"> with urban ICSs such as WCMICS having the highest recorded survival rate in 2010</w:t>
      </w:r>
      <w:r w:rsidR="009D0E1A">
        <w:rPr>
          <w:rFonts w:ascii="Arial" w:hAnsi="Arial" w:cs="Arial"/>
        </w:rPr>
        <w:t>–</w:t>
      </w:r>
      <w:r w:rsidR="00CF2330" w:rsidRPr="002F2C81">
        <w:rPr>
          <w:rFonts w:ascii="Arial" w:hAnsi="Arial" w:cs="Arial"/>
        </w:rPr>
        <w:t xml:space="preserve">2014 of 32.8 per cent compared </w:t>
      </w:r>
      <w:r w:rsidR="001B50BF">
        <w:rPr>
          <w:rFonts w:ascii="Arial" w:hAnsi="Arial" w:cs="Arial"/>
        </w:rPr>
        <w:t>with</w:t>
      </w:r>
      <w:r w:rsidR="001B50BF" w:rsidRPr="002F2C81">
        <w:rPr>
          <w:rFonts w:ascii="Arial" w:hAnsi="Arial" w:cs="Arial"/>
        </w:rPr>
        <w:t xml:space="preserve"> </w:t>
      </w:r>
      <w:r w:rsidR="008835F8">
        <w:rPr>
          <w:rFonts w:ascii="Arial" w:hAnsi="Arial" w:cs="Arial"/>
        </w:rPr>
        <w:t>GR</w:t>
      </w:r>
      <w:r w:rsidR="00CF2330" w:rsidRPr="002F2C81">
        <w:rPr>
          <w:rFonts w:ascii="Arial" w:hAnsi="Arial" w:cs="Arial"/>
        </w:rPr>
        <w:t>ICS (predominantly rural)</w:t>
      </w:r>
      <w:r w:rsidR="00A7704B">
        <w:rPr>
          <w:rFonts w:ascii="Arial" w:hAnsi="Arial" w:cs="Arial"/>
        </w:rPr>
        <w:t>,</w:t>
      </w:r>
      <w:r w:rsidR="00CF2330" w:rsidRPr="002F2C81">
        <w:rPr>
          <w:rFonts w:ascii="Arial" w:hAnsi="Arial" w:cs="Arial"/>
        </w:rPr>
        <w:t xml:space="preserve"> which had a rate of 17.8 per cent).</w:t>
      </w:r>
      <w:r w:rsidR="00952FC7">
        <w:rPr>
          <w:rFonts w:ascii="Arial" w:hAnsi="Arial" w:cs="Arial"/>
        </w:rPr>
        <w:t xml:space="preserve"> </w:t>
      </w:r>
      <w:r w:rsidR="00CF2330" w:rsidRPr="002F2C81">
        <w:rPr>
          <w:rFonts w:ascii="Arial" w:hAnsi="Arial" w:cs="Arial"/>
        </w:rPr>
        <w:t xml:space="preserve">However, this trend was not always consistent </w:t>
      </w:r>
      <w:r w:rsidR="00A7704B">
        <w:rPr>
          <w:rFonts w:ascii="Arial" w:hAnsi="Arial" w:cs="Arial"/>
        </w:rPr>
        <w:t>because</w:t>
      </w:r>
      <w:r w:rsidR="00CF2330" w:rsidRPr="002F2C81">
        <w:rPr>
          <w:rFonts w:ascii="Arial" w:hAnsi="Arial" w:cs="Arial"/>
        </w:rPr>
        <w:t xml:space="preserve"> B</w:t>
      </w:r>
      <w:r w:rsidR="008835F8">
        <w:rPr>
          <w:rFonts w:ascii="Arial" w:hAnsi="Arial" w:cs="Arial"/>
        </w:rPr>
        <w:t>SWRICS</w:t>
      </w:r>
      <w:r w:rsidR="00A7704B">
        <w:rPr>
          <w:rFonts w:ascii="Arial" w:hAnsi="Arial" w:cs="Arial"/>
        </w:rPr>
        <w:t>,</w:t>
      </w:r>
      <w:r w:rsidR="00CF2330" w:rsidRPr="002F2C81">
        <w:rPr>
          <w:rFonts w:ascii="Arial" w:hAnsi="Arial" w:cs="Arial"/>
        </w:rPr>
        <w:t xml:space="preserve"> which includes urban areas such as Geelong</w:t>
      </w:r>
      <w:r w:rsidR="00A7704B">
        <w:rPr>
          <w:rFonts w:ascii="Arial" w:hAnsi="Arial" w:cs="Arial"/>
        </w:rPr>
        <w:t>,</w:t>
      </w:r>
      <w:r w:rsidR="00CF2330" w:rsidRPr="002F2C81">
        <w:rPr>
          <w:rFonts w:ascii="Arial" w:hAnsi="Arial" w:cs="Arial"/>
        </w:rPr>
        <w:t xml:space="preserve"> also had a lower survival rate for the same period (17.8 per cent).</w:t>
      </w:r>
    </w:p>
    <w:p w14:paraId="33ED8168" w14:textId="72B2F892" w:rsidR="002A75F0" w:rsidRPr="002F2C81" w:rsidRDefault="00CF2330" w:rsidP="00365619">
      <w:pPr>
        <w:spacing w:after="120" w:line="270" w:lineRule="atLeast"/>
        <w:ind w:left="-5" w:right="3"/>
        <w:rPr>
          <w:rFonts w:ascii="Arial" w:hAnsi="Arial" w:cs="Arial"/>
        </w:rPr>
      </w:pPr>
      <w:r w:rsidRPr="002F2C81">
        <w:rPr>
          <w:rFonts w:ascii="Arial" w:hAnsi="Arial" w:cs="Arial"/>
        </w:rPr>
        <w:t xml:space="preserve">Five-year survival </w:t>
      </w:r>
      <w:r w:rsidR="002A75F0" w:rsidRPr="002F2C81">
        <w:rPr>
          <w:rFonts w:ascii="Arial" w:hAnsi="Arial" w:cs="Arial"/>
        </w:rPr>
        <w:t xml:space="preserve">was highest for people in the highest socioeconomic quintile </w:t>
      </w:r>
      <w:r w:rsidRPr="002F2C81">
        <w:rPr>
          <w:rFonts w:ascii="Arial" w:hAnsi="Arial" w:cs="Arial"/>
        </w:rPr>
        <w:t xml:space="preserve">compared </w:t>
      </w:r>
      <w:r w:rsidR="009D0E1A">
        <w:rPr>
          <w:rFonts w:ascii="Arial" w:hAnsi="Arial" w:cs="Arial"/>
        </w:rPr>
        <w:t>with</w:t>
      </w:r>
      <w:r w:rsidR="009D0E1A" w:rsidRPr="002F2C81">
        <w:rPr>
          <w:rFonts w:ascii="Arial" w:hAnsi="Arial" w:cs="Arial"/>
        </w:rPr>
        <w:t xml:space="preserve"> </w:t>
      </w:r>
      <w:r w:rsidRPr="002F2C81">
        <w:rPr>
          <w:rFonts w:ascii="Arial" w:hAnsi="Arial" w:cs="Arial"/>
        </w:rPr>
        <w:t xml:space="preserve">those living in the lowest quintile </w:t>
      </w:r>
      <w:r w:rsidR="002A75F0" w:rsidRPr="002F2C81">
        <w:rPr>
          <w:rFonts w:ascii="Arial" w:hAnsi="Arial" w:cs="Arial"/>
        </w:rPr>
        <w:t>(</w:t>
      </w:r>
      <w:r w:rsidRPr="002F2C81">
        <w:rPr>
          <w:rFonts w:ascii="Arial" w:hAnsi="Arial" w:cs="Arial"/>
        </w:rPr>
        <w:t>28.5 per cent (Q</w:t>
      </w:r>
      <w:r w:rsidR="00A7704B">
        <w:rPr>
          <w:rFonts w:ascii="Arial" w:hAnsi="Arial" w:cs="Arial"/>
        </w:rPr>
        <w:t xml:space="preserve"> </w:t>
      </w:r>
      <w:r w:rsidRPr="002F2C81">
        <w:rPr>
          <w:rFonts w:ascii="Arial" w:hAnsi="Arial" w:cs="Arial"/>
        </w:rPr>
        <w:t>5)</w:t>
      </w:r>
      <w:r w:rsidR="002A75F0" w:rsidRPr="002F2C81">
        <w:rPr>
          <w:rFonts w:ascii="Arial" w:hAnsi="Arial" w:cs="Arial"/>
        </w:rPr>
        <w:t xml:space="preserve"> and 2</w:t>
      </w:r>
      <w:r w:rsidRPr="002F2C81">
        <w:rPr>
          <w:rFonts w:ascii="Arial" w:hAnsi="Arial" w:cs="Arial"/>
        </w:rPr>
        <w:t>1.5 per cent (Q</w:t>
      </w:r>
      <w:r w:rsidR="00A7704B">
        <w:rPr>
          <w:rFonts w:ascii="Arial" w:hAnsi="Arial" w:cs="Arial"/>
        </w:rPr>
        <w:t xml:space="preserve"> </w:t>
      </w:r>
      <w:r w:rsidRPr="002F2C81">
        <w:rPr>
          <w:rFonts w:ascii="Arial" w:hAnsi="Arial" w:cs="Arial"/>
        </w:rPr>
        <w:t>1)</w:t>
      </w:r>
      <w:r w:rsidR="002A75F0" w:rsidRPr="002F2C81">
        <w:rPr>
          <w:rFonts w:ascii="Arial" w:hAnsi="Arial" w:cs="Arial"/>
        </w:rPr>
        <w:t xml:space="preserve"> respectively).</w:t>
      </w:r>
    </w:p>
    <w:p w14:paraId="5644FF85" w14:textId="792A597E" w:rsidR="005C15AA" w:rsidRDefault="005F72D6" w:rsidP="005C15AA">
      <w:pPr>
        <w:pStyle w:val="Heading3"/>
        <w:rPr>
          <w:lang w:eastAsia="en-AU"/>
        </w:rPr>
      </w:pPr>
      <w:bookmarkStart w:id="924" w:name="_Measure_13.15_–"/>
      <w:bookmarkEnd w:id="924"/>
      <w:r>
        <w:rPr>
          <w:lang w:eastAsia="en-AU"/>
        </w:rPr>
        <w:br w:type="page"/>
      </w:r>
      <w:bookmarkStart w:id="925" w:name="_Toc19008187"/>
      <w:r w:rsidR="005C15AA">
        <w:rPr>
          <w:lang w:eastAsia="en-AU"/>
        </w:rPr>
        <w:lastRenderedPageBreak/>
        <w:t xml:space="preserve">Measure 13.15 – </w:t>
      </w:r>
      <w:r w:rsidR="00A4158A">
        <w:rPr>
          <w:lang w:eastAsia="en-AU"/>
        </w:rPr>
        <w:t xml:space="preserve">Five-year </w:t>
      </w:r>
      <w:r w:rsidR="007F25A4">
        <w:rPr>
          <w:lang w:eastAsia="en-AU"/>
        </w:rPr>
        <w:t xml:space="preserve">relative </w:t>
      </w:r>
      <w:r w:rsidR="00A4158A">
        <w:rPr>
          <w:lang w:eastAsia="en-AU"/>
        </w:rPr>
        <w:t>survival from oesophagus cancer</w:t>
      </w:r>
      <w:r w:rsidR="00243831">
        <w:rPr>
          <w:lang w:eastAsia="en-AU"/>
        </w:rPr>
        <w:t xml:space="preserve"> (C15)</w:t>
      </w:r>
      <w:bookmarkEnd w:id="925"/>
    </w:p>
    <w:p w14:paraId="300B6384" w14:textId="604BBC74" w:rsidR="00CB5B7C" w:rsidRDefault="005641A3" w:rsidP="008D320F">
      <w:pPr>
        <w:pStyle w:val="DHHSfigurecaption"/>
      </w:pPr>
      <w:bookmarkStart w:id="926" w:name="_Toc19008188"/>
      <w:bookmarkStart w:id="927" w:name="_Toc19008382"/>
      <w:bookmarkStart w:id="928" w:name="_Toc19008529"/>
      <w:bookmarkStart w:id="929" w:name="_Toc19008676"/>
      <w:bookmarkStart w:id="930" w:name="_Toc27414384"/>
      <w:r>
        <w:t>Figure 13.15</w:t>
      </w:r>
      <w:r w:rsidR="009D0E1A">
        <w:t>:</w:t>
      </w:r>
      <w:r>
        <w:t xml:space="preserve"> Five</w:t>
      </w:r>
      <w:r w:rsidR="00AA5069">
        <w:t>-year relative survival from</w:t>
      </w:r>
      <w:r w:rsidR="00CB5B7C" w:rsidRPr="006C654C">
        <w:t xml:space="preserve"> </w:t>
      </w:r>
      <w:r w:rsidR="00CB5B7C">
        <w:t>oesophagus cancer</w:t>
      </w:r>
      <w:r w:rsidR="00CB5B7C" w:rsidRPr="006C654C">
        <w:t xml:space="preserve"> (nationally)</w:t>
      </w:r>
      <w:r w:rsidR="00A7704B">
        <w:t>,</w:t>
      </w:r>
      <w:r w:rsidR="00CB5B7C" w:rsidRPr="006C654C">
        <w:t xml:space="preserve"> by age and sex, 2010</w:t>
      </w:r>
      <w:r w:rsidR="009D0E1A">
        <w:t>–</w:t>
      </w:r>
      <w:r w:rsidR="00CB5B7C" w:rsidRPr="006C654C">
        <w:t>2014</w:t>
      </w:r>
      <w:r w:rsidR="00CB5B7C" w:rsidRPr="00466489">
        <w:rPr>
          <w:rStyle w:val="FootnoteReference"/>
          <w:b w:val="0"/>
          <w:sz w:val="16"/>
          <w:szCs w:val="16"/>
          <w:lang w:eastAsia="en-AU"/>
        </w:rPr>
        <w:footnoteReference w:id="173"/>
      </w:r>
      <w:bookmarkEnd w:id="926"/>
      <w:bookmarkEnd w:id="927"/>
      <w:bookmarkEnd w:id="928"/>
      <w:bookmarkEnd w:id="929"/>
      <w:bookmarkEnd w:id="930"/>
    </w:p>
    <w:p w14:paraId="54899E3B" w14:textId="124EAB3D" w:rsidR="00A704AE" w:rsidRPr="00A704AE" w:rsidRDefault="00A704AE" w:rsidP="00A704AE">
      <w:pPr>
        <w:pStyle w:val="DHHSbody"/>
      </w:pPr>
      <w:r>
        <w:rPr>
          <w:noProof/>
        </w:rPr>
        <w:drawing>
          <wp:inline distT="0" distB="0" distL="0" distR="0" wp14:anchorId="6F0BFB6E" wp14:editId="2F5D459F">
            <wp:extent cx="6419850" cy="3597938"/>
            <wp:effectExtent l="0" t="0" r="0" b="2540"/>
            <wp:docPr id="295" name="Picture 295" descr="This figure forms part of the section that is specific to Measure 13.15 - Five-year relative survival from oesophagus cancer.  It shows the five-year relative survival from oesophagus cancer (nationally) by age and sex, 2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438819" cy="3608569"/>
                    </a:xfrm>
                    <a:prstGeom prst="rect">
                      <a:avLst/>
                    </a:prstGeom>
                  </pic:spPr>
                </pic:pic>
              </a:graphicData>
            </a:graphic>
          </wp:inline>
        </w:drawing>
      </w:r>
    </w:p>
    <w:p w14:paraId="06AE12B8" w14:textId="42FFB1B7" w:rsidR="0004297C" w:rsidRDefault="0004297C" w:rsidP="00561DBE">
      <w:pPr>
        <w:pStyle w:val="DHHStablefigurenote"/>
        <w:rPr>
          <w:lang w:val="en"/>
        </w:rPr>
      </w:pPr>
      <w:r>
        <w:rPr>
          <w:lang w:val="en"/>
        </w:rPr>
        <w:t>Source:</w:t>
      </w:r>
      <w:r w:rsidRPr="0004297C">
        <w:rPr>
          <w:lang w:val="en"/>
        </w:rPr>
        <w:t xml:space="preserve"> </w:t>
      </w:r>
      <w:r w:rsidRPr="000A37BC">
        <w:rPr>
          <w:lang w:val="en"/>
        </w:rPr>
        <w:t>AIHW Australian Cancer Database 2014</w:t>
      </w:r>
    </w:p>
    <w:p w14:paraId="25846F66" w14:textId="02ECA269" w:rsidR="00CB5B7C" w:rsidRPr="000A37BC" w:rsidRDefault="00CB5B7C" w:rsidP="00561DBE">
      <w:pPr>
        <w:pStyle w:val="DHHStablefigurenote"/>
        <w:rPr>
          <w:lang w:val="en"/>
        </w:rPr>
      </w:pPr>
      <w:r w:rsidRPr="000A37BC">
        <w:rPr>
          <w:lang w:val="en"/>
        </w:rPr>
        <w:t>Notes</w:t>
      </w:r>
      <w:r w:rsidR="00F526C2">
        <w:rPr>
          <w:lang w:val="en"/>
        </w:rPr>
        <w:t>:</w:t>
      </w:r>
      <w:r w:rsidRPr="000A37BC">
        <w:rPr>
          <w:lang w:val="en"/>
        </w:rPr>
        <w:t> </w:t>
      </w:r>
    </w:p>
    <w:p w14:paraId="64B26987" w14:textId="65EDAB50" w:rsidR="00CB5B7C" w:rsidRDefault="00CB5B7C" w:rsidP="00561DBE">
      <w:pPr>
        <w:pStyle w:val="DHHStablefigurenote"/>
        <w:rPr>
          <w:lang w:val="en"/>
        </w:rPr>
      </w:pPr>
      <w:r w:rsidRPr="000A37BC">
        <w:rPr>
          <w:lang w:val="en"/>
        </w:rPr>
        <w:t>Relative survival was calculated with the period method, using the period 2010–2014.</w:t>
      </w:r>
      <w:r w:rsidR="00952FC7">
        <w:rPr>
          <w:lang w:val="en"/>
        </w:rPr>
        <w:t xml:space="preserve"> </w:t>
      </w:r>
      <w:r w:rsidRPr="000A37BC">
        <w:rPr>
          <w:lang w:val="en"/>
        </w:rPr>
        <w:t xml:space="preserve">Note that this period does not contain incidence data for 2014 for </w:t>
      </w:r>
      <w:r w:rsidR="00A7704B">
        <w:rPr>
          <w:lang w:val="en"/>
        </w:rPr>
        <w:t>New South Wales</w:t>
      </w:r>
      <w:r w:rsidR="00A7704B" w:rsidRPr="000A37BC">
        <w:rPr>
          <w:lang w:val="en"/>
        </w:rPr>
        <w:t xml:space="preserve"> </w:t>
      </w:r>
      <w:r w:rsidRPr="000A37BC">
        <w:rPr>
          <w:lang w:val="en"/>
        </w:rPr>
        <w:t xml:space="preserve">because </w:t>
      </w:r>
      <w:r w:rsidR="00A7704B">
        <w:rPr>
          <w:lang w:val="en"/>
        </w:rPr>
        <w:t xml:space="preserve">that </w:t>
      </w:r>
      <w:r>
        <w:rPr>
          <w:lang w:val="en"/>
        </w:rPr>
        <w:t xml:space="preserve">data </w:t>
      </w:r>
      <w:r w:rsidR="00A7704B">
        <w:rPr>
          <w:lang w:val="en"/>
        </w:rPr>
        <w:t xml:space="preserve">was </w:t>
      </w:r>
      <w:r>
        <w:rPr>
          <w:lang w:val="en"/>
        </w:rPr>
        <w:t>un</w:t>
      </w:r>
      <w:r w:rsidRPr="000A37BC">
        <w:rPr>
          <w:lang w:val="en"/>
        </w:rPr>
        <w:t>available.</w:t>
      </w:r>
    </w:p>
    <w:p w14:paraId="49D186A1" w14:textId="5FECDF99" w:rsidR="00311922" w:rsidRDefault="00CB5B7C" w:rsidP="00561DBE">
      <w:pPr>
        <w:pStyle w:val="DHHStablefigurenote"/>
        <w:rPr>
          <w:rFonts w:cs="Arial"/>
          <w:lang w:val="en"/>
        </w:rPr>
      </w:pPr>
      <w:r w:rsidRPr="00E2158E">
        <w:rPr>
          <w:rFonts w:cs="Arial"/>
          <w:lang w:val="en"/>
        </w:rPr>
        <w:t>Data for some categories that do not appear in the charts have been deliberately suppressed due to small numbers, confidentiality, and/or reliability concerns</w:t>
      </w:r>
      <w:r w:rsidRPr="00712DE4">
        <w:rPr>
          <w:rFonts w:cs="Arial"/>
          <w:color w:val="333333"/>
          <w:lang w:val="en"/>
        </w:rPr>
        <w:t>.</w:t>
      </w:r>
    </w:p>
    <w:p w14:paraId="1722E890" w14:textId="4E468D10" w:rsidR="002A2CBF" w:rsidRDefault="002A2CBF" w:rsidP="008D320F">
      <w:pPr>
        <w:pStyle w:val="DHHSfigurecaption"/>
      </w:pPr>
      <w:bookmarkStart w:id="931" w:name="_Toc19008189"/>
      <w:bookmarkStart w:id="932" w:name="_Toc19008383"/>
      <w:bookmarkStart w:id="933" w:name="_Toc19008530"/>
      <w:bookmarkStart w:id="934" w:name="_Toc19008677"/>
      <w:bookmarkStart w:id="935" w:name="_Toc27414385"/>
      <w:r w:rsidRPr="008A5FEF">
        <w:t>Figure 13.</w:t>
      </w:r>
      <w:r>
        <w:t>15</w:t>
      </w:r>
      <w:r w:rsidR="004F3E8A">
        <w:t>.1</w:t>
      </w:r>
      <w:r w:rsidR="009D0E1A">
        <w:t>:</w:t>
      </w:r>
      <w:r>
        <w:t xml:space="preserve"> Five-year relative survival from oesophagus cancer</w:t>
      </w:r>
      <w:r w:rsidR="00A7704B">
        <w:t>,</w:t>
      </w:r>
      <w:r>
        <w:t xml:space="preserve"> by age (A), remoteness (B)</w:t>
      </w:r>
      <w:r w:rsidR="00C71758">
        <w:t xml:space="preserve">, </w:t>
      </w:r>
      <w:r w:rsidR="00DE7FFE">
        <w:t>SES</w:t>
      </w:r>
      <w:r w:rsidR="00C71758">
        <w:t xml:space="preserve"> (C) and </w:t>
      </w:r>
      <w:r w:rsidR="008439C8">
        <w:t>ICS</w:t>
      </w:r>
      <w:r>
        <w:t xml:space="preserve"> (</w:t>
      </w:r>
      <w:r w:rsidR="00C71758">
        <w:t>D</w:t>
      </w:r>
      <w:r>
        <w:t>), Victoria, 2010</w:t>
      </w:r>
      <w:r w:rsidR="009D0E1A">
        <w:t>–</w:t>
      </w:r>
      <w:r>
        <w:t>2014</w:t>
      </w:r>
      <w:bookmarkEnd w:id="931"/>
      <w:bookmarkEnd w:id="932"/>
      <w:bookmarkEnd w:id="933"/>
      <w:bookmarkEnd w:id="934"/>
      <w:bookmarkEnd w:id="935"/>
    </w:p>
    <w:p w14:paraId="7F075D95" w14:textId="77777777" w:rsidR="008C41F9" w:rsidRDefault="008C41F9" w:rsidP="00160602">
      <w:pPr>
        <w:pStyle w:val="Heading4"/>
        <w:numPr>
          <w:ilvl w:val="0"/>
          <w:numId w:val="3"/>
        </w:numPr>
        <w:ind w:left="342" w:hanging="283"/>
        <w:rPr>
          <w:lang w:eastAsia="en-AU"/>
        </w:rPr>
        <w:sectPr w:rsidR="008C41F9" w:rsidSect="006116E6">
          <w:type w:val="continuous"/>
          <w:pgSz w:w="11906" w:h="16838"/>
          <w:pgMar w:top="1701" w:right="849" w:bottom="1134" w:left="426" w:header="454" w:footer="510" w:gutter="0"/>
          <w:cols w:space="720"/>
          <w:docGrid w:linePitch="360"/>
        </w:sectPr>
      </w:pPr>
    </w:p>
    <w:p w14:paraId="70E67794" w14:textId="0434F77E" w:rsidR="006F02EE" w:rsidRPr="00294625" w:rsidRDefault="006F02EE" w:rsidP="00160602">
      <w:pPr>
        <w:pStyle w:val="DHHSbody"/>
        <w:numPr>
          <w:ilvl w:val="0"/>
          <w:numId w:val="3"/>
        </w:numPr>
        <w:ind w:left="357" w:hanging="357"/>
        <w:rPr>
          <w:b/>
          <w:bCs/>
          <w:lang w:eastAsia="en-AU"/>
        </w:rPr>
      </w:pPr>
      <w:r w:rsidRPr="00294625">
        <w:rPr>
          <w:b/>
          <w:bCs/>
          <w:lang w:eastAsia="en-AU"/>
        </w:rPr>
        <w:t>Age</w:t>
      </w:r>
    </w:p>
    <w:p w14:paraId="0DE72DE1" w14:textId="6CDEF40D" w:rsidR="008C41F9" w:rsidRDefault="001859BD" w:rsidP="008D320F">
      <w:pPr>
        <w:pStyle w:val="DHHSbody"/>
        <w:rPr>
          <w:lang w:eastAsia="en-AU"/>
        </w:rPr>
      </w:pPr>
      <w:r>
        <w:rPr>
          <w:noProof/>
          <w:lang w:eastAsia="en-AU"/>
        </w:rPr>
        <w:drawing>
          <wp:inline distT="0" distB="0" distL="0" distR="0" wp14:anchorId="7E603B86" wp14:editId="7527112B">
            <wp:extent cx="3145790" cy="2426335"/>
            <wp:effectExtent l="0" t="0" r="0" b="0"/>
            <wp:docPr id="3" name="Picture 3" descr="This figure shows a data summary of 'Measure 13.15 – Five-year survival from oesophagus cancer'. Specially this figure focuses on the five-year relative survival from oesophagus cancer by age for the study period 2010-2014. The data set is available under 'Measure 13.15 – Fiv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145790" cy="2426335"/>
                    </a:xfrm>
                    <a:prstGeom prst="rect">
                      <a:avLst/>
                    </a:prstGeom>
                    <a:noFill/>
                  </pic:spPr>
                </pic:pic>
              </a:graphicData>
            </a:graphic>
          </wp:inline>
        </w:drawing>
      </w:r>
    </w:p>
    <w:p w14:paraId="668B4EE9" w14:textId="5EF587A5" w:rsidR="008C41F9" w:rsidRDefault="001859BD" w:rsidP="00160602">
      <w:pPr>
        <w:pStyle w:val="DHHSbody"/>
        <w:numPr>
          <w:ilvl w:val="0"/>
          <w:numId w:val="3"/>
        </w:numPr>
        <w:ind w:left="357" w:hanging="357"/>
        <w:rPr>
          <w:b/>
          <w:bCs/>
        </w:rPr>
      </w:pPr>
      <w:r>
        <w:rPr>
          <w:b/>
          <w:bCs/>
          <w:lang w:eastAsia="en-AU"/>
        </w:rPr>
        <w:br w:type="column"/>
      </w:r>
      <w:r w:rsidR="008C41F9" w:rsidRPr="008C41F9">
        <w:rPr>
          <w:b/>
          <w:bCs/>
          <w:lang w:eastAsia="en-AU"/>
        </w:rPr>
        <w:t>Remoteness</w:t>
      </w:r>
    </w:p>
    <w:p w14:paraId="4ED04C33" w14:textId="105D1B85" w:rsidR="006F02EE" w:rsidRPr="008D320F" w:rsidRDefault="001859BD" w:rsidP="0078374A">
      <w:pPr>
        <w:pStyle w:val="DHHSbody"/>
        <w:rPr>
          <w:lang w:eastAsia="en-AU"/>
        </w:rPr>
      </w:pPr>
      <w:r>
        <w:rPr>
          <w:noProof/>
        </w:rPr>
        <w:drawing>
          <wp:inline distT="0" distB="0" distL="0" distR="0" wp14:anchorId="036D927C" wp14:editId="079D8C89">
            <wp:extent cx="3133725" cy="2463165"/>
            <wp:effectExtent l="0" t="0" r="9525" b="0"/>
            <wp:docPr id="5" name="Picture 5" descr="This figure shows a data summary of 'Measure 13.15 – Five-year survival from oesophagus cancer'. Specially this figure focuses on the five-year relative survival from oesophagus cancer by remoteness for the study period 2010-2014. The data set is available under 'Measure 13.15 – Fiv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133725" cy="2463165"/>
                    </a:xfrm>
                    <a:prstGeom prst="rect">
                      <a:avLst/>
                    </a:prstGeom>
                    <a:noFill/>
                  </pic:spPr>
                </pic:pic>
              </a:graphicData>
            </a:graphic>
          </wp:inline>
        </w:drawing>
      </w:r>
    </w:p>
    <w:p w14:paraId="4849CCB0" w14:textId="77777777" w:rsidR="0078374A" w:rsidRDefault="0078374A" w:rsidP="00160602">
      <w:pPr>
        <w:pStyle w:val="DHHSbody"/>
        <w:numPr>
          <w:ilvl w:val="0"/>
          <w:numId w:val="4"/>
        </w:numPr>
        <w:ind w:left="342" w:hanging="283"/>
        <w:rPr>
          <w:b/>
          <w:lang w:eastAsia="en-AU"/>
        </w:rPr>
        <w:sectPr w:rsidR="0078374A" w:rsidSect="001859BD">
          <w:type w:val="continuous"/>
          <w:pgSz w:w="11906" w:h="16838"/>
          <w:pgMar w:top="1701" w:right="849" w:bottom="1134" w:left="426" w:header="454" w:footer="510" w:gutter="0"/>
          <w:cols w:num="2" w:space="720"/>
          <w:docGrid w:linePitch="360"/>
        </w:sectPr>
      </w:pPr>
    </w:p>
    <w:p w14:paraId="12768617" w14:textId="43CA707A" w:rsidR="006F02EE" w:rsidRPr="00314AED" w:rsidRDefault="006F02EE" w:rsidP="00160602">
      <w:pPr>
        <w:pStyle w:val="DHHSbody"/>
        <w:numPr>
          <w:ilvl w:val="0"/>
          <w:numId w:val="4"/>
        </w:numPr>
        <w:ind w:left="357" w:hanging="357"/>
        <w:rPr>
          <w:b/>
          <w:lang w:eastAsia="en-AU"/>
        </w:rPr>
      </w:pPr>
      <w:r>
        <w:rPr>
          <w:b/>
          <w:lang w:eastAsia="en-AU"/>
        </w:rPr>
        <w:lastRenderedPageBreak/>
        <w:t>Socioeconomic status</w:t>
      </w:r>
    </w:p>
    <w:p w14:paraId="6A79B74B" w14:textId="16F56A82" w:rsidR="006F02EE" w:rsidRDefault="001859BD" w:rsidP="0078374A">
      <w:pPr>
        <w:pStyle w:val="DHHSbody"/>
        <w:rPr>
          <w:lang w:eastAsia="en-AU"/>
        </w:rPr>
      </w:pPr>
      <w:r>
        <w:rPr>
          <w:noProof/>
          <w:lang w:eastAsia="en-AU"/>
        </w:rPr>
        <w:drawing>
          <wp:inline distT="0" distB="0" distL="0" distR="0" wp14:anchorId="1DF547A7" wp14:editId="7E1647D4">
            <wp:extent cx="3127375" cy="2133600"/>
            <wp:effectExtent l="0" t="0" r="0" b="0"/>
            <wp:docPr id="6" name="Picture 6" descr="This figure shows a data summary of 'Measure 13.15 – Five-year survival from oesophagus cancer'. Specially this figure focuses on the five-year relative survival from oesophagus cancer by socioeconomic status for the study period 2010-2014. The data set is available under 'Measure 13.15 – Fiv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127375" cy="2133600"/>
                    </a:xfrm>
                    <a:prstGeom prst="rect">
                      <a:avLst/>
                    </a:prstGeom>
                    <a:noFill/>
                  </pic:spPr>
                </pic:pic>
              </a:graphicData>
            </a:graphic>
          </wp:inline>
        </w:drawing>
      </w:r>
    </w:p>
    <w:p w14:paraId="6BFC7B63" w14:textId="7DF3B025" w:rsidR="0078374A" w:rsidRPr="0078374A" w:rsidRDefault="0078374A" w:rsidP="00160602">
      <w:pPr>
        <w:pStyle w:val="DHHSbody"/>
        <w:keepNext/>
        <w:numPr>
          <w:ilvl w:val="0"/>
          <w:numId w:val="4"/>
        </w:numPr>
        <w:ind w:left="357" w:hanging="357"/>
        <w:rPr>
          <w:lang w:eastAsia="en-AU"/>
        </w:rPr>
      </w:pPr>
      <w:r w:rsidRPr="00314AED">
        <w:rPr>
          <w:b/>
          <w:lang w:eastAsia="en-AU"/>
        </w:rPr>
        <w:t>Integrated Cancer Service</w:t>
      </w:r>
    </w:p>
    <w:p w14:paraId="08B96D30" w14:textId="72037F2B" w:rsidR="0078374A" w:rsidRDefault="001859BD" w:rsidP="0078374A">
      <w:pPr>
        <w:pStyle w:val="DHHSbody"/>
        <w:ind w:left="426" w:hanging="426"/>
        <w:rPr>
          <w:b/>
          <w:lang w:eastAsia="en-AU"/>
        </w:rPr>
      </w:pPr>
      <w:r>
        <w:rPr>
          <w:b/>
          <w:noProof/>
          <w:lang w:eastAsia="en-AU"/>
        </w:rPr>
        <w:drawing>
          <wp:inline distT="0" distB="0" distL="0" distR="0" wp14:anchorId="1AACCE84" wp14:editId="7DAEB735">
            <wp:extent cx="3152140" cy="2493645"/>
            <wp:effectExtent l="0" t="0" r="0" b="1905"/>
            <wp:docPr id="7" name="Picture 7" descr="This figure shows a data summary of 'Measure 13.15 – Five-year survival from oesophagus cancer'. Specially this figure focuses on the five-year relative survival from oesophagus cancer by Integrated Cancer Service for the study period 2010-2014. The data set is available under 'Measure 13.15 – Five-year survival from oesophagus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152140" cy="2493645"/>
                    </a:xfrm>
                    <a:prstGeom prst="rect">
                      <a:avLst/>
                    </a:prstGeom>
                    <a:noFill/>
                  </pic:spPr>
                </pic:pic>
              </a:graphicData>
            </a:graphic>
          </wp:inline>
        </w:drawing>
      </w:r>
    </w:p>
    <w:p w14:paraId="3F75A20C" w14:textId="77777777" w:rsidR="0078374A" w:rsidRDefault="0078374A" w:rsidP="006F02EE">
      <w:pPr>
        <w:pStyle w:val="DHHSbody"/>
        <w:rPr>
          <w:i/>
          <w:sz w:val="18"/>
          <w:szCs w:val="18"/>
          <w:lang w:eastAsia="en-AU"/>
        </w:rPr>
        <w:sectPr w:rsidR="0078374A" w:rsidSect="00294625">
          <w:type w:val="continuous"/>
          <w:pgSz w:w="11906" w:h="16838"/>
          <w:pgMar w:top="1701" w:right="851" w:bottom="1134" w:left="425" w:header="454" w:footer="510" w:gutter="0"/>
          <w:cols w:num="2" w:space="720"/>
          <w:docGrid w:linePitch="360"/>
        </w:sectPr>
      </w:pPr>
    </w:p>
    <w:p w14:paraId="2FF10BFD" w14:textId="523E6A02" w:rsidR="006F02EE" w:rsidRPr="003A375A" w:rsidRDefault="006F02EE" w:rsidP="00561DBE">
      <w:pPr>
        <w:pStyle w:val="DHHStablefigurenote"/>
      </w:pPr>
      <w:r w:rsidRPr="00514E0F">
        <w:t xml:space="preserve">Notes: </w:t>
      </w:r>
    </w:p>
    <w:p w14:paraId="4D65B4BD" w14:textId="77777777" w:rsidR="006F02EE" w:rsidRPr="002542E7" w:rsidRDefault="006F02EE" w:rsidP="00561DBE">
      <w:pPr>
        <w:pStyle w:val="DHHStablefigurenote"/>
      </w:pPr>
      <w:r>
        <w:t>Analysis for the age groups 0–14 years, 15–24 years, 25–34 years and 35–44 years</w:t>
      </w:r>
      <w:r w:rsidRPr="00B77D14">
        <w:t xml:space="preserve"> w</w:t>
      </w:r>
      <w:r>
        <w:t>ere</w:t>
      </w:r>
      <w:r w:rsidRPr="00B77D14">
        <w:t xml:space="preserve"> excluded because of low numbers</w:t>
      </w:r>
      <w:r>
        <w:t>.</w:t>
      </w:r>
    </w:p>
    <w:p w14:paraId="51D3899B" w14:textId="77777777" w:rsidR="006F02EE" w:rsidRDefault="006F02EE" w:rsidP="00561DBE">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3B52DC12" w14:textId="77777777" w:rsidR="006F02EE" w:rsidRPr="000650FF" w:rsidRDefault="006F02EE" w:rsidP="00561DBE">
      <w:pPr>
        <w:pStyle w:val="DHHStablefigurenote"/>
        <w:rPr>
          <w:b/>
        </w:rPr>
      </w:pPr>
      <w:r w:rsidRPr="00514E0F">
        <w:t>Remoteness is classified according to the Australian Standard Geo</w:t>
      </w:r>
      <w:r>
        <w:t>graphical Classification (ASGC) Remoteness Areas.</w:t>
      </w:r>
    </w:p>
    <w:p w14:paraId="039E7476" w14:textId="7A10AB42" w:rsidR="006F02EE" w:rsidRDefault="006F02EE" w:rsidP="00561DBE">
      <w:pPr>
        <w:pStyle w:val="DHHStablefigurenote"/>
      </w:pPr>
      <w:r>
        <w:t>SES</w:t>
      </w:r>
      <w:r w:rsidRPr="000650FF">
        <w:t xml:space="preserve"> is classified according to the ABS Socioeconomic Indexes for Areas (SEIFA) Index of Relative Socio-economic Disadvantage – 1= lowest and 5 = highest.</w:t>
      </w:r>
    </w:p>
    <w:p w14:paraId="6C86EEA5" w14:textId="415AEBCA" w:rsidR="00DC2D82" w:rsidRPr="00DC2D82" w:rsidRDefault="00DC2D82" w:rsidP="00561DBE">
      <w:pPr>
        <w:pStyle w:val="DHHStablefigurenote"/>
      </w:pPr>
      <w:r w:rsidRPr="0073300D">
        <w:t>Appendix 2 provides the dataset</w:t>
      </w:r>
      <w:r>
        <w:t>.</w:t>
      </w:r>
    </w:p>
    <w:p w14:paraId="0275EEB8" w14:textId="0955B0D5" w:rsidR="00CD628B" w:rsidRPr="00671C7A" w:rsidRDefault="00CD628B" w:rsidP="00365619">
      <w:pPr>
        <w:pStyle w:val="Heading4"/>
        <w:spacing w:before="0" w:line="270" w:lineRule="atLeast"/>
        <w:rPr>
          <w:lang w:eastAsia="en-AU"/>
        </w:rPr>
      </w:pPr>
      <w:r>
        <w:rPr>
          <w:lang w:eastAsia="en-AU"/>
        </w:rPr>
        <w:t>Measure assessment</w:t>
      </w:r>
    </w:p>
    <w:p w14:paraId="3888981C" w14:textId="77777777" w:rsidR="001C3996" w:rsidRPr="00F270EA" w:rsidRDefault="00CD628B" w:rsidP="001C3996">
      <w:pPr>
        <w:autoSpaceDE w:val="0"/>
        <w:autoSpaceDN w:val="0"/>
        <w:adjustRightInd w:val="0"/>
        <w:spacing w:after="120" w:line="270" w:lineRule="atLeast"/>
        <w:rPr>
          <w:rFonts w:ascii="Arial" w:hAnsi="Arial" w:cs="Arial"/>
          <w:color w:val="C5511A"/>
        </w:rPr>
      </w:pPr>
      <w:r w:rsidRPr="001C3996">
        <w:rPr>
          <w:rFonts w:ascii="Arial" w:hAnsi="Arial" w:cs="Arial"/>
        </w:rPr>
        <w:t xml:space="preserve">Traffic light rating: </w:t>
      </w:r>
      <w:r w:rsidR="001C3996" w:rsidRPr="0065733F">
        <w:rPr>
          <w:rFonts w:ascii="Arial" w:hAnsi="Arial" w:cs="Arial"/>
          <w:b/>
          <w:color w:val="C5511A"/>
        </w:rPr>
        <w:t>Amber</w:t>
      </w:r>
      <w:r w:rsidR="001C3996">
        <w:rPr>
          <w:rFonts w:ascii="Arial" w:hAnsi="Arial" w:cs="Arial"/>
          <w:b/>
          <w:color w:val="C5511A"/>
        </w:rPr>
        <w:t xml:space="preserve"> </w:t>
      </w:r>
      <w:r w:rsidR="001C3996" w:rsidRPr="00EA3932">
        <w:rPr>
          <w:rFonts w:ascii="Arial" w:hAnsi="Arial" w:cs="Arial"/>
          <w:color w:val="C5511A"/>
        </w:rPr>
        <w:t>(desired result not yet evident)</w:t>
      </w:r>
    </w:p>
    <w:p w14:paraId="04EAE1C7" w14:textId="60BA1C51" w:rsidR="00CD628B" w:rsidRDefault="00CD628B" w:rsidP="00F270EA">
      <w:pPr>
        <w:spacing w:after="120" w:line="270" w:lineRule="atLeast"/>
        <w:rPr>
          <w:rFonts w:ascii="Arial" w:hAnsi="Arial" w:cs="Arial"/>
        </w:rPr>
      </w:pPr>
      <w:r>
        <w:rPr>
          <w:rFonts w:ascii="Arial" w:hAnsi="Arial" w:cs="Arial"/>
        </w:rPr>
        <w:t xml:space="preserve">Overall trend: </w:t>
      </w:r>
      <w:r w:rsidR="00CD6964">
        <w:rPr>
          <w:rFonts w:ascii="Arial" w:hAnsi="Arial" w:cs="Arial"/>
        </w:rPr>
        <w:t>Could</w:t>
      </w:r>
      <w:r w:rsidR="00F43A14">
        <w:rPr>
          <w:rFonts w:ascii="Arial" w:hAnsi="Arial" w:cs="Arial"/>
        </w:rPr>
        <w:t xml:space="preserve"> not</w:t>
      </w:r>
      <w:r w:rsidR="00CD6964">
        <w:rPr>
          <w:rFonts w:ascii="Arial" w:hAnsi="Arial" w:cs="Arial"/>
        </w:rPr>
        <w:t xml:space="preserve"> be calculated due to only one data point (2010</w:t>
      </w:r>
      <w:r w:rsidR="009D0E1A">
        <w:rPr>
          <w:rFonts w:ascii="Arial" w:hAnsi="Arial" w:cs="Arial"/>
        </w:rPr>
        <w:t>–</w:t>
      </w:r>
      <w:r w:rsidR="00CD6964">
        <w:rPr>
          <w:rFonts w:ascii="Arial" w:hAnsi="Arial" w:cs="Arial"/>
        </w:rPr>
        <w:t>2014)</w:t>
      </w:r>
    </w:p>
    <w:p w14:paraId="486EBB43" w14:textId="6CE3CDE1" w:rsidR="00D80375" w:rsidRDefault="00CD628B" w:rsidP="00F270EA">
      <w:pPr>
        <w:pStyle w:val="DHHSbody"/>
        <w:rPr>
          <w:lang w:val="en-GB"/>
        </w:rPr>
      </w:pPr>
      <w:r w:rsidRPr="00AF7428">
        <w:rPr>
          <w:rFonts w:cs="Arial"/>
          <w:lang w:eastAsia="en-AU"/>
        </w:rPr>
        <w:t>Commentary:</w:t>
      </w:r>
      <w:r w:rsidR="00D80375">
        <w:rPr>
          <w:rFonts w:cs="Arial"/>
          <w:lang w:eastAsia="en-AU"/>
        </w:rPr>
        <w:t xml:space="preserve"> </w:t>
      </w:r>
      <w:r w:rsidR="00D80375">
        <w:rPr>
          <w:lang w:val="en"/>
        </w:rPr>
        <w:t xml:space="preserve">Nationally, the five-year </w:t>
      </w:r>
      <w:r w:rsidR="00D80375">
        <w:rPr>
          <w:lang w:val="en-GB"/>
        </w:rPr>
        <w:t>survival rate for oesophageal cancer in Australia i</w:t>
      </w:r>
      <w:r w:rsidR="001F6D34">
        <w:rPr>
          <w:lang w:val="en-GB"/>
        </w:rPr>
        <w:t>n 2010</w:t>
      </w:r>
      <w:r w:rsidR="00CA6D80">
        <w:rPr>
          <w:lang w:val="en-GB"/>
        </w:rPr>
        <w:t>–</w:t>
      </w:r>
      <w:r w:rsidR="001F6D34">
        <w:rPr>
          <w:lang w:val="en-GB"/>
        </w:rPr>
        <w:t>2014 was</w:t>
      </w:r>
      <w:r w:rsidR="00D80375">
        <w:rPr>
          <w:lang w:val="en-GB"/>
        </w:rPr>
        <w:t xml:space="preserve"> 21 per cent.</w:t>
      </w:r>
      <w:r w:rsidR="00D80375">
        <w:rPr>
          <w:rStyle w:val="FootnoteReference"/>
          <w:lang w:val="en-GB"/>
        </w:rPr>
        <w:footnoteReference w:id="174"/>
      </w:r>
      <w:r w:rsidR="001F6D34">
        <w:rPr>
          <w:lang w:val="en-GB"/>
        </w:rPr>
        <w:t xml:space="preserve"> Victoria mirrored the national trend</w:t>
      </w:r>
      <w:r w:rsidR="00A069F2">
        <w:rPr>
          <w:lang w:val="en-GB"/>
        </w:rPr>
        <w:t>,</w:t>
      </w:r>
      <w:r w:rsidR="001F6D34">
        <w:rPr>
          <w:lang w:val="en-GB"/>
        </w:rPr>
        <w:t xml:space="preserve"> with </w:t>
      </w:r>
      <w:r w:rsidR="00946C6F">
        <w:rPr>
          <w:lang w:val="en-GB"/>
        </w:rPr>
        <w:t xml:space="preserve">a </w:t>
      </w:r>
      <w:r w:rsidR="009D0E1A">
        <w:rPr>
          <w:lang w:val="en-GB"/>
        </w:rPr>
        <w:t>five</w:t>
      </w:r>
      <w:r w:rsidR="00946C6F">
        <w:rPr>
          <w:lang w:val="en-GB"/>
        </w:rPr>
        <w:t xml:space="preserve">-year survival rate of </w:t>
      </w:r>
      <w:r w:rsidR="001F6D34">
        <w:rPr>
          <w:lang w:val="en-GB"/>
        </w:rPr>
        <w:t xml:space="preserve">20.7 per cent </w:t>
      </w:r>
      <w:r w:rsidR="00946C6F">
        <w:rPr>
          <w:lang w:val="en-GB"/>
        </w:rPr>
        <w:t>for the same period.</w:t>
      </w:r>
    </w:p>
    <w:p w14:paraId="253321F3" w14:textId="34D286D0" w:rsidR="00946C6F" w:rsidRDefault="00946C6F" w:rsidP="00365619">
      <w:pPr>
        <w:spacing w:after="120" w:line="270" w:lineRule="atLeast"/>
        <w:ind w:left="-5" w:right="3"/>
        <w:rPr>
          <w:rFonts w:ascii="Arial" w:hAnsi="Arial" w:cs="Arial"/>
        </w:rPr>
      </w:pPr>
      <w:r w:rsidRPr="00E96337">
        <w:rPr>
          <w:rFonts w:ascii="Arial" w:hAnsi="Arial" w:cs="Arial"/>
        </w:rPr>
        <w:t>Five-year survival was similar for males (20.4 per cent) and females (21.3 per cent) overall. However, five-year survival was similar for age groups under 84 years</w:t>
      </w:r>
      <w:r w:rsidR="00A069F2">
        <w:rPr>
          <w:rFonts w:ascii="Arial" w:hAnsi="Arial" w:cs="Arial"/>
        </w:rPr>
        <w:t>,</w:t>
      </w:r>
      <w:r w:rsidRPr="00E96337">
        <w:rPr>
          <w:rFonts w:ascii="Arial" w:hAnsi="Arial" w:cs="Arial"/>
        </w:rPr>
        <w:t xml:space="preserve"> ranging from 27 per cent for those aged 35</w:t>
      </w:r>
      <w:r w:rsidR="009D0E1A">
        <w:rPr>
          <w:rFonts w:ascii="Arial" w:hAnsi="Arial" w:cs="Arial"/>
        </w:rPr>
        <w:t>–</w:t>
      </w:r>
      <w:r w:rsidRPr="00E96337">
        <w:rPr>
          <w:rFonts w:ascii="Arial" w:hAnsi="Arial" w:cs="Arial"/>
        </w:rPr>
        <w:t xml:space="preserve">44 years to 27.3 </w:t>
      </w:r>
      <w:r>
        <w:rPr>
          <w:rFonts w:ascii="Arial" w:hAnsi="Arial" w:cs="Arial"/>
        </w:rPr>
        <w:t xml:space="preserve">per cent </w:t>
      </w:r>
      <w:r w:rsidRPr="00E96337">
        <w:rPr>
          <w:rFonts w:ascii="Arial" w:hAnsi="Arial" w:cs="Arial"/>
        </w:rPr>
        <w:t>for those aged 65</w:t>
      </w:r>
      <w:r w:rsidR="009D0E1A">
        <w:rPr>
          <w:rFonts w:ascii="Arial" w:hAnsi="Arial" w:cs="Arial"/>
        </w:rPr>
        <w:t>–</w:t>
      </w:r>
      <w:r w:rsidRPr="00E96337">
        <w:rPr>
          <w:rFonts w:ascii="Arial" w:hAnsi="Arial" w:cs="Arial"/>
        </w:rPr>
        <w:t>74 years</w:t>
      </w:r>
      <w:r>
        <w:rPr>
          <w:rFonts w:ascii="Arial" w:hAnsi="Arial" w:cs="Arial"/>
        </w:rPr>
        <w:t>.</w:t>
      </w:r>
      <w:r w:rsidR="00952FC7">
        <w:rPr>
          <w:rFonts w:ascii="Arial" w:hAnsi="Arial" w:cs="Arial"/>
        </w:rPr>
        <w:t xml:space="preserve"> </w:t>
      </w:r>
      <w:r>
        <w:rPr>
          <w:rFonts w:ascii="Arial" w:hAnsi="Arial" w:cs="Arial"/>
        </w:rPr>
        <w:t xml:space="preserve">For those aged 85 years </w:t>
      </w:r>
      <w:r w:rsidR="001B50BF">
        <w:rPr>
          <w:rFonts w:ascii="Arial" w:hAnsi="Arial" w:cs="Arial"/>
        </w:rPr>
        <w:t>or older</w:t>
      </w:r>
      <w:r>
        <w:rPr>
          <w:rFonts w:ascii="Arial" w:hAnsi="Arial" w:cs="Arial"/>
        </w:rPr>
        <w:t>, the five-year survival dropped to 14.8 per cent (Figure 13.15.1)</w:t>
      </w:r>
      <w:r w:rsidR="0054316D">
        <w:rPr>
          <w:rFonts w:ascii="Arial" w:hAnsi="Arial" w:cs="Arial"/>
        </w:rPr>
        <w:t>.</w:t>
      </w:r>
    </w:p>
    <w:p w14:paraId="62575FA6" w14:textId="655C67AB" w:rsidR="00421180" w:rsidRDefault="00946C6F" w:rsidP="00365619">
      <w:pPr>
        <w:spacing w:after="120" w:line="270" w:lineRule="atLeast"/>
        <w:ind w:left="-5" w:right="3"/>
        <w:rPr>
          <w:rFonts w:ascii="Arial" w:hAnsi="Arial" w:cs="Arial"/>
        </w:rPr>
      </w:pPr>
      <w:r>
        <w:rPr>
          <w:rFonts w:ascii="Arial" w:hAnsi="Arial" w:cs="Arial"/>
        </w:rPr>
        <w:t xml:space="preserve">Survival differed </w:t>
      </w:r>
      <w:r w:rsidRPr="00E827C0">
        <w:rPr>
          <w:rFonts w:ascii="Arial" w:hAnsi="Arial" w:cs="Arial"/>
        </w:rPr>
        <w:t>significantly</w:t>
      </w:r>
      <w:r>
        <w:rPr>
          <w:rFonts w:ascii="Arial" w:hAnsi="Arial" w:cs="Arial"/>
        </w:rPr>
        <w:t xml:space="preserve"> by remoteness</w:t>
      </w:r>
      <w:r w:rsidR="00A069F2">
        <w:rPr>
          <w:rFonts w:ascii="Arial" w:hAnsi="Arial" w:cs="Arial"/>
        </w:rPr>
        <w:t>,</w:t>
      </w:r>
      <w:r>
        <w:rPr>
          <w:rFonts w:ascii="Arial" w:hAnsi="Arial" w:cs="Arial"/>
        </w:rPr>
        <w:t xml:space="preserve"> with major cities having a higher </w:t>
      </w:r>
      <w:r w:rsidR="009D0E1A">
        <w:rPr>
          <w:rFonts w:ascii="Arial" w:hAnsi="Arial" w:cs="Arial"/>
        </w:rPr>
        <w:t>five</w:t>
      </w:r>
      <w:r>
        <w:rPr>
          <w:rFonts w:ascii="Arial" w:hAnsi="Arial" w:cs="Arial"/>
        </w:rPr>
        <w:t xml:space="preserve">-year survival rate (23.1 per cent) </w:t>
      </w:r>
      <w:r w:rsidR="00A069F2">
        <w:rPr>
          <w:rFonts w:ascii="Arial" w:hAnsi="Arial" w:cs="Arial"/>
        </w:rPr>
        <w:t>than</w:t>
      </w:r>
      <w:r w:rsidR="001B50BF">
        <w:rPr>
          <w:rFonts w:ascii="Arial" w:hAnsi="Arial" w:cs="Arial"/>
        </w:rPr>
        <w:t xml:space="preserve"> </w:t>
      </w:r>
      <w:r>
        <w:rPr>
          <w:rFonts w:ascii="Arial" w:hAnsi="Arial" w:cs="Arial"/>
        </w:rPr>
        <w:t>outer regional/remote areas (11.6 per cent).</w:t>
      </w:r>
      <w:r w:rsidR="00952FC7">
        <w:rPr>
          <w:rFonts w:ascii="Arial" w:hAnsi="Arial" w:cs="Arial"/>
        </w:rPr>
        <w:t xml:space="preserve"> </w:t>
      </w:r>
      <w:r w:rsidR="00421180">
        <w:rPr>
          <w:rFonts w:ascii="Arial" w:hAnsi="Arial" w:cs="Arial"/>
        </w:rPr>
        <w:t xml:space="preserve">This trend was also mirrored between ICSs where the </w:t>
      </w:r>
      <w:r w:rsidR="008869C1">
        <w:rPr>
          <w:rFonts w:ascii="Arial" w:hAnsi="Arial" w:cs="Arial"/>
        </w:rPr>
        <w:t>five-y</w:t>
      </w:r>
      <w:r w:rsidR="00421180">
        <w:rPr>
          <w:rFonts w:ascii="Arial" w:hAnsi="Arial" w:cs="Arial"/>
        </w:rPr>
        <w:t xml:space="preserve">ear survival rate was highest in urban ICSs such as WCMICS (28.2 per cent) compared </w:t>
      </w:r>
      <w:r w:rsidR="009D0E1A">
        <w:rPr>
          <w:rFonts w:ascii="Arial" w:hAnsi="Arial" w:cs="Arial"/>
        </w:rPr>
        <w:t xml:space="preserve">with </w:t>
      </w:r>
      <w:r w:rsidR="00421180">
        <w:rPr>
          <w:rFonts w:ascii="Arial" w:hAnsi="Arial" w:cs="Arial"/>
        </w:rPr>
        <w:t>rural</w:t>
      </w:r>
      <w:r w:rsidR="00A069F2">
        <w:rPr>
          <w:rFonts w:ascii="Arial" w:hAnsi="Arial" w:cs="Arial"/>
        </w:rPr>
        <w:t>-</w:t>
      </w:r>
      <w:r w:rsidR="00421180">
        <w:rPr>
          <w:rFonts w:ascii="Arial" w:hAnsi="Arial" w:cs="Arial"/>
        </w:rPr>
        <w:t>centric ICSs</w:t>
      </w:r>
      <w:r w:rsidR="00A069F2">
        <w:rPr>
          <w:rFonts w:ascii="Arial" w:hAnsi="Arial" w:cs="Arial"/>
        </w:rPr>
        <w:t>,</w:t>
      </w:r>
      <w:r w:rsidR="00421180">
        <w:rPr>
          <w:rFonts w:ascii="Arial" w:hAnsi="Arial" w:cs="Arial"/>
        </w:rPr>
        <w:t xml:space="preserve"> namely GRICS</w:t>
      </w:r>
      <w:r w:rsidR="00A069F2">
        <w:rPr>
          <w:rFonts w:ascii="Arial" w:hAnsi="Arial" w:cs="Arial"/>
        </w:rPr>
        <w:t>,</w:t>
      </w:r>
      <w:r w:rsidR="00421180">
        <w:rPr>
          <w:rFonts w:ascii="Arial" w:hAnsi="Arial" w:cs="Arial"/>
        </w:rPr>
        <w:t xml:space="preserve"> which had a significantly lower survival rate of 7.4 per cent (Figure 13.15.1).</w:t>
      </w:r>
      <w:r w:rsidR="001C3996">
        <w:rPr>
          <w:rFonts w:ascii="Arial" w:hAnsi="Arial" w:cs="Arial"/>
        </w:rPr>
        <w:t xml:space="preserve"> H</w:t>
      </w:r>
      <w:r w:rsidR="001C3996" w:rsidRPr="006C444C">
        <w:rPr>
          <w:rFonts w:ascii="Arial" w:hAnsi="Arial" w:cs="Arial"/>
        </w:rPr>
        <w:t>owever</w:t>
      </w:r>
      <w:r w:rsidR="001C3996">
        <w:rPr>
          <w:rFonts w:ascii="Arial" w:hAnsi="Arial" w:cs="Arial"/>
        </w:rPr>
        <w:t>,</w:t>
      </w:r>
      <w:r w:rsidR="001C3996" w:rsidRPr="006C444C">
        <w:rPr>
          <w:rFonts w:ascii="Arial" w:hAnsi="Arial" w:cs="Arial"/>
        </w:rPr>
        <w:t xml:space="preserve"> these results should be interpreted with caution because of the wide confidence intervals due to small sample sizes.</w:t>
      </w:r>
    </w:p>
    <w:p w14:paraId="35AA1C54" w14:textId="0126ABAB" w:rsidR="00946C6F" w:rsidRDefault="00946C6F" w:rsidP="00365619">
      <w:pPr>
        <w:spacing w:after="120" w:line="270" w:lineRule="atLeast"/>
        <w:ind w:left="-5" w:right="3"/>
        <w:rPr>
          <w:rFonts w:ascii="Arial" w:hAnsi="Arial" w:cs="Arial"/>
        </w:rPr>
      </w:pPr>
      <w:r>
        <w:rPr>
          <w:rFonts w:ascii="Arial" w:hAnsi="Arial" w:cs="Arial"/>
        </w:rPr>
        <w:t>There was no c</w:t>
      </w:r>
      <w:r w:rsidR="002224F7">
        <w:rPr>
          <w:rFonts w:ascii="Arial" w:hAnsi="Arial" w:cs="Arial"/>
        </w:rPr>
        <w:t xml:space="preserve">onsistent </w:t>
      </w:r>
      <w:r>
        <w:rPr>
          <w:rFonts w:ascii="Arial" w:hAnsi="Arial" w:cs="Arial"/>
        </w:rPr>
        <w:t xml:space="preserve">association between survival and </w:t>
      </w:r>
      <w:r w:rsidR="00DE7FFE">
        <w:rPr>
          <w:rFonts w:ascii="Arial" w:hAnsi="Arial" w:cs="Arial"/>
        </w:rPr>
        <w:t>SES</w:t>
      </w:r>
      <w:r>
        <w:rPr>
          <w:rFonts w:ascii="Arial" w:hAnsi="Arial" w:cs="Arial"/>
        </w:rPr>
        <w:t>.</w:t>
      </w:r>
      <w:r w:rsidR="00952FC7">
        <w:rPr>
          <w:rFonts w:ascii="Arial" w:hAnsi="Arial" w:cs="Arial"/>
        </w:rPr>
        <w:t xml:space="preserve"> </w:t>
      </w:r>
      <w:r>
        <w:rPr>
          <w:rFonts w:ascii="Arial" w:hAnsi="Arial" w:cs="Arial"/>
        </w:rPr>
        <w:t>Five-year survival was the highest in the fourth highest quintile (Q</w:t>
      </w:r>
      <w:r w:rsidR="00A069F2">
        <w:rPr>
          <w:rFonts w:ascii="Arial" w:hAnsi="Arial" w:cs="Arial"/>
        </w:rPr>
        <w:t xml:space="preserve"> </w:t>
      </w:r>
      <w:r>
        <w:rPr>
          <w:rFonts w:ascii="Arial" w:hAnsi="Arial" w:cs="Arial"/>
        </w:rPr>
        <w:t>4) (27.1 per cent) and lowest in the second quintile (Q</w:t>
      </w:r>
      <w:r w:rsidR="00A069F2">
        <w:rPr>
          <w:rFonts w:ascii="Arial" w:hAnsi="Arial" w:cs="Arial"/>
        </w:rPr>
        <w:t xml:space="preserve"> </w:t>
      </w:r>
      <w:r>
        <w:rPr>
          <w:rFonts w:ascii="Arial" w:hAnsi="Arial" w:cs="Arial"/>
        </w:rPr>
        <w:t>2) (15.7 per cent) (Figure 13.15.1).</w:t>
      </w:r>
    </w:p>
    <w:p w14:paraId="6C1600EE" w14:textId="0C6EFEB2" w:rsidR="005C15AA" w:rsidRDefault="005F72D6" w:rsidP="005C15AA">
      <w:pPr>
        <w:pStyle w:val="Heading3"/>
        <w:rPr>
          <w:lang w:eastAsia="en-AU"/>
        </w:rPr>
      </w:pPr>
      <w:bookmarkStart w:id="936" w:name="_Measure_13.16_–"/>
      <w:bookmarkEnd w:id="936"/>
      <w:r>
        <w:rPr>
          <w:lang w:eastAsia="en-AU"/>
        </w:rPr>
        <w:br w:type="page"/>
      </w:r>
      <w:bookmarkStart w:id="937" w:name="_Toc19008190"/>
      <w:r w:rsidR="005C15AA">
        <w:rPr>
          <w:lang w:eastAsia="en-AU"/>
        </w:rPr>
        <w:lastRenderedPageBreak/>
        <w:t xml:space="preserve">Measure 13.16 – </w:t>
      </w:r>
      <w:r w:rsidR="00A4158A">
        <w:rPr>
          <w:lang w:eastAsia="en-AU"/>
        </w:rPr>
        <w:t xml:space="preserve">Five-year </w:t>
      </w:r>
      <w:r w:rsidR="007F25A4">
        <w:rPr>
          <w:lang w:eastAsia="en-AU"/>
        </w:rPr>
        <w:t xml:space="preserve">relative </w:t>
      </w:r>
      <w:r w:rsidR="00A4158A">
        <w:rPr>
          <w:lang w:eastAsia="en-AU"/>
        </w:rPr>
        <w:t>survival from acute myeloid leukaemia</w:t>
      </w:r>
      <w:bookmarkEnd w:id="937"/>
    </w:p>
    <w:p w14:paraId="192DADB6" w14:textId="7E07AFC4" w:rsidR="003F5D3F" w:rsidRDefault="00554010" w:rsidP="008D320F">
      <w:pPr>
        <w:pStyle w:val="DHHSfigurecaption"/>
      </w:pPr>
      <w:bookmarkStart w:id="938" w:name="_Toc19008191"/>
      <w:bookmarkStart w:id="939" w:name="_Toc19008384"/>
      <w:bookmarkStart w:id="940" w:name="_Toc19008531"/>
      <w:bookmarkStart w:id="941" w:name="_Toc19008678"/>
      <w:bookmarkStart w:id="942" w:name="_Toc27414386"/>
      <w:r w:rsidRPr="008A5FEF">
        <w:t>Figure 13.</w:t>
      </w:r>
      <w:r w:rsidR="002A2CBF">
        <w:t>1</w:t>
      </w:r>
      <w:r w:rsidRPr="008A5FEF">
        <w:t>6</w:t>
      </w:r>
      <w:r w:rsidR="009D0E1A">
        <w:t>:</w:t>
      </w:r>
      <w:r w:rsidR="006267F6">
        <w:t xml:space="preserve"> Five-year relative survival from acute myeloid leukaemia</w:t>
      </w:r>
      <w:r w:rsidR="00A069F2">
        <w:t>,</w:t>
      </w:r>
      <w:r w:rsidR="00514E0F">
        <w:t xml:space="preserve"> by age (A), remoteness (B)</w:t>
      </w:r>
      <w:r w:rsidR="00211E45">
        <w:t xml:space="preserve">, </w:t>
      </w:r>
      <w:r w:rsidR="00DE7FFE">
        <w:t>SES</w:t>
      </w:r>
      <w:r w:rsidR="00211E45">
        <w:t xml:space="preserve"> (C)</w:t>
      </w:r>
      <w:r w:rsidR="00514E0F">
        <w:t xml:space="preserve"> and </w:t>
      </w:r>
      <w:r w:rsidR="008439C8">
        <w:t>ICS</w:t>
      </w:r>
      <w:r w:rsidR="00514E0F">
        <w:t xml:space="preserve"> (</w:t>
      </w:r>
      <w:r w:rsidR="00211E45">
        <w:t>D</w:t>
      </w:r>
      <w:r w:rsidR="00514E0F">
        <w:t>), Victoria, 2010</w:t>
      </w:r>
      <w:r w:rsidR="009D0E1A">
        <w:t>–</w:t>
      </w:r>
      <w:r w:rsidR="00514E0F">
        <w:t>2014</w:t>
      </w:r>
      <w:bookmarkEnd w:id="938"/>
      <w:bookmarkEnd w:id="939"/>
      <w:bookmarkEnd w:id="940"/>
      <w:bookmarkEnd w:id="941"/>
      <w:bookmarkEnd w:id="942"/>
    </w:p>
    <w:p w14:paraId="7C226C34" w14:textId="77777777" w:rsidR="000B4004" w:rsidRDefault="000B4004" w:rsidP="00160602">
      <w:pPr>
        <w:pStyle w:val="DHHSbody"/>
        <w:numPr>
          <w:ilvl w:val="0"/>
          <w:numId w:val="7"/>
        </w:numPr>
        <w:ind w:left="484" w:hanging="425"/>
        <w:rPr>
          <w:b/>
          <w:lang w:eastAsia="en-AU"/>
        </w:rPr>
        <w:sectPr w:rsidR="000B4004" w:rsidSect="006116E6">
          <w:type w:val="continuous"/>
          <w:pgSz w:w="11906" w:h="16838"/>
          <w:pgMar w:top="1701" w:right="849" w:bottom="1134" w:left="426" w:header="454" w:footer="510" w:gutter="0"/>
          <w:cols w:space="720"/>
          <w:docGrid w:linePitch="360"/>
        </w:sectPr>
      </w:pPr>
    </w:p>
    <w:p w14:paraId="7494346D" w14:textId="3875FFCF" w:rsidR="00944845" w:rsidRDefault="00944845" w:rsidP="00160602">
      <w:pPr>
        <w:pStyle w:val="DHHSbody"/>
        <w:numPr>
          <w:ilvl w:val="0"/>
          <w:numId w:val="7"/>
        </w:numPr>
        <w:ind w:left="284" w:hanging="284"/>
        <w:rPr>
          <w:b/>
          <w:lang w:eastAsia="en-AU"/>
        </w:rPr>
      </w:pPr>
      <w:r w:rsidRPr="008A5FEF">
        <w:rPr>
          <w:b/>
          <w:lang w:eastAsia="en-AU"/>
        </w:rPr>
        <w:t>Age</w:t>
      </w:r>
    </w:p>
    <w:p w14:paraId="07EEF0B0" w14:textId="5B85B065" w:rsidR="00944845" w:rsidRDefault="001859BD" w:rsidP="003F5D3F">
      <w:pPr>
        <w:pStyle w:val="DHHSbody"/>
        <w:rPr>
          <w:b/>
          <w:lang w:eastAsia="en-AU"/>
        </w:rPr>
      </w:pPr>
      <w:r>
        <w:rPr>
          <w:b/>
          <w:noProof/>
          <w:lang w:eastAsia="en-AU"/>
        </w:rPr>
        <w:drawing>
          <wp:inline distT="0" distB="0" distL="0" distR="0" wp14:anchorId="6D8208D3" wp14:editId="56EBB2E5">
            <wp:extent cx="3133725" cy="2322830"/>
            <wp:effectExtent l="0" t="0" r="9525" b="1270"/>
            <wp:docPr id="8" name="Picture 8" descr="This figure shows a data summary of 'Measure 13.16 – Five-year survival from acute myeloid leukaemia'. Specially this figure focuses on the five-year relative survival from acute myeloid leukaemia by age for the study period 2010-2014. The data set is available under 'Measure 13.16 – Five-year survival from acute myeloid leukaemia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133725" cy="2322830"/>
                    </a:xfrm>
                    <a:prstGeom prst="rect">
                      <a:avLst/>
                    </a:prstGeom>
                    <a:noFill/>
                  </pic:spPr>
                </pic:pic>
              </a:graphicData>
            </a:graphic>
          </wp:inline>
        </w:drawing>
      </w:r>
    </w:p>
    <w:p w14:paraId="14653C1A" w14:textId="435326E3" w:rsidR="000B4004" w:rsidRDefault="000B4004" w:rsidP="00160602">
      <w:pPr>
        <w:pStyle w:val="DHHSbody"/>
        <w:numPr>
          <w:ilvl w:val="0"/>
          <w:numId w:val="7"/>
        </w:numPr>
        <w:ind w:left="284" w:hanging="284"/>
        <w:rPr>
          <w:b/>
          <w:lang w:eastAsia="en-AU"/>
        </w:rPr>
      </w:pPr>
      <w:r w:rsidRPr="008A5FEF">
        <w:rPr>
          <w:b/>
          <w:lang w:eastAsia="en-AU"/>
        </w:rPr>
        <w:t>Remoteness</w:t>
      </w:r>
    </w:p>
    <w:p w14:paraId="6807BC69" w14:textId="574ECDEA" w:rsidR="000B4004" w:rsidRDefault="001859BD" w:rsidP="000B4004">
      <w:pPr>
        <w:pStyle w:val="DHHSbody"/>
        <w:rPr>
          <w:b/>
          <w:lang w:eastAsia="en-AU"/>
        </w:rPr>
      </w:pPr>
      <w:r>
        <w:rPr>
          <w:b/>
          <w:noProof/>
          <w:lang w:eastAsia="en-AU"/>
        </w:rPr>
        <w:drawing>
          <wp:inline distT="0" distB="0" distL="0" distR="0" wp14:anchorId="1FFA573A" wp14:editId="48816C3F">
            <wp:extent cx="3139440" cy="2346960"/>
            <wp:effectExtent l="0" t="0" r="3810" b="0"/>
            <wp:docPr id="12" name="Picture 12" descr="This figure shows a data summary of 'Measure 13.16 – Five-year survival from acute myeloid leukaemia'. Specially this figure focuses on the five-year relative survival from acute myeloid leukaemia by remoteness for the study period 2010-2014. The data set is available under 'Measure 13.16 – Five-year survival from acute myeloid leukaemia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139440" cy="2346960"/>
                    </a:xfrm>
                    <a:prstGeom prst="rect">
                      <a:avLst/>
                    </a:prstGeom>
                    <a:noFill/>
                  </pic:spPr>
                </pic:pic>
              </a:graphicData>
            </a:graphic>
          </wp:inline>
        </w:drawing>
      </w:r>
    </w:p>
    <w:p w14:paraId="7DADE803" w14:textId="77777777" w:rsidR="000B4004" w:rsidRDefault="000B4004" w:rsidP="000B4004">
      <w:pPr>
        <w:pStyle w:val="DHHSbody"/>
        <w:ind w:left="319"/>
        <w:rPr>
          <w:b/>
          <w:lang w:eastAsia="en-AU"/>
        </w:rPr>
        <w:sectPr w:rsidR="000B4004" w:rsidSect="00AA1246">
          <w:type w:val="continuous"/>
          <w:pgSz w:w="11906" w:h="16838"/>
          <w:pgMar w:top="1701" w:right="849" w:bottom="1134" w:left="426" w:header="454" w:footer="510" w:gutter="0"/>
          <w:cols w:num="2" w:space="720"/>
          <w:docGrid w:linePitch="360"/>
        </w:sectPr>
      </w:pPr>
    </w:p>
    <w:p w14:paraId="63BC1155" w14:textId="2C5A63F8" w:rsidR="00944845" w:rsidRDefault="00944845" w:rsidP="00160602">
      <w:pPr>
        <w:pStyle w:val="DHHSbody"/>
        <w:numPr>
          <w:ilvl w:val="0"/>
          <w:numId w:val="7"/>
        </w:numPr>
        <w:ind w:left="284" w:hanging="284"/>
        <w:rPr>
          <w:b/>
          <w:lang w:eastAsia="en-AU"/>
        </w:rPr>
      </w:pPr>
      <w:r>
        <w:rPr>
          <w:b/>
          <w:lang w:eastAsia="en-AU"/>
        </w:rPr>
        <w:t xml:space="preserve">Socioeconomic status </w:t>
      </w:r>
    </w:p>
    <w:p w14:paraId="1F2E1EA0" w14:textId="66AE9237" w:rsidR="00944845" w:rsidRDefault="001859BD" w:rsidP="00E3280E">
      <w:pPr>
        <w:pStyle w:val="DHHSbody"/>
        <w:rPr>
          <w:b/>
          <w:lang w:eastAsia="en-AU"/>
        </w:rPr>
      </w:pPr>
      <w:r>
        <w:rPr>
          <w:b/>
          <w:noProof/>
          <w:lang w:eastAsia="en-AU"/>
        </w:rPr>
        <w:drawing>
          <wp:inline distT="0" distB="0" distL="0" distR="0" wp14:anchorId="2D9FA416" wp14:editId="6DA83918">
            <wp:extent cx="3133725" cy="2475230"/>
            <wp:effectExtent l="0" t="0" r="9525" b="1270"/>
            <wp:docPr id="15" name="Picture 15" descr="This figure shows a data summary of 'Measure 13.16 – Five-year survival from acute myeloid leukaemia'. Specially this figure focuses on the five-year relative survival from acute myeloid leukaemia by socioeconomic status for the study period 2010-2014. The data set is available under 'Measure 13.16 – Five-year survival from acute myeloid leukaemia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133725" cy="2475230"/>
                    </a:xfrm>
                    <a:prstGeom prst="rect">
                      <a:avLst/>
                    </a:prstGeom>
                    <a:noFill/>
                  </pic:spPr>
                </pic:pic>
              </a:graphicData>
            </a:graphic>
          </wp:inline>
        </w:drawing>
      </w:r>
    </w:p>
    <w:p w14:paraId="536C598A" w14:textId="2C26DD74" w:rsidR="00E3280E" w:rsidRDefault="00E3280E" w:rsidP="00160602">
      <w:pPr>
        <w:pStyle w:val="DHHSbody"/>
        <w:keepNext/>
        <w:numPr>
          <w:ilvl w:val="0"/>
          <w:numId w:val="7"/>
        </w:numPr>
        <w:ind w:left="284" w:hanging="284"/>
        <w:rPr>
          <w:b/>
          <w:lang w:eastAsia="en-AU"/>
        </w:rPr>
      </w:pPr>
      <w:r>
        <w:rPr>
          <w:b/>
          <w:lang w:eastAsia="en-AU"/>
        </w:rPr>
        <w:t>Integrated Cancer Service</w:t>
      </w:r>
    </w:p>
    <w:p w14:paraId="6A0A7C36" w14:textId="017574DC" w:rsidR="00E3280E" w:rsidRDefault="001859BD" w:rsidP="00E3280E">
      <w:pPr>
        <w:pStyle w:val="DHHSbody"/>
        <w:rPr>
          <w:b/>
          <w:lang w:eastAsia="en-AU"/>
        </w:rPr>
      </w:pPr>
      <w:r>
        <w:rPr>
          <w:b/>
          <w:noProof/>
          <w:lang w:eastAsia="en-AU"/>
        </w:rPr>
        <w:drawing>
          <wp:inline distT="0" distB="0" distL="0" distR="0" wp14:anchorId="46F7B8F0" wp14:editId="6349EE27">
            <wp:extent cx="3127375" cy="2664460"/>
            <wp:effectExtent l="0" t="0" r="0" b="2540"/>
            <wp:docPr id="17" name="Picture 17" descr="This figure shows a data summary of 'Measure 13.16 – Five-year survival from acute myeloid leukaemia'. Specially this figure focuses on the five-year relative survival from acute myeloid leukaemia by Integrated Cancer Service for the study period 2010-2014. The data set is available under 'Measure 13.16 – Five-year survival from acute myeloid leukaemia cancer'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27375" cy="2664460"/>
                    </a:xfrm>
                    <a:prstGeom prst="rect">
                      <a:avLst/>
                    </a:prstGeom>
                    <a:noFill/>
                  </pic:spPr>
                </pic:pic>
              </a:graphicData>
            </a:graphic>
          </wp:inline>
        </w:drawing>
      </w:r>
    </w:p>
    <w:p w14:paraId="11F1F1F4" w14:textId="77777777" w:rsidR="00E3280E" w:rsidRDefault="00E3280E" w:rsidP="00944845">
      <w:pPr>
        <w:pStyle w:val="DHHSbody"/>
        <w:rPr>
          <w:i/>
          <w:sz w:val="18"/>
          <w:szCs w:val="18"/>
          <w:lang w:eastAsia="en-AU"/>
        </w:rPr>
        <w:sectPr w:rsidR="00E3280E" w:rsidSect="00AA1246">
          <w:type w:val="continuous"/>
          <w:pgSz w:w="11906" w:h="16838"/>
          <w:pgMar w:top="1701" w:right="849" w:bottom="1134" w:left="426" w:header="454" w:footer="510" w:gutter="0"/>
          <w:cols w:num="2" w:space="720"/>
          <w:docGrid w:linePitch="360"/>
        </w:sectPr>
      </w:pPr>
    </w:p>
    <w:p w14:paraId="6126D521" w14:textId="70F56A0A" w:rsidR="00944845" w:rsidRDefault="00944845" w:rsidP="00561DBE">
      <w:pPr>
        <w:pStyle w:val="DHHStablefigurenote"/>
      </w:pPr>
      <w:r w:rsidRPr="00514E0F">
        <w:t xml:space="preserve">Notes: </w:t>
      </w:r>
    </w:p>
    <w:p w14:paraId="29CB40AF" w14:textId="77777777" w:rsidR="00944845" w:rsidRDefault="00944845" w:rsidP="00561DBE">
      <w:pPr>
        <w:pStyle w:val="DHHStablefigurenote"/>
      </w:pPr>
      <w:r w:rsidRPr="00514E0F">
        <w:t xml:space="preserve">Error bars </w:t>
      </w:r>
      <w:r>
        <w:t>indicate</w:t>
      </w:r>
      <w:r w:rsidRPr="00514E0F">
        <w:t xml:space="preserve"> 95</w:t>
      </w:r>
      <w:r>
        <w:t xml:space="preserve"> per cent</w:t>
      </w:r>
      <w:r w:rsidRPr="00514E0F">
        <w:t xml:space="preserve"> </w:t>
      </w:r>
      <w:r>
        <w:t>confidence intervals.</w:t>
      </w:r>
    </w:p>
    <w:p w14:paraId="757D506A" w14:textId="77777777" w:rsidR="00944845" w:rsidRDefault="00944845" w:rsidP="00561DBE">
      <w:pPr>
        <w:pStyle w:val="DHHStablefigurenote"/>
      </w:pPr>
      <w:r w:rsidRPr="00514E0F">
        <w:t>Remoteness is classified according to the Australian Standard Geo</w:t>
      </w:r>
      <w:r>
        <w:t>graphical Classification (ASGC) Remoteness Areas.</w:t>
      </w:r>
    </w:p>
    <w:p w14:paraId="29B0C512" w14:textId="2515C410" w:rsidR="00944845" w:rsidRDefault="00944845" w:rsidP="00561DBE">
      <w:pPr>
        <w:pStyle w:val="DHHStablefigurenote"/>
      </w:pPr>
      <w:r>
        <w:t>SES</w:t>
      </w:r>
      <w:r w:rsidRPr="00337712">
        <w:t xml:space="preserve"> is classified according to the ABS Socioeconomic Indexes for Areas (SEIFA) Index of Relative Socio-economic Disadvantage – 1= lowest and 5 = highest</w:t>
      </w:r>
      <w:r w:rsidR="00DC2D82">
        <w:t>.</w:t>
      </w:r>
    </w:p>
    <w:p w14:paraId="335A33F3" w14:textId="58147D3F" w:rsidR="00DC2D82" w:rsidRPr="00DC2D82" w:rsidRDefault="00DC2D82" w:rsidP="00561DBE">
      <w:pPr>
        <w:pStyle w:val="DHHStablefigurenote"/>
      </w:pPr>
      <w:r w:rsidRPr="0073300D">
        <w:t>Appendix 2 provides the dataset</w:t>
      </w:r>
      <w:r>
        <w:t>.</w:t>
      </w:r>
    </w:p>
    <w:p w14:paraId="537479C1" w14:textId="76BF134C" w:rsidR="003F5D3F" w:rsidRPr="00671C7A" w:rsidRDefault="003F5D3F" w:rsidP="00365619">
      <w:pPr>
        <w:pStyle w:val="Heading4"/>
        <w:spacing w:before="0" w:line="270" w:lineRule="atLeast"/>
        <w:rPr>
          <w:lang w:eastAsia="en-AU"/>
        </w:rPr>
      </w:pPr>
      <w:r>
        <w:rPr>
          <w:lang w:eastAsia="en-AU"/>
        </w:rPr>
        <w:t>Measure assessment</w:t>
      </w:r>
    </w:p>
    <w:p w14:paraId="24B0CF09" w14:textId="394954B3" w:rsidR="006537FE" w:rsidRPr="00F270EA" w:rsidRDefault="003F5D3F" w:rsidP="00F270EA">
      <w:pPr>
        <w:autoSpaceDE w:val="0"/>
        <w:autoSpaceDN w:val="0"/>
        <w:adjustRightInd w:val="0"/>
        <w:spacing w:after="120" w:line="270" w:lineRule="atLeast"/>
        <w:rPr>
          <w:rFonts w:ascii="Arial" w:hAnsi="Arial" w:cs="Arial"/>
          <w:color w:val="C5511A"/>
        </w:rPr>
      </w:pPr>
      <w:r>
        <w:rPr>
          <w:rFonts w:ascii="Arial" w:hAnsi="Arial" w:cs="Arial"/>
        </w:rPr>
        <w:t xml:space="preserve">Traffic light rating: </w:t>
      </w:r>
      <w:r w:rsidR="004760CC" w:rsidRPr="006537FE">
        <w:rPr>
          <w:rFonts w:ascii="Arial" w:hAnsi="Arial" w:cs="Arial"/>
          <w:b/>
          <w:color w:val="C5511A"/>
        </w:rPr>
        <w:t>Amber</w:t>
      </w:r>
      <w:r w:rsidR="006537FE">
        <w:rPr>
          <w:rFonts w:ascii="Arial" w:hAnsi="Arial" w:cs="Arial"/>
          <w:b/>
          <w:color w:val="C5511A"/>
        </w:rPr>
        <w:t xml:space="preserve"> </w:t>
      </w:r>
      <w:r w:rsidR="006537FE" w:rsidRPr="00EA3932">
        <w:rPr>
          <w:rFonts w:ascii="Arial" w:hAnsi="Arial" w:cs="Arial"/>
          <w:color w:val="C5511A"/>
        </w:rPr>
        <w:t>(desired result not yet evident)</w:t>
      </w:r>
    </w:p>
    <w:p w14:paraId="776F73CB" w14:textId="555898A1" w:rsidR="003F5D3F" w:rsidRDefault="003F5D3F" w:rsidP="00F270EA">
      <w:pPr>
        <w:spacing w:after="120" w:line="270" w:lineRule="atLeast"/>
        <w:rPr>
          <w:rFonts w:ascii="Arial" w:hAnsi="Arial" w:cs="Arial"/>
        </w:rPr>
      </w:pPr>
      <w:r>
        <w:rPr>
          <w:rFonts w:ascii="Arial" w:hAnsi="Arial" w:cs="Arial"/>
        </w:rPr>
        <w:t xml:space="preserve">Overall trend: </w:t>
      </w:r>
      <w:r w:rsidR="00F909CC">
        <w:rPr>
          <w:rFonts w:ascii="Arial" w:hAnsi="Arial" w:cs="Arial"/>
        </w:rPr>
        <w:t>Could</w:t>
      </w:r>
      <w:r w:rsidR="00F43A14">
        <w:rPr>
          <w:rFonts w:ascii="Arial" w:hAnsi="Arial" w:cs="Arial"/>
        </w:rPr>
        <w:t xml:space="preserve"> not</w:t>
      </w:r>
      <w:r w:rsidR="00F909CC">
        <w:rPr>
          <w:rFonts w:ascii="Arial" w:hAnsi="Arial" w:cs="Arial"/>
        </w:rPr>
        <w:t xml:space="preserve"> be calculated due to only one data point (2010</w:t>
      </w:r>
      <w:r w:rsidR="009D0E1A">
        <w:rPr>
          <w:rFonts w:ascii="Arial" w:hAnsi="Arial" w:cs="Arial"/>
        </w:rPr>
        <w:t>–</w:t>
      </w:r>
      <w:r w:rsidR="00F909CC">
        <w:rPr>
          <w:rFonts w:ascii="Arial" w:hAnsi="Arial" w:cs="Arial"/>
        </w:rPr>
        <w:t>2014)</w:t>
      </w:r>
    </w:p>
    <w:p w14:paraId="56E3693B" w14:textId="4DA176D1" w:rsidR="00F2223E" w:rsidRPr="001C196C" w:rsidRDefault="003F5D3F" w:rsidP="00F270EA">
      <w:pPr>
        <w:spacing w:after="120" w:line="270" w:lineRule="atLeast"/>
        <w:ind w:left="-6" w:right="6"/>
        <w:rPr>
          <w:rFonts w:ascii="Arial" w:hAnsi="Arial" w:cs="Arial"/>
        </w:rPr>
      </w:pPr>
      <w:r w:rsidRPr="00DB4495">
        <w:rPr>
          <w:rFonts w:ascii="Arial" w:hAnsi="Arial" w:cs="Arial"/>
        </w:rPr>
        <w:t>Commentary:</w:t>
      </w:r>
      <w:r w:rsidR="005123CF" w:rsidRPr="00DB4495">
        <w:rPr>
          <w:rFonts w:ascii="Arial" w:hAnsi="Arial" w:cs="Arial"/>
        </w:rPr>
        <w:t xml:space="preserve"> </w:t>
      </w:r>
      <w:r w:rsidR="00F2223E" w:rsidRPr="00A61286">
        <w:rPr>
          <w:rFonts w:ascii="Arial" w:hAnsi="Arial" w:cs="Arial"/>
        </w:rPr>
        <w:t xml:space="preserve">In Victoria, at diagnosis, the probability of surviving from </w:t>
      </w:r>
      <w:r w:rsidR="00A069F2">
        <w:rPr>
          <w:rFonts w:ascii="Arial" w:hAnsi="Arial" w:cs="Arial"/>
        </w:rPr>
        <w:t xml:space="preserve">AML </w:t>
      </w:r>
      <w:r w:rsidR="00F2223E" w:rsidRPr="00A61286">
        <w:rPr>
          <w:rFonts w:ascii="Arial" w:hAnsi="Arial" w:cs="Arial"/>
        </w:rPr>
        <w:t>for at least</w:t>
      </w:r>
      <w:r w:rsidR="008869C1">
        <w:rPr>
          <w:rFonts w:ascii="Arial" w:hAnsi="Arial" w:cs="Arial"/>
        </w:rPr>
        <w:t xml:space="preserve"> five y</w:t>
      </w:r>
      <w:r w:rsidR="00F2223E" w:rsidRPr="00A61286">
        <w:rPr>
          <w:rFonts w:ascii="Arial" w:hAnsi="Arial" w:cs="Arial"/>
        </w:rPr>
        <w:t>ears was 27.7 per cent between the period 2010</w:t>
      </w:r>
      <w:r w:rsidR="00CA6D80">
        <w:rPr>
          <w:rFonts w:ascii="Arial" w:hAnsi="Arial" w:cs="Arial"/>
        </w:rPr>
        <w:t>–</w:t>
      </w:r>
      <w:r w:rsidR="00F2223E" w:rsidRPr="00A61286">
        <w:rPr>
          <w:rFonts w:ascii="Arial" w:hAnsi="Arial" w:cs="Arial"/>
        </w:rPr>
        <w:t>2014. Survival</w:t>
      </w:r>
      <w:r w:rsidR="00F2223E" w:rsidRPr="00A61286">
        <w:rPr>
          <w:rFonts w:ascii="Arial" w:hAnsi="Arial" w:cs="Arial"/>
          <w:b/>
        </w:rPr>
        <w:t xml:space="preserve"> </w:t>
      </w:r>
      <w:r w:rsidR="00F2223E" w:rsidRPr="00A61286">
        <w:rPr>
          <w:rFonts w:ascii="Arial" w:hAnsi="Arial" w:cs="Arial"/>
        </w:rPr>
        <w:t>did not differ significantly between the genders</w:t>
      </w:r>
      <w:r w:rsidR="00A069F2">
        <w:rPr>
          <w:rFonts w:ascii="Arial" w:hAnsi="Arial" w:cs="Arial"/>
        </w:rPr>
        <w:t>,</w:t>
      </w:r>
      <w:r w:rsidR="00F2223E" w:rsidRPr="00A61286">
        <w:rPr>
          <w:rFonts w:ascii="Arial" w:hAnsi="Arial" w:cs="Arial"/>
        </w:rPr>
        <w:t xml:space="preserve"> with five-year survival being 27 per cent </w:t>
      </w:r>
      <w:r w:rsidR="00C15E13" w:rsidRPr="00A61286">
        <w:rPr>
          <w:rFonts w:ascii="Arial" w:hAnsi="Arial" w:cs="Arial"/>
        </w:rPr>
        <w:t xml:space="preserve">for males </w:t>
      </w:r>
      <w:r w:rsidR="00F2223E" w:rsidRPr="00A61286">
        <w:rPr>
          <w:rFonts w:ascii="Arial" w:hAnsi="Arial" w:cs="Arial"/>
        </w:rPr>
        <w:t xml:space="preserve">compared </w:t>
      </w:r>
      <w:r w:rsidR="001B50BF">
        <w:rPr>
          <w:rFonts w:ascii="Arial" w:hAnsi="Arial" w:cs="Arial"/>
        </w:rPr>
        <w:t>with</w:t>
      </w:r>
      <w:r w:rsidR="001B50BF" w:rsidRPr="00A61286">
        <w:rPr>
          <w:rFonts w:ascii="Arial" w:hAnsi="Arial" w:cs="Arial"/>
        </w:rPr>
        <w:t xml:space="preserve"> </w:t>
      </w:r>
      <w:r w:rsidR="006B2540" w:rsidRPr="00A61286">
        <w:rPr>
          <w:rFonts w:ascii="Arial" w:hAnsi="Arial" w:cs="Arial"/>
        </w:rPr>
        <w:t xml:space="preserve">28.5 per cent for </w:t>
      </w:r>
      <w:r w:rsidR="00F2223E" w:rsidRPr="00A61286">
        <w:rPr>
          <w:rFonts w:ascii="Arial" w:hAnsi="Arial" w:cs="Arial"/>
        </w:rPr>
        <w:t xml:space="preserve">females. </w:t>
      </w:r>
      <w:r w:rsidR="006B2540" w:rsidRPr="00A61286">
        <w:rPr>
          <w:rFonts w:ascii="Arial" w:hAnsi="Arial" w:cs="Arial"/>
        </w:rPr>
        <w:t>Figure 13.</w:t>
      </w:r>
      <w:r w:rsidR="002A2CBF">
        <w:rPr>
          <w:rFonts w:ascii="Arial" w:hAnsi="Arial" w:cs="Arial"/>
        </w:rPr>
        <w:t>1</w:t>
      </w:r>
      <w:r w:rsidR="006B2540" w:rsidRPr="00A61286">
        <w:rPr>
          <w:rFonts w:ascii="Arial" w:hAnsi="Arial" w:cs="Arial"/>
        </w:rPr>
        <w:t xml:space="preserve">6 shows that older age at diagnosis was </w:t>
      </w:r>
      <w:r w:rsidR="006B2540" w:rsidRPr="00A61286">
        <w:rPr>
          <w:rFonts w:ascii="Arial" w:hAnsi="Arial" w:cs="Arial"/>
        </w:rPr>
        <w:lastRenderedPageBreak/>
        <w:t>associated with lower survival</w:t>
      </w:r>
      <w:r w:rsidR="00A069F2">
        <w:rPr>
          <w:rFonts w:ascii="Arial" w:hAnsi="Arial" w:cs="Arial"/>
        </w:rPr>
        <w:t>,</w:t>
      </w:r>
      <w:r w:rsidR="006B2540" w:rsidRPr="00A61286">
        <w:rPr>
          <w:rFonts w:ascii="Arial" w:hAnsi="Arial" w:cs="Arial"/>
        </w:rPr>
        <w:t xml:space="preserve"> </w:t>
      </w:r>
      <w:r w:rsidR="006B2540" w:rsidRPr="001C196C">
        <w:rPr>
          <w:rFonts w:ascii="Arial" w:hAnsi="Arial" w:cs="Arial"/>
        </w:rPr>
        <w:t xml:space="preserve">particularly from those aged 65 years </w:t>
      </w:r>
      <w:r w:rsidR="00A069F2">
        <w:rPr>
          <w:rFonts w:ascii="Arial" w:hAnsi="Arial" w:cs="Arial"/>
        </w:rPr>
        <w:t>or older</w:t>
      </w:r>
      <w:r w:rsidR="00B4082B" w:rsidRPr="001C196C">
        <w:rPr>
          <w:rFonts w:ascii="Arial" w:hAnsi="Arial" w:cs="Arial"/>
        </w:rPr>
        <w:t xml:space="preserve"> compared with 78.3 per cent for those aged under 44 years.</w:t>
      </w:r>
    </w:p>
    <w:p w14:paraId="3E17BCD4" w14:textId="43FD818F" w:rsidR="00D23158" w:rsidRPr="001C196C" w:rsidRDefault="006B2540" w:rsidP="00365619">
      <w:pPr>
        <w:spacing w:after="120" w:line="270" w:lineRule="atLeast"/>
        <w:ind w:left="-5" w:right="6"/>
        <w:rPr>
          <w:rFonts w:ascii="Arial" w:hAnsi="Arial" w:cs="Arial"/>
        </w:rPr>
      </w:pPr>
      <w:r w:rsidRPr="001C196C">
        <w:rPr>
          <w:rFonts w:ascii="Arial" w:hAnsi="Arial" w:cs="Arial"/>
        </w:rPr>
        <w:t>There were no significant differences in survival by remoteness</w:t>
      </w:r>
      <w:r w:rsidR="00B4082B" w:rsidRPr="001C196C">
        <w:rPr>
          <w:rFonts w:ascii="Arial" w:hAnsi="Arial" w:cs="Arial"/>
        </w:rPr>
        <w:t xml:space="preserve"> (Figure 13.</w:t>
      </w:r>
      <w:r w:rsidR="002A2CBF" w:rsidRPr="001C196C">
        <w:rPr>
          <w:rFonts w:ascii="Arial" w:hAnsi="Arial" w:cs="Arial"/>
        </w:rPr>
        <w:t>1</w:t>
      </w:r>
      <w:r w:rsidR="00B4082B" w:rsidRPr="001C196C">
        <w:rPr>
          <w:rFonts w:ascii="Arial" w:hAnsi="Arial" w:cs="Arial"/>
        </w:rPr>
        <w:t>6</w:t>
      </w:r>
      <w:r w:rsidR="008316CE">
        <w:rPr>
          <w:rFonts w:ascii="Arial" w:hAnsi="Arial" w:cs="Arial"/>
        </w:rPr>
        <w:t>)</w:t>
      </w:r>
      <w:r w:rsidRPr="001C196C">
        <w:rPr>
          <w:rFonts w:ascii="Arial" w:hAnsi="Arial" w:cs="Arial"/>
        </w:rPr>
        <w:t>.</w:t>
      </w:r>
      <w:r w:rsidR="00867D5D" w:rsidRPr="001C196C">
        <w:rPr>
          <w:rFonts w:ascii="Arial" w:hAnsi="Arial" w:cs="Arial"/>
        </w:rPr>
        <w:t xml:space="preserve"> Five-year survival was highest for people living in inner regional areas (30 per cent) compared with major cities and remote areas </w:t>
      </w:r>
      <w:r w:rsidR="00A069F2">
        <w:rPr>
          <w:rFonts w:ascii="Arial" w:hAnsi="Arial" w:cs="Arial"/>
        </w:rPr>
        <w:t xml:space="preserve">– </w:t>
      </w:r>
      <w:r w:rsidR="00867D5D" w:rsidRPr="001C196C">
        <w:rPr>
          <w:rFonts w:ascii="Arial" w:hAnsi="Arial" w:cs="Arial"/>
        </w:rPr>
        <w:t>both 27 per cent</w:t>
      </w:r>
      <w:r w:rsidR="00A61286" w:rsidRPr="001C196C">
        <w:rPr>
          <w:rFonts w:ascii="Arial" w:hAnsi="Arial" w:cs="Arial"/>
        </w:rPr>
        <w:t xml:space="preserve"> between 2010</w:t>
      </w:r>
      <w:r w:rsidR="009D0E1A">
        <w:rPr>
          <w:rFonts w:ascii="Arial" w:hAnsi="Arial" w:cs="Arial"/>
        </w:rPr>
        <w:t>–</w:t>
      </w:r>
      <w:r w:rsidR="00A61286" w:rsidRPr="001C196C">
        <w:rPr>
          <w:rFonts w:ascii="Arial" w:hAnsi="Arial" w:cs="Arial"/>
        </w:rPr>
        <w:t>2014.</w:t>
      </w:r>
      <w:r w:rsidR="00952FC7">
        <w:rPr>
          <w:rFonts w:ascii="Arial" w:hAnsi="Arial" w:cs="Arial"/>
        </w:rPr>
        <w:t xml:space="preserve"> </w:t>
      </w:r>
      <w:r w:rsidR="00D23158" w:rsidRPr="001C196C">
        <w:rPr>
          <w:rFonts w:ascii="Arial" w:hAnsi="Arial" w:cs="Arial"/>
        </w:rPr>
        <w:t xml:space="preserve">Figure 13.6 shows that the </w:t>
      </w:r>
      <w:r w:rsidR="009D0E1A">
        <w:rPr>
          <w:rFonts w:ascii="Arial" w:hAnsi="Arial" w:cs="Arial"/>
        </w:rPr>
        <w:t>five</w:t>
      </w:r>
      <w:r w:rsidR="00D23158" w:rsidRPr="001C196C">
        <w:rPr>
          <w:rFonts w:ascii="Arial" w:hAnsi="Arial" w:cs="Arial"/>
        </w:rPr>
        <w:t xml:space="preserve">-year relative survival rate </w:t>
      </w:r>
      <w:r w:rsidR="00463092">
        <w:rPr>
          <w:rFonts w:ascii="Arial" w:hAnsi="Arial" w:cs="Arial"/>
        </w:rPr>
        <w:t xml:space="preserve">by SES were similar. </w:t>
      </w:r>
      <w:r w:rsidR="00D23158" w:rsidRPr="001C196C">
        <w:rPr>
          <w:rFonts w:ascii="Arial" w:hAnsi="Arial" w:cs="Arial"/>
        </w:rPr>
        <w:t xml:space="preserve">Five-year survival </w:t>
      </w:r>
      <w:r w:rsidR="00463092">
        <w:rPr>
          <w:rFonts w:ascii="Arial" w:hAnsi="Arial" w:cs="Arial"/>
        </w:rPr>
        <w:t xml:space="preserve">appeared to be </w:t>
      </w:r>
      <w:r w:rsidR="00D23158" w:rsidRPr="001C196C">
        <w:rPr>
          <w:rFonts w:ascii="Arial" w:hAnsi="Arial" w:cs="Arial"/>
        </w:rPr>
        <w:t>highe</w:t>
      </w:r>
      <w:r w:rsidR="00463092">
        <w:rPr>
          <w:rFonts w:ascii="Arial" w:hAnsi="Arial" w:cs="Arial"/>
        </w:rPr>
        <w:t>st</w:t>
      </w:r>
      <w:r w:rsidR="00D23158" w:rsidRPr="001C196C">
        <w:rPr>
          <w:rFonts w:ascii="Arial" w:hAnsi="Arial" w:cs="Arial"/>
        </w:rPr>
        <w:t xml:space="preserve"> for people in the third highest socioeconomic quintile (32.1 per cent) compared with other </w:t>
      </w:r>
      <w:r w:rsidR="002C35B2">
        <w:rPr>
          <w:rFonts w:ascii="Arial" w:hAnsi="Arial" w:cs="Arial"/>
        </w:rPr>
        <w:t>socioeconomic</w:t>
      </w:r>
      <w:r w:rsidR="00D23158" w:rsidRPr="001C196C">
        <w:rPr>
          <w:rFonts w:ascii="Arial" w:hAnsi="Arial" w:cs="Arial"/>
        </w:rPr>
        <w:t xml:space="preserve"> quintiles (2</w:t>
      </w:r>
      <w:r w:rsidR="001C196C" w:rsidRPr="001C196C">
        <w:rPr>
          <w:rFonts w:ascii="Arial" w:hAnsi="Arial" w:cs="Arial"/>
        </w:rPr>
        <w:t>5.1</w:t>
      </w:r>
      <w:r w:rsidR="00D23158" w:rsidRPr="001C196C">
        <w:rPr>
          <w:rFonts w:ascii="Arial" w:hAnsi="Arial" w:cs="Arial"/>
        </w:rPr>
        <w:t>–2</w:t>
      </w:r>
      <w:r w:rsidR="001C196C" w:rsidRPr="001C196C">
        <w:rPr>
          <w:rFonts w:ascii="Arial" w:hAnsi="Arial" w:cs="Arial"/>
        </w:rPr>
        <w:t>7.1 per cent</w:t>
      </w:r>
      <w:r w:rsidR="00D23158" w:rsidRPr="001C196C">
        <w:rPr>
          <w:rFonts w:ascii="Arial" w:hAnsi="Arial" w:cs="Arial"/>
        </w:rPr>
        <w:t xml:space="preserve">). </w:t>
      </w:r>
    </w:p>
    <w:p w14:paraId="49AD9855" w14:textId="553F78C3" w:rsidR="0018264E" w:rsidRDefault="000E1A87" w:rsidP="00E97074">
      <w:pPr>
        <w:spacing w:after="120" w:line="270" w:lineRule="atLeast"/>
        <w:ind w:right="6"/>
        <w:rPr>
          <w:rFonts w:ascii="Arial" w:hAnsi="Arial" w:cs="Arial"/>
        </w:rPr>
      </w:pPr>
      <w:r w:rsidRPr="009C31FE">
        <w:rPr>
          <w:rFonts w:ascii="Arial" w:hAnsi="Arial" w:cs="Arial"/>
        </w:rPr>
        <w:t>The five</w:t>
      </w:r>
      <w:r w:rsidR="00B4082B" w:rsidRPr="009C31FE">
        <w:rPr>
          <w:rFonts w:ascii="Arial" w:hAnsi="Arial" w:cs="Arial"/>
        </w:rPr>
        <w:t xml:space="preserve">-year survival rate </w:t>
      </w:r>
      <w:r w:rsidR="00B71492">
        <w:rPr>
          <w:rFonts w:ascii="Arial" w:hAnsi="Arial" w:cs="Arial"/>
        </w:rPr>
        <w:t xml:space="preserve">appeared to </w:t>
      </w:r>
      <w:r w:rsidR="00C378DF" w:rsidRPr="009C31FE">
        <w:rPr>
          <w:rFonts w:ascii="Arial" w:hAnsi="Arial" w:cs="Arial"/>
        </w:rPr>
        <w:t>var</w:t>
      </w:r>
      <w:r w:rsidR="00B71492">
        <w:rPr>
          <w:rFonts w:ascii="Arial" w:hAnsi="Arial" w:cs="Arial"/>
        </w:rPr>
        <w:t>y</w:t>
      </w:r>
      <w:r w:rsidR="00C378DF" w:rsidRPr="009C31FE">
        <w:rPr>
          <w:rFonts w:ascii="Arial" w:hAnsi="Arial" w:cs="Arial"/>
        </w:rPr>
        <w:t xml:space="preserve"> </w:t>
      </w:r>
      <w:r w:rsidR="009C31FE" w:rsidRPr="009C31FE">
        <w:rPr>
          <w:rFonts w:ascii="Arial" w:hAnsi="Arial" w:cs="Arial"/>
        </w:rPr>
        <w:t>across Victoria as it related to ICSs</w:t>
      </w:r>
      <w:r w:rsidR="00A069F2">
        <w:rPr>
          <w:rFonts w:ascii="Arial" w:hAnsi="Arial" w:cs="Arial"/>
        </w:rPr>
        <w:t>,</w:t>
      </w:r>
      <w:r w:rsidR="009C31FE" w:rsidRPr="009C31FE">
        <w:rPr>
          <w:rFonts w:ascii="Arial" w:hAnsi="Arial" w:cs="Arial"/>
        </w:rPr>
        <w:t xml:space="preserve"> </w:t>
      </w:r>
      <w:r w:rsidR="00C378DF" w:rsidRPr="009C31FE">
        <w:rPr>
          <w:rFonts w:ascii="Arial" w:hAnsi="Arial" w:cs="Arial"/>
        </w:rPr>
        <w:t xml:space="preserve">with </w:t>
      </w:r>
      <w:r w:rsidR="009C31FE" w:rsidRPr="009C31FE">
        <w:rPr>
          <w:rFonts w:ascii="Arial" w:hAnsi="Arial" w:cs="Arial"/>
        </w:rPr>
        <w:t xml:space="preserve">the </w:t>
      </w:r>
      <w:r w:rsidR="00C378DF" w:rsidRPr="009C31FE">
        <w:rPr>
          <w:rFonts w:ascii="Arial" w:hAnsi="Arial" w:cs="Arial"/>
        </w:rPr>
        <w:t xml:space="preserve">urban ICS </w:t>
      </w:r>
      <w:r w:rsidR="009C31FE" w:rsidRPr="009C31FE">
        <w:rPr>
          <w:rFonts w:ascii="Arial" w:hAnsi="Arial" w:cs="Arial"/>
        </w:rPr>
        <w:t>SMICS hav</w:t>
      </w:r>
      <w:r w:rsidR="000C1451">
        <w:rPr>
          <w:rFonts w:ascii="Arial" w:hAnsi="Arial" w:cs="Arial"/>
        </w:rPr>
        <w:t>ing</w:t>
      </w:r>
      <w:r w:rsidR="009C31FE" w:rsidRPr="009C31FE">
        <w:rPr>
          <w:rFonts w:ascii="Arial" w:hAnsi="Arial" w:cs="Arial"/>
        </w:rPr>
        <w:t xml:space="preserve"> the lowest survival rate (22.4 per cent) compared </w:t>
      </w:r>
      <w:r w:rsidR="009D0E1A">
        <w:rPr>
          <w:rFonts w:ascii="Arial" w:hAnsi="Arial" w:cs="Arial"/>
        </w:rPr>
        <w:t>with</w:t>
      </w:r>
      <w:r w:rsidR="009D0E1A" w:rsidRPr="009C31FE">
        <w:rPr>
          <w:rFonts w:ascii="Arial" w:hAnsi="Arial" w:cs="Arial"/>
        </w:rPr>
        <w:t xml:space="preserve"> </w:t>
      </w:r>
      <w:r w:rsidR="009C31FE" w:rsidRPr="009C31FE">
        <w:rPr>
          <w:rFonts w:ascii="Arial" w:hAnsi="Arial" w:cs="Arial"/>
        </w:rPr>
        <w:t>a predominantly rural ICS – LMICS</w:t>
      </w:r>
      <w:r w:rsidR="000C1451">
        <w:rPr>
          <w:rFonts w:ascii="Arial" w:hAnsi="Arial" w:cs="Arial"/>
        </w:rPr>
        <w:t>’s</w:t>
      </w:r>
      <w:r w:rsidR="009C31FE" w:rsidRPr="009C31FE">
        <w:rPr>
          <w:rFonts w:ascii="Arial" w:hAnsi="Arial" w:cs="Arial"/>
        </w:rPr>
        <w:t xml:space="preserve"> rate of 33.2 per cent.</w:t>
      </w:r>
      <w:r w:rsidR="00952FC7">
        <w:rPr>
          <w:rFonts w:ascii="Arial" w:hAnsi="Arial" w:cs="Arial"/>
        </w:rPr>
        <w:t xml:space="preserve"> </w:t>
      </w:r>
      <w:r w:rsidR="009C31FE" w:rsidRPr="009C31FE">
        <w:rPr>
          <w:rFonts w:ascii="Arial" w:hAnsi="Arial" w:cs="Arial"/>
        </w:rPr>
        <w:t>WCMICS recorded the highest rate of 37 per cent (Figure 13.16).</w:t>
      </w:r>
      <w:r w:rsidR="00A0408A">
        <w:rPr>
          <w:rFonts w:ascii="Arial" w:hAnsi="Arial" w:cs="Arial"/>
        </w:rPr>
        <w:t xml:space="preserve"> H</w:t>
      </w:r>
      <w:r w:rsidR="00A0408A" w:rsidRPr="006C444C">
        <w:rPr>
          <w:rFonts w:ascii="Arial" w:hAnsi="Arial" w:cs="Arial"/>
        </w:rPr>
        <w:t>owever</w:t>
      </w:r>
      <w:r w:rsidR="00A0408A">
        <w:rPr>
          <w:rFonts w:ascii="Arial" w:hAnsi="Arial" w:cs="Arial"/>
        </w:rPr>
        <w:t>,</w:t>
      </w:r>
      <w:r w:rsidR="00A0408A" w:rsidRPr="006C444C">
        <w:rPr>
          <w:rFonts w:ascii="Arial" w:hAnsi="Arial" w:cs="Arial"/>
        </w:rPr>
        <w:t xml:space="preserve"> these results should be interpreted with caution because of the wide confidence intervals due to small sample sizes.</w:t>
      </w:r>
    </w:p>
    <w:p w14:paraId="232E978F" w14:textId="4723F653" w:rsidR="005C15AA" w:rsidRPr="00E97074" w:rsidRDefault="005F72D6" w:rsidP="0018264E">
      <w:pPr>
        <w:pStyle w:val="Heading3"/>
        <w:rPr>
          <w:rFonts w:cs="Arial"/>
        </w:rPr>
      </w:pPr>
      <w:r>
        <w:br w:type="page"/>
      </w:r>
      <w:bookmarkStart w:id="943" w:name="_Toc19008192"/>
      <w:r w:rsidR="005C15AA">
        <w:lastRenderedPageBreak/>
        <w:t xml:space="preserve">Measure 13.17 – </w:t>
      </w:r>
      <w:r w:rsidR="00A4158A">
        <w:t>Five-year survival from all cancers diagnosed at stages 1 and 2</w:t>
      </w:r>
      <w:bookmarkEnd w:id="943"/>
    </w:p>
    <w:p w14:paraId="382A943B" w14:textId="481AD75A" w:rsidR="005C15AA" w:rsidRPr="0018264E" w:rsidRDefault="007C459A" w:rsidP="00E97074">
      <w:pPr>
        <w:pStyle w:val="DHHSbody"/>
        <w:rPr>
          <w:rStyle w:val="Heading3Char"/>
        </w:rPr>
      </w:pPr>
      <w:r>
        <w:t xml:space="preserve">Data as it relates to registry-derived stage </w:t>
      </w:r>
      <w:r w:rsidR="007D34D6">
        <w:t>are</w:t>
      </w:r>
      <w:r>
        <w:t xml:space="preserve"> currently only available for some cancer tumour streams</w:t>
      </w:r>
      <w:r w:rsidR="00A069F2">
        <w:t>,</w:t>
      </w:r>
      <w:r>
        <w:t xml:space="preserve"> namely breast, colorectal and prostate</w:t>
      </w:r>
      <w:r w:rsidR="00A069F2">
        <w:t>,</w:t>
      </w:r>
      <w:r>
        <w:t xml:space="preserve"> rather than ‘all’ cancers. Refer to Appendix 1.</w:t>
      </w:r>
      <w:r w:rsidR="005F72D6">
        <w:rPr>
          <w:lang w:eastAsia="en-AU"/>
        </w:rPr>
        <w:br w:type="page"/>
      </w:r>
      <w:bookmarkStart w:id="944" w:name="_Toc19008193"/>
      <w:r w:rsidR="005C15AA" w:rsidRPr="0018264E">
        <w:rPr>
          <w:rStyle w:val="Heading3Char"/>
        </w:rPr>
        <w:lastRenderedPageBreak/>
        <w:t>Measure 13.18 – Five-year survival from all cancers diagnosed at stages 3 and 4</w:t>
      </w:r>
      <w:bookmarkEnd w:id="944"/>
    </w:p>
    <w:p w14:paraId="29398628" w14:textId="77777777" w:rsidR="0018264E" w:rsidRDefault="007C459A" w:rsidP="00E97074">
      <w:pPr>
        <w:pStyle w:val="DHHSbody"/>
      </w:pPr>
      <w:r>
        <w:t xml:space="preserve">Data as it relates to registry-derived stage </w:t>
      </w:r>
      <w:r w:rsidR="007D34D6">
        <w:t>are</w:t>
      </w:r>
      <w:r>
        <w:t xml:space="preserve"> currently only available for some cancer tumour streams</w:t>
      </w:r>
      <w:r w:rsidR="00A069F2">
        <w:t>,</w:t>
      </w:r>
      <w:r>
        <w:t xml:space="preserve"> namely breast, colorectal and prostate</w:t>
      </w:r>
      <w:r w:rsidR="00A069F2">
        <w:t>,</w:t>
      </w:r>
      <w:r>
        <w:t xml:space="preserve"> rather than ‘all’ cancers. Refer to Appendix 1.</w:t>
      </w:r>
    </w:p>
    <w:p w14:paraId="4FA23FC2" w14:textId="77777777" w:rsidR="00E2792D" w:rsidRDefault="00E2792D" w:rsidP="0018264E">
      <w:pPr>
        <w:pStyle w:val="Heading2"/>
        <w:sectPr w:rsidR="00E2792D" w:rsidSect="006116E6">
          <w:type w:val="continuous"/>
          <w:pgSz w:w="11906" w:h="16838"/>
          <w:pgMar w:top="1701" w:right="849" w:bottom="1134" w:left="426" w:header="454" w:footer="510" w:gutter="0"/>
          <w:cols w:space="720"/>
          <w:docGrid w:linePitch="360"/>
        </w:sectPr>
      </w:pPr>
    </w:p>
    <w:p w14:paraId="0EB26B77" w14:textId="1E74E040" w:rsidR="005C15AA" w:rsidRPr="005F0940" w:rsidRDefault="00537A4F" w:rsidP="0018264E">
      <w:pPr>
        <w:pStyle w:val="Heading2"/>
        <w:rPr>
          <w:lang w:eastAsia="en-AU"/>
        </w:rPr>
      </w:pPr>
      <w:bookmarkStart w:id="945" w:name="_Toc19008194"/>
      <w:bookmarkStart w:id="946" w:name="_Toc33457079"/>
      <w:r w:rsidRPr="005F0940">
        <w:lastRenderedPageBreak/>
        <w:t>Key result: Improving quality of life</w:t>
      </w:r>
      <w:bookmarkEnd w:id="945"/>
      <w:bookmarkEnd w:id="946"/>
    </w:p>
    <w:p w14:paraId="6DD163F5" w14:textId="5125F03E" w:rsidR="005C15AA" w:rsidRDefault="005C15AA" w:rsidP="005C15AA">
      <w:pPr>
        <w:pStyle w:val="Heading3"/>
        <w:rPr>
          <w:lang w:eastAsia="en-AU"/>
        </w:rPr>
      </w:pPr>
      <w:bookmarkStart w:id="947" w:name="_Toc19008195"/>
      <w:r>
        <w:rPr>
          <w:lang w:eastAsia="en-AU"/>
        </w:rPr>
        <w:t>Measure 14.1 – Health</w:t>
      </w:r>
      <w:r w:rsidR="009D0E1A">
        <w:rPr>
          <w:lang w:eastAsia="en-AU"/>
        </w:rPr>
        <w:t>-</w:t>
      </w:r>
      <w:r>
        <w:rPr>
          <w:lang w:eastAsia="en-AU"/>
        </w:rPr>
        <w:t>related quality of life following primary treatment</w:t>
      </w:r>
      <w:bookmarkEnd w:id="947"/>
    </w:p>
    <w:p w14:paraId="5E9EB3C3" w14:textId="77777777" w:rsidR="00A947B4" w:rsidRDefault="00EE1600" w:rsidP="00E97074">
      <w:pPr>
        <w:pStyle w:val="DHHSbody"/>
      </w:pPr>
      <w:r>
        <w:t>No data available</w:t>
      </w:r>
      <w:r w:rsidR="0062117E">
        <w:t>. Refer to Appendix 1</w:t>
      </w:r>
    </w:p>
    <w:p w14:paraId="14F4A2E5" w14:textId="7C4F0FDD" w:rsidR="00CC52BE" w:rsidRPr="00E97074" w:rsidRDefault="00CC52BE" w:rsidP="00542B83">
      <w:pPr>
        <w:pStyle w:val="Heading1"/>
        <w:rPr>
          <w:rStyle w:val="Heading1Char"/>
          <w:lang w:eastAsia="en-AU"/>
        </w:rPr>
      </w:pPr>
      <w:r>
        <w:rPr>
          <w:lang w:eastAsia="en-AU"/>
        </w:rPr>
        <w:br w:type="page"/>
      </w:r>
      <w:bookmarkStart w:id="948" w:name="_Toc19008196"/>
      <w:bookmarkStart w:id="949" w:name="_Toc33457080"/>
      <w:r w:rsidRPr="00542B83">
        <w:lastRenderedPageBreak/>
        <w:t>Outcome: Best possible experience of care systems</w:t>
      </w:r>
      <w:bookmarkEnd w:id="948"/>
      <w:bookmarkEnd w:id="949"/>
    </w:p>
    <w:p w14:paraId="0819EC75" w14:textId="0C47A1C0" w:rsidR="00537A4F" w:rsidRPr="00B91C4A" w:rsidRDefault="00537A4F" w:rsidP="006053E7">
      <w:pPr>
        <w:pStyle w:val="Heading2"/>
      </w:pPr>
      <w:bookmarkStart w:id="950" w:name="_Toc19008197"/>
      <w:bookmarkStart w:id="951" w:name="_Toc33457081"/>
      <w:r w:rsidRPr="00B91C4A">
        <w:t>Key result: Improve patient experience of health</w:t>
      </w:r>
      <w:r w:rsidR="004C18EC" w:rsidRPr="00B91C4A">
        <w:t xml:space="preserve"> </w:t>
      </w:r>
      <w:r w:rsidRPr="00B91C4A">
        <w:t>care</w:t>
      </w:r>
      <w:bookmarkEnd w:id="950"/>
      <w:bookmarkEnd w:id="951"/>
    </w:p>
    <w:p w14:paraId="1E9167AE" w14:textId="6766DC3F" w:rsidR="001A0103" w:rsidRDefault="00605A7F" w:rsidP="001A0103">
      <w:pPr>
        <w:pStyle w:val="Heading3"/>
        <w:rPr>
          <w:lang w:eastAsia="en-AU"/>
        </w:rPr>
      </w:pPr>
      <w:bookmarkStart w:id="952" w:name="_Measure_15.1_–"/>
      <w:bookmarkStart w:id="953" w:name="_Toc19008198"/>
      <w:bookmarkEnd w:id="952"/>
      <w:r w:rsidRPr="001A0103">
        <w:rPr>
          <w:lang w:eastAsia="en-AU"/>
        </w:rPr>
        <w:t>Measure 15.1 –</w:t>
      </w:r>
      <w:r w:rsidR="00544CCD" w:rsidRPr="001A0103">
        <w:rPr>
          <w:lang w:eastAsia="en-AU"/>
        </w:rPr>
        <w:t xml:space="preserve"> Proportion of</w:t>
      </w:r>
      <w:r w:rsidR="007E1353" w:rsidRPr="001A0103">
        <w:rPr>
          <w:lang w:eastAsia="en-AU"/>
        </w:rPr>
        <w:t xml:space="preserve"> adults admitted to public hospitals due to cancer who report positive overall healthcare experience</w:t>
      </w:r>
      <w:bookmarkEnd w:id="953"/>
    </w:p>
    <w:p w14:paraId="4C0E6A58" w14:textId="717FF0C9" w:rsidR="00D57916" w:rsidRDefault="001A0103" w:rsidP="008D320F">
      <w:pPr>
        <w:pStyle w:val="DHHSfigurecaption"/>
      </w:pPr>
      <w:bookmarkStart w:id="954" w:name="_Toc19008199"/>
      <w:bookmarkStart w:id="955" w:name="_Toc19008385"/>
      <w:bookmarkStart w:id="956" w:name="_Toc19008532"/>
      <w:bookmarkStart w:id="957" w:name="_Toc19008679"/>
      <w:bookmarkStart w:id="958" w:name="_Toc27414387"/>
      <w:r w:rsidRPr="001A0103">
        <w:t>Figure 15.1</w:t>
      </w:r>
      <w:r w:rsidR="009D0E1A">
        <w:t>:</w:t>
      </w:r>
      <w:r w:rsidRPr="001A0103">
        <w:t xml:space="preserve"> Proportion of adults admitted to public hospitals due to cancer who reported being satisfied with the care received from all health professionals involved in their care in 2018</w:t>
      </w:r>
      <w:bookmarkEnd w:id="954"/>
      <w:bookmarkEnd w:id="955"/>
      <w:bookmarkEnd w:id="956"/>
      <w:bookmarkEnd w:id="957"/>
      <w:bookmarkEnd w:id="958"/>
    </w:p>
    <w:p w14:paraId="544541E2" w14:textId="4FA4AB63" w:rsidR="008C6E0F" w:rsidRDefault="001859BD" w:rsidP="001A0103">
      <w:pPr>
        <w:pStyle w:val="DHHSbody"/>
        <w:rPr>
          <w:b/>
          <w:lang w:eastAsia="en-AU"/>
        </w:rPr>
      </w:pPr>
      <w:r>
        <w:rPr>
          <w:b/>
          <w:noProof/>
          <w:lang w:eastAsia="en-AU"/>
        </w:rPr>
        <w:drawing>
          <wp:inline distT="0" distB="0" distL="0" distR="0" wp14:anchorId="6F2664ED" wp14:editId="0AD91357">
            <wp:extent cx="6730365" cy="2926080"/>
            <wp:effectExtent l="0" t="0" r="0" b="7620"/>
            <wp:docPr id="18" name="Picture 18" descr="This figure presents data via a bar graph on the proportion of adults admitted to public hospitals due to cancer who report being satisfied with the care received from all health professionals involved in their care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730365" cy="2926080"/>
                    </a:xfrm>
                    <a:prstGeom prst="rect">
                      <a:avLst/>
                    </a:prstGeom>
                    <a:noFill/>
                  </pic:spPr>
                </pic:pic>
              </a:graphicData>
            </a:graphic>
          </wp:inline>
        </w:drawing>
      </w:r>
    </w:p>
    <w:p w14:paraId="7BA66E13" w14:textId="7662968C" w:rsidR="00347846" w:rsidRPr="009F5F8C" w:rsidRDefault="00D93030" w:rsidP="00561DBE">
      <w:pPr>
        <w:pStyle w:val="DHHStablefigurenote"/>
      </w:pPr>
      <w:r w:rsidRPr="009F5F8C">
        <w:t>Note</w:t>
      </w:r>
      <w:r w:rsidR="00F66297">
        <w:t>s</w:t>
      </w:r>
      <w:r w:rsidRPr="009F5F8C">
        <w:t xml:space="preserve">: </w:t>
      </w:r>
    </w:p>
    <w:p w14:paraId="3DA801D0" w14:textId="6035A4AA" w:rsidR="00536127" w:rsidRDefault="00BD52D5" w:rsidP="00561DBE">
      <w:pPr>
        <w:pStyle w:val="DHHStablefigurenote"/>
        <w:rPr>
          <w:bCs/>
        </w:rPr>
      </w:pPr>
      <w:r>
        <w:t xml:space="preserve">Overall care </w:t>
      </w:r>
      <w:r w:rsidR="009F5F8C" w:rsidRPr="009F5F8C">
        <w:t xml:space="preserve">Q12. </w:t>
      </w:r>
      <w:r w:rsidR="009F5F8C" w:rsidRPr="009F5F8C">
        <w:rPr>
          <w:bCs/>
        </w:rPr>
        <w:t>How satisfied were you with the overall care you received from all health professionals involved in your treatment?</w:t>
      </w:r>
    </w:p>
    <w:p w14:paraId="04FAE607" w14:textId="28574CF9" w:rsidR="00F66297" w:rsidRPr="009F5F8C" w:rsidRDefault="00F66297" w:rsidP="00561DBE">
      <w:pPr>
        <w:pStyle w:val="DHHStablefigurenote"/>
      </w:pPr>
      <w:r w:rsidRPr="009F5F8C">
        <w:t>Total number of patients who answered question 12 = 3</w:t>
      </w:r>
      <w:r>
        <w:t>,</w:t>
      </w:r>
      <w:r w:rsidRPr="009F5F8C">
        <w:t>673; total number of patients satisfied or very satisfied = 3</w:t>
      </w:r>
      <w:r>
        <w:t>,</w:t>
      </w:r>
      <w:r w:rsidRPr="009F5F8C">
        <w:t>563</w:t>
      </w:r>
    </w:p>
    <w:p w14:paraId="374B7F1B" w14:textId="77777777" w:rsidR="006719DF" w:rsidRPr="00671C7A" w:rsidRDefault="006719DF" w:rsidP="005E486F">
      <w:pPr>
        <w:pStyle w:val="Heading4"/>
        <w:spacing w:before="0" w:line="270" w:lineRule="atLeast"/>
        <w:rPr>
          <w:lang w:eastAsia="en-AU"/>
        </w:rPr>
      </w:pPr>
      <w:r>
        <w:rPr>
          <w:lang w:eastAsia="en-AU"/>
        </w:rPr>
        <w:t>Measure assessment</w:t>
      </w:r>
    </w:p>
    <w:p w14:paraId="665806FF" w14:textId="5380B083" w:rsidR="006719DF" w:rsidRPr="00F945E7" w:rsidRDefault="006719DF" w:rsidP="005E486F">
      <w:pPr>
        <w:spacing w:after="120" w:line="270" w:lineRule="atLeast"/>
        <w:rPr>
          <w:rFonts w:ascii="Arial" w:hAnsi="Arial" w:cs="Arial"/>
          <w:color w:val="00B050"/>
        </w:rPr>
      </w:pPr>
      <w:r w:rsidRPr="00F945E7">
        <w:rPr>
          <w:rFonts w:ascii="Arial" w:hAnsi="Arial" w:cs="Arial"/>
        </w:rPr>
        <w:t xml:space="preserve">Traffic light rating: </w:t>
      </w:r>
      <w:r w:rsidR="00F945E7" w:rsidRPr="00061321">
        <w:rPr>
          <w:rFonts w:ascii="Arial" w:hAnsi="Arial" w:cs="Arial"/>
          <w:b/>
          <w:color w:val="007B4B"/>
        </w:rPr>
        <w:t>Green</w:t>
      </w:r>
      <w:r w:rsidR="00F945E7">
        <w:rPr>
          <w:rFonts w:ascii="Arial" w:hAnsi="Arial" w:cs="Arial"/>
          <w:color w:val="007B4B"/>
        </w:rPr>
        <w:t xml:space="preserve"> (satisfactory result)</w:t>
      </w:r>
    </w:p>
    <w:p w14:paraId="5A115CD2" w14:textId="5ED68DF3" w:rsidR="006719DF" w:rsidRDefault="006719DF" w:rsidP="005E486F">
      <w:pPr>
        <w:spacing w:after="120" w:line="270" w:lineRule="atLeast"/>
        <w:rPr>
          <w:rFonts w:ascii="Arial" w:hAnsi="Arial" w:cs="Arial"/>
        </w:rPr>
      </w:pPr>
      <w:r>
        <w:rPr>
          <w:rFonts w:ascii="Arial" w:hAnsi="Arial" w:cs="Arial"/>
        </w:rPr>
        <w:t xml:space="preserve">Overall trend: </w:t>
      </w:r>
      <w:r w:rsidR="00411912">
        <w:rPr>
          <w:rFonts w:ascii="Arial" w:hAnsi="Arial" w:cs="Arial"/>
        </w:rPr>
        <w:t>Unable to measure as this data relates to one year only</w:t>
      </w:r>
      <w:r w:rsidR="00C264CF">
        <w:rPr>
          <w:rFonts w:ascii="Arial" w:hAnsi="Arial" w:cs="Arial"/>
        </w:rPr>
        <w:t xml:space="preserve"> but satisfactory result</w:t>
      </w:r>
    </w:p>
    <w:p w14:paraId="1F152561" w14:textId="4ACA8C96" w:rsidR="007C7C01" w:rsidRPr="000374B9" w:rsidRDefault="006719DF" w:rsidP="000374B9">
      <w:pPr>
        <w:pStyle w:val="DHHSbody"/>
        <w:rPr>
          <w:rFonts w:ascii="Roboto" w:hAnsi="Roboto" w:cs="Arial"/>
          <w:color w:val="333333"/>
        </w:rPr>
      </w:pPr>
      <w:r w:rsidRPr="00676EB9">
        <w:rPr>
          <w:rFonts w:cs="Arial"/>
          <w:lang w:eastAsia="en-AU"/>
        </w:rPr>
        <w:t>Commentary:</w:t>
      </w:r>
      <w:r w:rsidR="00C45D8E" w:rsidRPr="00676EB9">
        <w:rPr>
          <w:rFonts w:cs="Arial"/>
          <w:lang w:eastAsia="en-AU"/>
        </w:rPr>
        <w:t xml:space="preserve"> </w:t>
      </w:r>
      <w:r w:rsidR="000901C3" w:rsidRPr="00B44969">
        <w:rPr>
          <w:rFonts w:ascii="Roboto" w:hAnsi="Roboto" w:cs="Arial"/>
        </w:rPr>
        <w:t>Understanding a patien</w:t>
      </w:r>
      <w:r w:rsidR="00F66297">
        <w:rPr>
          <w:rFonts w:ascii="Roboto" w:hAnsi="Roboto" w:cs="Arial" w:hint="eastAsia"/>
        </w:rPr>
        <w:t>t</w:t>
      </w:r>
      <w:r w:rsidR="00F66297">
        <w:rPr>
          <w:rFonts w:ascii="Roboto" w:hAnsi="Roboto" w:cs="Arial"/>
        </w:rPr>
        <w:t>’</w:t>
      </w:r>
      <w:r w:rsidR="000901C3" w:rsidRPr="00B44969">
        <w:rPr>
          <w:rFonts w:ascii="Roboto" w:hAnsi="Roboto" w:cs="Arial"/>
        </w:rPr>
        <w:t>s experience throughout each stage of their cancer journey can enable more personalised care and help to improve the overall quality of the health system.</w:t>
      </w:r>
      <w:r w:rsidR="00E8470B" w:rsidRPr="00B44969">
        <w:rPr>
          <w:rStyle w:val="FootnoteReference"/>
          <w:rFonts w:ascii="Roboto" w:hAnsi="Roboto" w:cs="Arial"/>
        </w:rPr>
        <w:footnoteReference w:id="175"/>
      </w:r>
      <w:r w:rsidR="000901C3" w:rsidRPr="00B44969">
        <w:rPr>
          <w:rFonts w:ascii="Roboto" w:hAnsi="Roboto" w:cs="Arial"/>
        </w:rPr>
        <w:t xml:space="preserve"> </w:t>
      </w:r>
      <w:r w:rsidR="0061118E">
        <w:rPr>
          <w:rFonts w:cs="Arial"/>
          <w:lang w:eastAsia="en-AU"/>
        </w:rPr>
        <w:t>The</w:t>
      </w:r>
      <w:r w:rsidR="0061118E" w:rsidRPr="00676EB9">
        <w:rPr>
          <w:rFonts w:cs="Arial"/>
          <w:lang w:eastAsia="en-AU"/>
        </w:rPr>
        <w:t xml:space="preserve"> </w:t>
      </w:r>
      <w:r w:rsidR="0061118E" w:rsidRPr="00B44969">
        <w:rPr>
          <w:rFonts w:cs="Arial"/>
          <w:lang w:eastAsia="en-AU"/>
        </w:rPr>
        <w:t xml:space="preserve">Victorian </w:t>
      </w:r>
      <w:r w:rsidR="001E559E" w:rsidRPr="00B44969">
        <w:rPr>
          <w:rFonts w:cs="Arial"/>
          <w:lang w:eastAsia="en-AU"/>
        </w:rPr>
        <w:t>C</w:t>
      </w:r>
      <w:r w:rsidR="0061118E" w:rsidRPr="00B44969">
        <w:rPr>
          <w:rFonts w:cs="Arial"/>
          <w:lang w:eastAsia="en-AU"/>
        </w:rPr>
        <w:t xml:space="preserve">ancer </w:t>
      </w:r>
      <w:r w:rsidR="001E559E" w:rsidRPr="00B44969">
        <w:rPr>
          <w:rFonts w:cs="Arial"/>
          <w:lang w:eastAsia="en-AU"/>
        </w:rPr>
        <w:t>P</w:t>
      </w:r>
      <w:r w:rsidR="0061118E" w:rsidRPr="00B44969">
        <w:rPr>
          <w:rFonts w:cs="Arial"/>
          <w:lang w:eastAsia="en-AU"/>
        </w:rPr>
        <w:t>atient Experiences of Care Survey</w:t>
      </w:r>
      <w:r w:rsidR="0061118E" w:rsidRPr="00676EB9">
        <w:rPr>
          <w:rFonts w:cs="Arial"/>
          <w:lang w:eastAsia="en-AU"/>
        </w:rPr>
        <w:t xml:space="preserve"> asks </w:t>
      </w:r>
      <w:r w:rsidR="0061118E">
        <w:rPr>
          <w:rFonts w:cs="Arial"/>
          <w:lang w:eastAsia="en-AU"/>
        </w:rPr>
        <w:t xml:space="preserve">adult inpatients how satisfied </w:t>
      </w:r>
      <w:r w:rsidR="001E559E">
        <w:rPr>
          <w:rFonts w:cs="Arial"/>
          <w:lang w:eastAsia="en-AU"/>
        </w:rPr>
        <w:t>they</w:t>
      </w:r>
      <w:r w:rsidR="0061118E">
        <w:rPr>
          <w:rFonts w:cs="Arial"/>
          <w:lang w:eastAsia="en-AU"/>
        </w:rPr>
        <w:t xml:space="preserve"> </w:t>
      </w:r>
      <w:r w:rsidR="00E8470B">
        <w:rPr>
          <w:rFonts w:cs="Arial"/>
          <w:lang w:eastAsia="en-AU"/>
        </w:rPr>
        <w:t>a</w:t>
      </w:r>
      <w:r w:rsidR="0061118E">
        <w:rPr>
          <w:rFonts w:cs="Arial"/>
          <w:lang w:eastAsia="en-AU"/>
        </w:rPr>
        <w:t>re with the overall care they received from all health professionals involved in their treatment</w:t>
      </w:r>
      <w:r w:rsidR="001C7E71">
        <w:rPr>
          <w:rFonts w:cs="Arial"/>
          <w:lang w:eastAsia="en-AU"/>
        </w:rPr>
        <w:t>.</w:t>
      </w:r>
      <w:r w:rsidR="00952FC7">
        <w:rPr>
          <w:rFonts w:cs="Arial"/>
          <w:lang w:eastAsia="en-AU"/>
        </w:rPr>
        <w:t xml:space="preserve"> </w:t>
      </w:r>
      <w:r w:rsidR="001C7E71">
        <w:rPr>
          <w:rFonts w:cs="Arial"/>
          <w:lang w:eastAsia="en-AU"/>
        </w:rPr>
        <w:t>This question highlights the importance of enablin</w:t>
      </w:r>
      <w:r w:rsidR="001C7E71" w:rsidRPr="004856A3">
        <w:rPr>
          <w:rFonts w:cs="Arial"/>
          <w:lang w:eastAsia="en-AU"/>
        </w:rPr>
        <w:t xml:space="preserve">g </w:t>
      </w:r>
      <w:r w:rsidR="00C45D8E" w:rsidRPr="00B44969">
        <w:rPr>
          <w:rFonts w:ascii="Roboto" w:hAnsi="Roboto" w:cs="Arial"/>
        </w:rPr>
        <w:t xml:space="preserve">people </w:t>
      </w:r>
      <w:r w:rsidR="00342624" w:rsidRPr="00B44969">
        <w:rPr>
          <w:rFonts w:ascii="Roboto" w:hAnsi="Roboto" w:cs="Arial"/>
        </w:rPr>
        <w:t xml:space="preserve">admitted to public hospitals due to cancer </w:t>
      </w:r>
      <w:r w:rsidR="00C45D8E" w:rsidRPr="00B44969">
        <w:rPr>
          <w:rFonts w:ascii="Roboto" w:hAnsi="Roboto" w:cs="Arial"/>
        </w:rPr>
        <w:t>to give feedback about their experience</w:t>
      </w:r>
      <w:r w:rsidR="00F66297">
        <w:rPr>
          <w:rFonts w:ascii="Roboto" w:hAnsi="Roboto" w:cs="Arial"/>
        </w:rPr>
        <w:t>,</w:t>
      </w:r>
      <w:r w:rsidR="00C45D8E" w:rsidRPr="00B44969">
        <w:rPr>
          <w:rFonts w:ascii="Roboto" w:hAnsi="Roboto" w:cs="Arial"/>
        </w:rPr>
        <w:t xml:space="preserve"> </w:t>
      </w:r>
      <w:r w:rsidR="001C7E71" w:rsidRPr="00B44969">
        <w:rPr>
          <w:rFonts w:ascii="Roboto" w:hAnsi="Roboto" w:cs="Arial"/>
        </w:rPr>
        <w:t xml:space="preserve">which in turn </w:t>
      </w:r>
      <w:r w:rsidR="00C45D8E" w:rsidRPr="00B44969">
        <w:rPr>
          <w:rFonts w:ascii="Roboto" w:hAnsi="Roboto" w:cs="Arial"/>
        </w:rPr>
        <w:t>can lead to more personal care</w:t>
      </w:r>
      <w:r w:rsidR="00F66297">
        <w:rPr>
          <w:rFonts w:ascii="Roboto" w:hAnsi="Roboto" w:cs="Arial"/>
        </w:rPr>
        <w:t xml:space="preserve"> for others</w:t>
      </w:r>
      <w:r w:rsidR="00C45D8E" w:rsidRPr="00B44969">
        <w:rPr>
          <w:rFonts w:ascii="Roboto" w:hAnsi="Roboto" w:cs="Arial"/>
        </w:rPr>
        <w:t xml:space="preserve">. This can </w:t>
      </w:r>
      <w:r w:rsidR="00342624" w:rsidRPr="00B44969">
        <w:rPr>
          <w:rFonts w:ascii="Roboto" w:hAnsi="Roboto" w:cs="Arial"/>
        </w:rPr>
        <w:t xml:space="preserve">assist in </w:t>
      </w:r>
      <w:r w:rsidR="00C45D8E" w:rsidRPr="00B44969">
        <w:rPr>
          <w:rFonts w:ascii="Roboto" w:hAnsi="Roboto" w:cs="Arial"/>
        </w:rPr>
        <w:t>improv</w:t>
      </w:r>
      <w:r w:rsidR="00342624" w:rsidRPr="00B44969">
        <w:rPr>
          <w:rFonts w:ascii="Roboto" w:hAnsi="Roboto" w:cs="Arial"/>
        </w:rPr>
        <w:t>ing</w:t>
      </w:r>
      <w:r w:rsidR="00C45D8E" w:rsidRPr="00B44969">
        <w:rPr>
          <w:rFonts w:ascii="Roboto" w:hAnsi="Roboto" w:cs="Arial"/>
        </w:rPr>
        <w:t xml:space="preserve"> the </w:t>
      </w:r>
      <w:r w:rsidR="00E617E0" w:rsidRPr="00B44969">
        <w:rPr>
          <w:rFonts w:ascii="Roboto" w:hAnsi="Roboto" w:cs="Arial"/>
        </w:rPr>
        <w:t xml:space="preserve">safety and </w:t>
      </w:r>
      <w:r w:rsidR="00C45D8E" w:rsidRPr="00B44969">
        <w:rPr>
          <w:rFonts w:ascii="Roboto" w:hAnsi="Roboto" w:cs="Arial"/>
        </w:rPr>
        <w:t xml:space="preserve">quality of </w:t>
      </w:r>
      <w:r w:rsidR="00E617E0" w:rsidRPr="00B44969">
        <w:rPr>
          <w:rFonts w:ascii="Roboto" w:hAnsi="Roboto" w:cs="Arial"/>
        </w:rPr>
        <w:t xml:space="preserve">care in health services </w:t>
      </w:r>
      <w:r w:rsidR="00C45D8E" w:rsidRPr="00B44969">
        <w:rPr>
          <w:rFonts w:ascii="Roboto" w:hAnsi="Roboto" w:cs="Arial"/>
        </w:rPr>
        <w:t>and assist in focusing on aspects of concern to patients.</w:t>
      </w:r>
      <w:r w:rsidR="00952FC7" w:rsidRPr="00B44969">
        <w:rPr>
          <w:rFonts w:ascii="Roboto" w:hAnsi="Roboto" w:cs="Arial"/>
        </w:rPr>
        <w:t xml:space="preserve"> </w:t>
      </w:r>
      <w:r w:rsidR="001C7E71" w:rsidRPr="00B44969">
        <w:rPr>
          <w:rFonts w:ascii="Roboto" w:hAnsi="Roboto" w:cs="Arial"/>
        </w:rPr>
        <w:t>Figure 15.1 shows that</w:t>
      </w:r>
      <w:r w:rsidR="00F66297">
        <w:rPr>
          <w:rFonts w:ascii="Roboto" w:hAnsi="Roboto" w:cs="Arial"/>
        </w:rPr>
        <w:t>,</w:t>
      </w:r>
      <w:r w:rsidR="001C7E71" w:rsidRPr="00B44969">
        <w:rPr>
          <w:rFonts w:ascii="Roboto" w:hAnsi="Roboto" w:cs="Arial"/>
        </w:rPr>
        <w:t xml:space="preserve"> </w:t>
      </w:r>
      <w:r w:rsidR="00E8470B" w:rsidRPr="00B44969">
        <w:rPr>
          <w:rFonts w:ascii="Roboto" w:hAnsi="Roboto" w:cs="Arial"/>
        </w:rPr>
        <w:t>in 2018</w:t>
      </w:r>
      <w:r w:rsidR="00F66297">
        <w:rPr>
          <w:rFonts w:ascii="Roboto" w:hAnsi="Roboto" w:cs="Arial"/>
        </w:rPr>
        <w:t>,</w:t>
      </w:r>
      <w:r w:rsidR="00E8470B" w:rsidRPr="00B44969">
        <w:rPr>
          <w:rFonts w:ascii="Roboto" w:hAnsi="Roboto" w:cs="Arial"/>
        </w:rPr>
        <w:t xml:space="preserve"> </w:t>
      </w:r>
      <w:r w:rsidR="009F5F8C" w:rsidRPr="00B44969">
        <w:rPr>
          <w:rFonts w:ascii="Roboto" w:hAnsi="Roboto" w:cs="Arial"/>
        </w:rPr>
        <w:t>of the 3</w:t>
      </w:r>
      <w:r w:rsidR="00F66297">
        <w:rPr>
          <w:rFonts w:ascii="Roboto" w:hAnsi="Roboto" w:cs="Arial"/>
        </w:rPr>
        <w:t>,</w:t>
      </w:r>
      <w:r w:rsidR="009F5F8C" w:rsidRPr="00B44969">
        <w:rPr>
          <w:rFonts w:ascii="Roboto" w:hAnsi="Roboto" w:cs="Arial"/>
        </w:rPr>
        <w:t>673 patients who responded to the question, 97</w:t>
      </w:r>
      <w:r w:rsidR="005142EA" w:rsidRPr="00B44969">
        <w:rPr>
          <w:rFonts w:ascii="Roboto" w:hAnsi="Roboto" w:cs="Arial"/>
        </w:rPr>
        <w:t xml:space="preserve"> per cent</w:t>
      </w:r>
      <w:r w:rsidR="009F5F8C" w:rsidRPr="00B44969">
        <w:rPr>
          <w:rFonts w:ascii="Roboto" w:hAnsi="Roboto" w:cs="Arial"/>
        </w:rPr>
        <w:t xml:space="preserve"> </w:t>
      </w:r>
      <w:r w:rsidR="002009A3" w:rsidRPr="00B44969">
        <w:rPr>
          <w:rFonts w:ascii="Roboto" w:hAnsi="Roboto" w:cs="Arial"/>
        </w:rPr>
        <w:t xml:space="preserve">of patients were </w:t>
      </w:r>
      <w:r w:rsidR="001C7E71" w:rsidRPr="009D0E1A">
        <w:t xml:space="preserve">very satisfied </w:t>
      </w:r>
      <w:r w:rsidR="009F5F8C" w:rsidRPr="009D0E1A">
        <w:t xml:space="preserve">or </w:t>
      </w:r>
      <w:r w:rsidR="002009A3" w:rsidRPr="009D0E1A">
        <w:t xml:space="preserve">satisfied </w:t>
      </w:r>
      <w:r w:rsidR="001C7E71" w:rsidRPr="009D0E1A">
        <w:t>with the care they received from all health professionals involved in their care at each health service</w:t>
      </w:r>
      <w:r w:rsidR="002009A3">
        <w:t>.</w:t>
      </w:r>
    </w:p>
    <w:p w14:paraId="1E6ED240" w14:textId="11630721" w:rsidR="00605A7F" w:rsidRDefault="00605A7F" w:rsidP="009D60CA">
      <w:pPr>
        <w:pStyle w:val="Heading3"/>
        <w:spacing w:before="0" w:line="270" w:lineRule="atLeast"/>
        <w:rPr>
          <w:lang w:eastAsia="en-AU"/>
        </w:rPr>
      </w:pPr>
      <w:bookmarkStart w:id="959" w:name="_Measure_15.2_–"/>
      <w:bookmarkStart w:id="960" w:name="_Toc19008200"/>
      <w:bookmarkEnd w:id="959"/>
      <w:r>
        <w:rPr>
          <w:lang w:eastAsia="en-AU"/>
        </w:rPr>
        <w:lastRenderedPageBreak/>
        <w:t>Measure 15.2 –</w:t>
      </w:r>
      <w:r w:rsidR="00544CCD">
        <w:rPr>
          <w:lang w:eastAsia="en-AU"/>
        </w:rPr>
        <w:t xml:space="preserve"> Proportion of</w:t>
      </w:r>
      <w:r w:rsidR="007E1353">
        <w:rPr>
          <w:lang w:eastAsia="en-AU"/>
        </w:rPr>
        <w:t xml:space="preserve"> children and adolescents admitted to hospital due to cancer who report positive healthcare experience</w:t>
      </w:r>
      <w:bookmarkEnd w:id="960"/>
    </w:p>
    <w:p w14:paraId="1C84B133" w14:textId="77777777" w:rsidR="00CF094A" w:rsidRPr="00CF094A" w:rsidRDefault="00CF094A" w:rsidP="009D60CA">
      <w:pPr>
        <w:pStyle w:val="DHHSbody"/>
        <w:rPr>
          <w:lang w:eastAsia="en-AU"/>
        </w:rPr>
      </w:pPr>
      <w:r>
        <w:t>Resources to resolve this outstanding measure</w:t>
      </w:r>
      <w:r w:rsidRPr="00AB372D">
        <w:t xml:space="preserve"> in the future are yet </w:t>
      </w:r>
      <w:r>
        <w:t>to be confirmed. The</w:t>
      </w:r>
      <w:r w:rsidRPr="00AB372D">
        <w:t xml:space="preserve"> me</w:t>
      </w:r>
      <w:r>
        <w:t xml:space="preserve">asure </w:t>
      </w:r>
      <w:r w:rsidR="00C8527A">
        <w:t>is</w:t>
      </w:r>
      <w:r>
        <w:t xml:space="preserve"> yet to be determined – refer to Appendix 1.</w:t>
      </w:r>
    </w:p>
    <w:p w14:paraId="298EC41A" w14:textId="77777777" w:rsidR="00605A7F" w:rsidRDefault="00605A7F" w:rsidP="009D60CA">
      <w:pPr>
        <w:pStyle w:val="Heading3"/>
        <w:spacing w:before="0" w:line="270" w:lineRule="atLeast"/>
        <w:rPr>
          <w:lang w:eastAsia="en-AU"/>
        </w:rPr>
      </w:pPr>
      <w:bookmarkStart w:id="961" w:name="_Measure_15.3_–"/>
      <w:bookmarkStart w:id="962" w:name="_Toc19008201"/>
      <w:bookmarkEnd w:id="961"/>
      <w:r>
        <w:rPr>
          <w:lang w:eastAsia="en-AU"/>
        </w:rPr>
        <w:t>Measure 15.3 –</w:t>
      </w:r>
      <w:r w:rsidR="00544CCD">
        <w:rPr>
          <w:lang w:eastAsia="en-AU"/>
        </w:rPr>
        <w:t xml:space="preserve"> Proportion of</w:t>
      </w:r>
      <w:r w:rsidR="007E1353">
        <w:rPr>
          <w:lang w:eastAsia="en-AU"/>
        </w:rPr>
        <w:t xml:space="preserve"> adults admitted to public hospitals due to cancer who report positive transition from care index score</w:t>
      </w:r>
      <w:bookmarkEnd w:id="962"/>
    </w:p>
    <w:p w14:paraId="6505D35D" w14:textId="77777777" w:rsidR="00CF094A" w:rsidRPr="00CF094A" w:rsidRDefault="00CF094A" w:rsidP="009D60CA">
      <w:pPr>
        <w:pStyle w:val="DHHSbody"/>
        <w:rPr>
          <w:lang w:eastAsia="en-AU"/>
        </w:rPr>
      </w:pPr>
      <w:r>
        <w:t>Resources to resolve this outstanding measure</w:t>
      </w:r>
      <w:r w:rsidRPr="00AB372D">
        <w:t xml:space="preserve"> in the future are yet </w:t>
      </w:r>
      <w:r>
        <w:t>to be confirmed. The</w:t>
      </w:r>
      <w:r w:rsidRPr="00AB372D">
        <w:t xml:space="preserve"> me</w:t>
      </w:r>
      <w:r w:rsidR="0084387F">
        <w:t>asure is</w:t>
      </w:r>
      <w:r>
        <w:t xml:space="preserve"> yet to be determined – refer to Appendix 1.</w:t>
      </w:r>
    </w:p>
    <w:p w14:paraId="2B8A8049" w14:textId="77777777" w:rsidR="00605A7F" w:rsidRDefault="00605A7F" w:rsidP="009D60CA">
      <w:pPr>
        <w:pStyle w:val="Heading3"/>
        <w:spacing w:before="0" w:line="270" w:lineRule="atLeast"/>
        <w:rPr>
          <w:lang w:eastAsia="en-AU"/>
        </w:rPr>
      </w:pPr>
      <w:bookmarkStart w:id="963" w:name="_Measure_15.4_–"/>
      <w:bookmarkStart w:id="964" w:name="_Toc19008202"/>
      <w:bookmarkEnd w:id="963"/>
      <w:r>
        <w:rPr>
          <w:lang w:eastAsia="en-AU"/>
        </w:rPr>
        <w:t>Measure 15.4 –</w:t>
      </w:r>
      <w:r w:rsidR="00544CCD">
        <w:rPr>
          <w:lang w:eastAsia="en-AU"/>
        </w:rPr>
        <w:t xml:space="preserve"> Proportion of</w:t>
      </w:r>
      <w:r w:rsidR="007E1353">
        <w:rPr>
          <w:lang w:eastAsia="en-AU"/>
        </w:rPr>
        <w:t xml:space="preserve"> adults attending emergency departments due to cancer who report positive overall healthcare experience</w:t>
      </w:r>
      <w:bookmarkEnd w:id="964"/>
    </w:p>
    <w:p w14:paraId="7B6840C4" w14:textId="675312EC" w:rsidR="00CF094A" w:rsidRPr="00CF094A" w:rsidRDefault="00CF094A" w:rsidP="009D60CA">
      <w:pPr>
        <w:pStyle w:val="DHHSbody"/>
        <w:rPr>
          <w:lang w:eastAsia="en-AU"/>
        </w:rPr>
      </w:pPr>
      <w:r>
        <w:t xml:space="preserve">It is proposed that a question be added to </w:t>
      </w:r>
      <w:r w:rsidR="00CB0C47">
        <w:rPr>
          <w:lang w:eastAsia="en-AU"/>
        </w:rPr>
        <w:t xml:space="preserve">the department’s </w:t>
      </w:r>
      <w:r w:rsidRPr="00B44969">
        <w:rPr>
          <w:iCs/>
          <w:lang w:eastAsia="en-AU"/>
        </w:rPr>
        <w:t>Experiences of Care Survey – Patient Experiences of Care Survey</w:t>
      </w:r>
      <w:r w:rsidRPr="00676EB9">
        <w:rPr>
          <w:iCs/>
          <w:lang w:eastAsia="en-AU"/>
        </w:rPr>
        <w:t xml:space="preserve"> </w:t>
      </w:r>
      <w:r>
        <w:rPr>
          <w:lang w:eastAsia="en-AU"/>
        </w:rPr>
        <w:t>as it relates to emergency departments</w:t>
      </w:r>
      <w:r>
        <w:t xml:space="preserve"> – refer to Appendix 1.</w:t>
      </w:r>
    </w:p>
    <w:p w14:paraId="69898DA5" w14:textId="77777777" w:rsidR="00605A7F" w:rsidRDefault="00605A7F" w:rsidP="009D60CA">
      <w:pPr>
        <w:pStyle w:val="Heading3"/>
        <w:spacing w:before="0" w:line="270" w:lineRule="atLeast"/>
        <w:rPr>
          <w:lang w:eastAsia="en-AU"/>
        </w:rPr>
      </w:pPr>
      <w:bookmarkStart w:id="965" w:name="_Measure_15.5_–"/>
      <w:bookmarkStart w:id="966" w:name="_Toc19008203"/>
      <w:bookmarkEnd w:id="965"/>
      <w:r>
        <w:rPr>
          <w:lang w:eastAsia="en-AU"/>
        </w:rPr>
        <w:t>Measure 15.5 –</w:t>
      </w:r>
      <w:r w:rsidR="00544CCD">
        <w:rPr>
          <w:lang w:eastAsia="en-AU"/>
        </w:rPr>
        <w:t xml:space="preserve"> Proportion of</w:t>
      </w:r>
      <w:r w:rsidR="007E1353">
        <w:rPr>
          <w:lang w:eastAsia="en-AU"/>
        </w:rPr>
        <w:t xml:space="preserve"> people attending hospital outpatients </w:t>
      </w:r>
      <w:r w:rsidR="00123195">
        <w:rPr>
          <w:lang w:eastAsia="en-AU"/>
        </w:rPr>
        <w:t>due to cancer who report positive healthcare experience</w:t>
      </w:r>
      <w:bookmarkEnd w:id="966"/>
    </w:p>
    <w:p w14:paraId="5D0BE940" w14:textId="77777777" w:rsidR="00CF094A" w:rsidRPr="00CF094A" w:rsidRDefault="00CF094A" w:rsidP="009D60CA">
      <w:pPr>
        <w:pStyle w:val="DHHSbody"/>
        <w:rPr>
          <w:lang w:eastAsia="en-AU"/>
        </w:rPr>
      </w:pPr>
      <w:r>
        <w:t>Resources to resolve this outstanding measure</w:t>
      </w:r>
      <w:r w:rsidRPr="00AB372D">
        <w:t xml:space="preserve"> in the future are yet </w:t>
      </w:r>
      <w:r>
        <w:t>to be confirmed. The</w:t>
      </w:r>
      <w:r w:rsidRPr="00AB372D">
        <w:t xml:space="preserve"> me</w:t>
      </w:r>
      <w:r w:rsidR="0084387F">
        <w:t xml:space="preserve">asure is </w:t>
      </w:r>
      <w:r>
        <w:t>yet to be determined – refer to Appendix 1.</w:t>
      </w:r>
    </w:p>
    <w:p w14:paraId="2D003530" w14:textId="77777777" w:rsidR="00605A7F" w:rsidRDefault="00605A7F" w:rsidP="009D60CA">
      <w:pPr>
        <w:pStyle w:val="Heading3"/>
        <w:spacing w:before="0" w:line="270" w:lineRule="atLeast"/>
        <w:rPr>
          <w:lang w:eastAsia="en-AU"/>
        </w:rPr>
      </w:pPr>
      <w:bookmarkStart w:id="967" w:name="_Measure_15.6_–"/>
      <w:bookmarkStart w:id="968" w:name="_Toc19008204"/>
      <w:bookmarkEnd w:id="967"/>
      <w:r>
        <w:rPr>
          <w:lang w:eastAsia="en-AU"/>
        </w:rPr>
        <w:t>Measure 15.6 –</w:t>
      </w:r>
      <w:r w:rsidR="00544CCD">
        <w:rPr>
          <w:lang w:eastAsia="en-AU"/>
        </w:rPr>
        <w:t xml:space="preserve"> Proportion of</w:t>
      </w:r>
      <w:r w:rsidR="00123195">
        <w:rPr>
          <w:lang w:eastAsia="en-AU"/>
        </w:rPr>
        <w:t xml:space="preserve"> people attending primary care due to cancer who report positive healthcare experience</w:t>
      </w:r>
      <w:bookmarkEnd w:id="968"/>
    </w:p>
    <w:p w14:paraId="7C052C5B" w14:textId="77777777" w:rsidR="00CF7061" w:rsidRPr="00CF7061" w:rsidRDefault="00CF094A" w:rsidP="009D60CA">
      <w:pPr>
        <w:pStyle w:val="DHHSbody"/>
        <w:rPr>
          <w:lang w:eastAsia="en-AU"/>
        </w:rPr>
      </w:pPr>
      <w:r>
        <w:t>Resources to resolve this outstanding measure</w:t>
      </w:r>
      <w:r w:rsidRPr="00AB372D">
        <w:t xml:space="preserve"> in the future are yet </w:t>
      </w:r>
      <w:r>
        <w:t>to be confirmed. The</w:t>
      </w:r>
      <w:r w:rsidRPr="00AB372D">
        <w:t xml:space="preserve"> me</w:t>
      </w:r>
      <w:r w:rsidR="0084387F">
        <w:t>asure is</w:t>
      </w:r>
      <w:r>
        <w:t xml:space="preserve"> yet to be determined – refer to Appendix 1.</w:t>
      </w:r>
    </w:p>
    <w:p w14:paraId="6D83888E" w14:textId="77777777" w:rsidR="00605A7F" w:rsidRPr="00B91C4A" w:rsidRDefault="00681240" w:rsidP="006053E7">
      <w:pPr>
        <w:pStyle w:val="Heading2"/>
      </w:pPr>
      <w:r>
        <w:br w:type="page"/>
      </w:r>
      <w:bookmarkStart w:id="969" w:name="_Toc19008205"/>
      <w:bookmarkStart w:id="970" w:name="_Toc33457082"/>
      <w:bookmarkStart w:id="971" w:name="_Hlk1050113"/>
      <w:r w:rsidR="00537A4F" w:rsidRPr="00B91C4A">
        <w:lastRenderedPageBreak/>
        <w:t>Key result: Improve patient experience of screening</w:t>
      </w:r>
      <w:bookmarkEnd w:id="969"/>
      <w:bookmarkEnd w:id="970"/>
      <w:r w:rsidR="00537A4F" w:rsidRPr="00B91C4A">
        <w:t xml:space="preserve"> </w:t>
      </w:r>
    </w:p>
    <w:p w14:paraId="6A1AA632" w14:textId="7909E4C9" w:rsidR="00B60CC1" w:rsidRDefault="00605A7F" w:rsidP="00B60CC1">
      <w:pPr>
        <w:pStyle w:val="Heading3"/>
        <w:rPr>
          <w:lang w:eastAsia="en-AU"/>
        </w:rPr>
      </w:pPr>
      <w:bookmarkStart w:id="972" w:name="_Measure_16.1_–"/>
      <w:bookmarkStart w:id="973" w:name="_Toc19008206"/>
      <w:bookmarkEnd w:id="972"/>
      <w:r>
        <w:rPr>
          <w:lang w:eastAsia="en-AU"/>
        </w:rPr>
        <w:t>Measure 16.1 –</w:t>
      </w:r>
      <w:r w:rsidR="000C2F6F">
        <w:rPr>
          <w:lang w:eastAsia="en-AU"/>
        </w:rPr>
        <w:t xml:space="preserve"> Proportion of women</w:t>
      </w:r>
      <w:r w:rsidR="00123195">
        <w:rPr>
          <w:lang w:eastAsia="en-AU"/>
        </w:rPr>
        <w:t xml:space="preserve"> who have a mammogram by BreastScreen Victoria who rate the service as highly satisfactory</w:t>
      </w:r>
      <w:bookmarkEnd w:id="973"/>
    </w:p>
    <w:p w14:paraId="1B66BAB0" w14:textId="00B038B3" w:rsidR="00B60CC1" w:rsidRDefault="00DA0438" w:rsidP="008D320F">
      <w:pPr>
        <w:pStyle w:val="DHHSfigurecaption"/>
      </w:pPr>
      <w:bookmarkStart w:id="974" w:name="_Toc19008207"/>
      <w:bookmarkStart w:id="975" w:name="_Toc19008386"/>
      <w:bookmarkStart w:id="976" w:name="_Toc19008533"/>
      <w:bookmarkStart w:id="977" w:name="_Toc19008680"/>
      <w:bookmarkStart w:id="978" w:name="_Toc27414388"/>
      <w:r>
        <w:t>Figure 16.1</w:t>
      </w:r>
      <w:r w:rsidR="00702BEF">
        <w:t>:</w:t>
      </w:r>
      <w:r>
        <w:t xml:space="preserve"> Overall s</w:t>
      </w:r>
      <w:r w:rsidR="00B60CC1" w:rsidRPr="00B60CC1">
        <w:t xml:space="preserve">atisfaction with </w:t>
      </w:r>
      <w:r>
        <w:t>the breast screening p</w:t>
      </w:r>
      <w:r w:rsidR="00B60CC1" w:rsidRPr="00B60CC1">
        <w:t>rocess</w:t>
      </w:r>
      <w:r w:rsidR="002426D7">
        <w:t>, 2014–2016</w:t>
      </w:r>
      <w:bookmarkEnd w:id="974"/>
      <w:bookmarkEnd w:id="975"/>
      <w:bookmarkEnd w:id="976"/>
      <w:bookmarkEnd w:id="977"/>
      <w:bookmarkEnd w:id="978"/>
    </w:p>
    <w:p w14:paraId="4F14A257" w14:textId="4CA96B01" w:rsidR="00FA47CC" w:rsidRPr="00B71092" w:rsidRDefault="00F534F5" w:rsidP="00AF7428">
      <w:pPr>
        <w:pStyle w:val="DHHSbody"/>
        <w:rPr>
          <w:b/>
          <w:lang w:eastAsia="en-AU"/>
        </w:rPr>
      </w:pPr>
      <w:r>
        <w:rPr>
          <w:b/>
          <w:noProof/>
          <w:lang w:eastAsia="en-AU"/>
        </w:rPr>
        <w:drawing>
          <wp:inline distT="0" distB="0" distL="0" distR="0" wp14:anchorId="141FF3A9" wp14:editId="782870BC">
            <wp:extent cx="6712585" cy="3072765"/>
            <wp:effectExtent l="0" t="0" r="0" b="0"/>
            <wp:docPr id="21" name="Picture 21" descr="This figure present data via a bar graph on the proportion of women who have a mammogram by BreastScreen Victoria who rate the service from highly satisfactory to unsure for the period 2014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712585" cy="3072765"/>
                    </a:xfrm>
                    <a:prstGeom prst="rect">
                      <a:avLst/>
                    </a:prstGeom>
                    <a:noFill/>
                  </pic:spPr>
                </pic:pic>
              </a:graphicData>
            </a:graphic>
          </wp:inline>
        </w:drawing>
      </w:r>
    </w:p>
    <w:p w14:paraId="3725B7F6" w14:textId="77777777" w:rsidR="00A02E8B" w:rsidRDefault="00A02E8B" w:rsidP="00A02E8B">
      <w:pPr>
        <w:pStyle w:val="DHHStablefigurenote"/>
      </w:pPr>
      <w:r>
        <w:t>Notes:</w:t>
      </w:r>
    </w:p>
    <w:p w14:paraId="1A574C05" w14:textId="69929331" w:rsidR="00A02E8B" w:rsidRDefault="00A02E8B" w:rsidP="00A02E8B">
      <w:pPr>
        <w:pStyle w:val="DHHStablefigurenote"/>
      </w:pPr>
      <w:r w:rsidRPr="001D26EC">
        <w:t>Q</w:t>
      </w:r>
      <w:r>
        <w:t xml:space="preserve">uestion </w:t>
      </w:r>
      <w:r w:rsidRPr="001D26EC">
        <w:t>21</w:t>
      </w:r>
      <w:r>
        <w:t>:</w:t>
      </w:r>
      <w:r w:rsidRPr="001D26EC">
        <w:t xml:space="preserve"> Overall, how satisfied were you with the entire breast screening process?</w:t>
      </w:r>
    </w:p>
    <w:p w14:paraId="65A4CA7B" w14:textId="6DC0E552" w:rsidR="001D26EC" w:rsidRPr="001D26EC" w:rsidRDefault="00CA30B4" w:rsidP="00B44969">
      <w:pPr>
        <w:pStyle w:val="DHHStablefigurenote"/>
      </w:pPr>
      <w:r>
        <w:t>Total sample</w:t>
      </w:r>
      <w:r w:rsidR="00A02E8B">
        <w:t>:</w:t>
      </w:r>
      <w:r>
        <w:t xml:space="preserve"> </w:t>
      </w:r>
      <w:r w:rsidR="001D26EC" w:rsidRPr="001D26EC">
        <w:t>2014</w:t>
      </w:r>
      <w:r w:rsidR="00A02E8B">
        <w:t>,</w:t>
      </w:r>
      <w:r w:rsidR="001D26EC" w:rsidRPr="001D26EC">
        <w:t xml:space="preserve"> n</w:t>
      </w:r>
      <w:r w:rsidR="00702BEF">
        <w:t xml:space="preserve"> </w:t>
      </w:r>
      <w:r w:rsidR="001D26EC" w:rsidRPr="001D26EC">
        <w:t>=</w:t>
      </w:r>
      <w:r w:rsidR="00702BEF">
        <w:t xml:space="preserve"> </w:t>
      </w:r>
      <w:r w:rsidR="001D26EC" w:rsidRPr="001D26EC">
        <w:t>3,153; 2015</w:t>
      </w:r>
      <w:r w:rsidR="00A02E8B">
        <w:t>,</w:t>
      </w:r>
      <w:r w:rsidR="001D26EC" w:rsidRPr="001D26EC">
        <w:t xml:space="preserve"> n</w:t>
      </w:r>
      <w:r w:rsidR="00702BEF">
        <w:t xml:space="preserve"> </w:t>
      </w:r>
      <w:r w:rsidR="001D26EC" w:rsidRPr="001D26EC">
        <w:t>=</w:t>
      </w:r>
      <w:r w:rsidR="00702BEF">
        <w:t xml:space="preserve"> </w:t>
      </w:r>
      <w:r w:rsidR="001D26EC" w:rsidRPr="001D26EC">
        <w:t>3,976; 2016</w:t>
      </w:r>
      <w:r w:rsidR="00A02E8B">
        <w:t>,</w:t>
      </w:r>
      <w:r w:rsidR="001D26EC" w:rsidRPr="001D26EC">
        <w:t xml:space="preserve"> n</w:t>
      </w:r>
      <w:r w:rsidR="00702BEF">
        <w:t xml:space="preserve"> </w:t>
      </w:r>
      <w:r w:rsidR="001D26EC" w:rsidRPr="001D26EC">
        <w:t>=</w:t>
      </w:r>
      <w:r w:rsidR="00702BEF">
        <w:t xml:space="preserve"> </w:t>
      </w:r>
      <w:r w:rsidR="001D26EC" w:rsidRPr="001D26EC">
        <w:t>4,022</w:t>
      </w:r>
      <w:r w:rsidR="005162CE">
        <w:t>; 2017</w:t>
      </w:r>
      <w:r w:rsidR="00A02E8B">
        <w:t>,</w:t>
      </w:r>
      <w:r w:rsidR="005162CE">
        <w:t xml:space="preserve"> n</w:t>
      </w:r>
      <w:r w:rsidR="00702BEF">
        <w:t xml:space="preserve"> </w:t>
      </w:r>
      <w:r w:rsidR="005162CE">
        <w:t>=</w:t>
      </w:r>
      <w:r w:rsidR="00702BEF">
        <w:t xml:space="preserve"> </w:t>
      </w:r>
      <w:r w:rsidR="005162CE">
        <w:t>6,447; 2018</w:t>
      </w:r>
      <w:r w:rsidR="00A02E8B">
        <w:t>,</w:t>
      </w:r>
      <w:r w:rsidR="005162CE">
        <w:t xml:space="preserve"> n</w:t>
      </w:r>
      <w:r w:rsidR="00702BEF">
        <w:t xml:space="preserve"> </w:t>
      </w:r>
      <w:r w:rsidR="005162CE">
        <w:t>=</w:t>
      </w:r>
      <w:r w:rsidR="00702BEF">
        <w:t xml:space="preserve"> </w:t>
      </w:r>
      <w:r w:rsidR="005162CE">
        <w:t>11,423</w:t>
      </w:r>
    </w:p>
    <w:p w14:paraId="2D9C6256" w14:textId="18862833" w:rsidR="00DA0438" w:rsidRPr="00DA0438" w:rsidRDefault="00DA0438" w:rsidP="00241773">
      <w:pPr>
        <w:pStyle w:val="DHHStablecaption"/>
      </w:pPr>
      <w:bookmarkStart w:id="979" w:name="_Toc18908744"/>
      <w:bookmarkStart w:id="980" w:name="_Toc27414424"/>
      <w:r w:rsidRPr="00DA0438">
        <w:t>Table 16.1</w:t>
      </w:r>
      <w:r w:rsidR="00702BEF">
        <w:t>:</w:t>
      </w:r>
      <w:r w:rsidRPr="00DA0438">
        <w:t xml:space="preserve"> Proportion of women who have a mammogram by BreastScreen Victoria who rate the service from highly satisfactory to unsure</w:t>
      </w:r>
      <w:r w:rsidR="002426D7">
        <w:t>, 2014–2018</w:t>
      </w:r>
      <w:bookmarkEnd w:id="979"/>
      <w:bookmarkEnd w:id="980"/>
    </w:p>
    <w:tbl>
      <w:tblPr>
        <w:tblW w:w="10474"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0474"/>
      </w:tblGrid>
      <w:tr w:rsidR="004B47C7" w:rsidRPr="00FA47CC" w14:paraId="4259AD62" w14:textId="77777777" w:rsidTr="00445260">
        <w:trPr>
          <w:trHeight w:val="274"/>
        </w:trPr>
        <w:tc>
          <w:tcPr>
            <w:tcW w:w="10474" w:type="dxa"/>
            <w:shd w:val="clear" w:color="auto" w:fill="auto"/>
            <w:noWrap/>
            <w:vAlign w:val="bottom"/>
          </w:tcPr>
          <w:tbl>
            <w:tblPr>
              <w:tblW w:w="10228" w:type="dxa"/>
              <w:jc w:val="center"/>
              <w:tblBorders>
                <w:bottom w:val="single" w:sz="4" w:space="0" w:color="C00000"/>
                <w:insideH w:val="single" w:sz="4" w:space="0" w:color="C00000"/>
              </w:tblBorders>
              <w:shd w:val="clear" w:color="auto" w:fill="FFFFFF" w:themeFill="background1"/>
              <w:tblLook w:val="04A0" w:firstRow="1" w:lastRow="0" w:firstColumn="1" w:lastColumn="0" w:noHBand="0" w:noVBand="1"/>
            </w:tblPr>
            <w:tblGrid>
              <w:gridCol w:w="3660"/>
              <w:gridCol w:w="1312"/>
              <w:gridCol w:w="1314"/>
              <w:gridCol w:w="1314"/>
              <w:gridCol w:w="1314"/>
              <w:gridCol w:w="1314"/>
            </w:tblGrid>
            <w:tr w:rsidR="004B47C7" w:rsidRPr="004B47C7" w14:paraId="4AF0F6BD" w14:textId="77777777" w:rsidTr="00445260">
              <w:trPr>
                <w:trHeight w:val="234"/>
                <w:jc w:val="center"/>
              </w:trPr>
              <w:tc>
                <w:tcPr>
                  <w:tcW w:w="3660" w:type="dxa"/>
                  <w:shd w:val="clear" w:color="auto" w:fill="EDCDCF"/>
                  <w:noWrap/>
                  <w:vAlign w:val="bottom"/>
                  <w:hideMark/>
                </w:tcPr>
                <w:p w14:paraId="49F46E5B" w14:textId="1E0A0AA3" w:rsidR="004B47C7" w:rsidRPr="004B47C7" w:rsidRDefault="00445260" w:rsidP="00445260">
                  <w:pPr>
                    <w:pStyle w:val="DHHStablecolhead"/>
                  </w:pPr>
                  <w:r>
                    <w:t>Question 21</w:t>
                  </w:r>
                </w:p>
              </w:tc>
              <w:tc>
                <w:tcPr>
                  <w:tcW w:w="1312" w:type="dxa"/>
                  <w:shd w:val="clear" w:color="auto" w:fill="EDCDCF"/>
                  <w:noWrap/>
                  <w:vAlign w:val="bottom"/>
                  <w:hideMark/>
                </w:tcPr>
                <w:p w14:paraId="413A822F" w14:textId="77777777" w:rsidR="004B47C7" w:rsidRPr="004E4D2B" w:rsidRDefault="004B47C7" w:rsidP="00445260">
                  <w:pPr>
                    <w:pStyle w:val="DHHStablecolhead"/>
                  </w:pPr>
                  <w:r w:rsidRPr="004E4D2B">
                    <w:t>2014</w:t>
                  </w:r>
                </w:p>
              </w:tc>
              <w:tc>
                <w:tcPr>
                  <w:tcW w:w="1314" w:type="dxa"/>
                  <w:shd w:val="clear" w:color="auto" w:fill="EDCDCF"/>
                  <w:noWrap/>
                  <w:vAlign w:val="bottom"/>
                  <w:hideMark/>
                </w:tcPr>
                <w:p w14:paraId="7CA118D7" w14:textId="77777777" w:rsidR="004B47C7" w:rsidRPr="004E4D2B" w:rsidRDefault="004B47C7" w:rsidP="00445260">
                  <w:pPr>
                    <w:pStyle w:val="DHHStablecolhead"/>
                  </w:pPr>
                  <w:r w:rsidRPr="004E4D2B">
                    <w:t>2015</w:t>
                  </w:r>
                </w:p>
              </w:tc>
              <w:tc>
                <w:tcPr>
                  <w:tcW w:w="1314" w:type="dxa"/>
                  <w:shd w:val="clear" w:color="auto" w:fill="EDCDCF"/>
                  <w:noWrap/>
                  <w:vAlign w:val="bottom"/>
                  <w:hideMark/>
                </w:tcPr>
                <w:p w14:paraId="4B42F328" w14:textId="77777777" w:rsidR="004B47C7" w:rsidRPr="004E4D2B" w:rsidRDefault="004B47C7" w:rsidP="00445260">
                  <w:pPr>
                    <w:pStyle w:val="DHHStablecolhead"/>
                  </w:pPr>
                  <w:r w:rsidRPr="004E4D2B">
                    <w:t>2016</w:t>
                  </w:r>
                </w:p>
              </w:tc>
              <w:tc>
                <w:tcPr>
                  <w:tcW w:w="1314" w:type="dxa"/>
                  <w:shd w:val="clear" w:color="auto" w:fill="EDCDCF"/>
                  <w:noWrap/>
                  <w:vAlign w:val="bottom"/>
                  <w:hideMark/>
                </w:tcPr>
                <w:p w14:paraId="62771388" w14:textId="77777777" w:rsidR="004B47C7" w:rsidRPr="004E4D2B" w:rsidRDefault="004B47C7" w:rsidP="00445260">
                  <w:pPr>
                    <w:pStyle w:val="DHHStablecolhead"/>
                  </w:pPr>
                  <w:r w:rsidRPr="004E4D2B">
                    <w:t>2017</w:t>
                  </w:r>
                </w:p>
              </w:tc>
              <w:tc>
                <w:tcPr>
                  <w:tcW w:w="1314" w:type="dxa"/>
                  <w:shd w:val="clear" w:color="auto" w:fill="EDCDCF"/>
                  <w:noWrap/>
                  <w:vAlign w:val="bottom"/>
                  <w:hideMark/>
                </w:tcPr>
                <w:p w14:paraId="0D35259F" w14:textId="77777777" w:rsidR="004B47C7" w:rsidRPr="004E4D2B" w:rsidRDefault="004B47C7" w:rsidP="00445260">
                  <w:pPr>
                    <w:pStyle w:val="DHHStablecolhead"/>
                  </w:pPr>
                  <w:r w:rsidRPr="004E4D2B">
                    <w:t>2018</w:t>
                  </w:r>
                </w:p>
              </w:tc>
            </w:tr>
            <w:tr w:rsidR="004B47C7" w:rsidRPr="004B47C7" w14:paraId="6295DAF2" w14:textId="77777777" w:rsidTr="00445260">
              <w:trPr>
                <w:trHeight w:val="234"/>
                <w:jc w:val="center"/>
              </w:trPr>
              <w:tc>
                <w:tcPr>
                  <w:tcW w:w="3660" w:type="dxa"/>
                  <w:shd w:val="clear" w:color="auto" w:fill="FFFFFF" w:themeFill="background1"/>
                  <w:noWrap/>
                  <w:vAlign w:val="bottom"/>
                  <w:hideMark/>
                </w:tcPr>
                <w:p w14:paraId="1936906C" w14:textId="77777777" w:rsidR="004B47C7" w:rsidRPr="004B47C7" w:rsidRDefault="004B47C7" w:rsidP="00445260">
                  <w:pPr>
                    <w:pStyle w:val="DHHStabletext"/>
                  </w:pPr>
                  <w:r w:rsidRPr="004B47C7">
                    <w:t>Highly satisfied</w:t>
                  </w:r>
                </w:p>
              </w:tc>
              <w:tc>
                <w:tcPr>
                  <w:tcW w:w="1312" w:type="dxa"/>
                  <w:shd w:val="clear" w:color="auto" w:fill="FFFFFF" w:themeFill="background1"/>
                  <w:noWrap/>
                  <w:vAlign w:val="bottom"/>
                  <w:hideMark/>
                </w:tcPr>
                <w:p w14:paraId="5D4F37F4" w14:textId="77777777" w:rsidR="004B47C7" w:rsidRPr="004B47C7" w:rsidRDefault="004B47C7" w:rsidP="00445260">
                  <w:pPr>
                    <w:pStyle w:val="DHHStabletext"/>
                  </w:pPr>
                  <w:r w:rsidRPr="004B47C7">
                    <w:t>91%</w:t>
                  </w:r>
                </w:p>
              </w:tc>
              <w:tc>
                <w:tcPr>
                  <w:tcW w:w="1314" w:type="dxa"/>
                  <w:shd w:val="clear" w:color="auto" w:fill="FFFFFF" w:themeFill="background1"/>
                  <w:noWrap/>
                  <w:vAlign w:val="bottom"/>
                  <w:hideMark/>
                </w:tcPr>
                <w:p w14:paraId="432278BD" w14:textId="77777777" w:rsidR="004B47C7" w:rsidRPr="004B47C7" w:rsidRDefault="004B47C7" w:rsidP="00445260">
                  <w:pPr>
                    <w:pStyle w:val="DHHStabletext"/>
                  </w:pPr>
                  <w:r w:rsidRPr="004B47C7">
                    <w:t>90%</w:t>
                  </w:r>
                </w:p>
              </w:tc>
              <w:tc>
                <w:tcPr>
                  <w:tcW w:w="1314" w:type="dxa"/>
                  <w:shd w:val="clear" w:color="auto" w:fill="FFFFFF" w:themeFill="background1"/>
                  <w:noWrap/>
                  <w:vAlign w:val="bottom"/>
                  <w:hideMark/>
                </w:tcPr>
                <w:p w14:paraId="1C7EB01F" w14:textId="77777777" w:rsidR="004B47C7" w:rsidRPr="004B47C7" w:rsidRDefault="004B47C7" w:rsidP="00445260">
                  <w:pPr>
                    <w:pStyle w:val="DHHStabletext"/>
                  </w:pPr>
                  <w:r w:rsidRPr="004B47C7">
                    <w:t>91%</w:t>
                  </w:r>
                </w:p>
              </w:tc>
              <w:tc>
                <w:tcPr>
                  <w:tcW w:w="1314" w:type="dxa"/>
                  <w:shd w:val="clear" w:color="auto" w:fill="FFFFFF" w:themeFill="background1"/>
                  <w:noWrap/>
                  <w:vAlign w:val="bottom"/>
                  <w:hideMark/>
                </w:tcPr>
                <w:p w14:paraId="43375759" w14:textId="77777777" w:rsidR="004B47C7" w:rsidRPr="004B47C7" w:rsidRDefault="004B47C7" w:rsidP="00445260">
                  <w:pPr>
                    <w:pStyle w:val="DHHStabletext"/>
                  </w:pPr>
                  <w:r w:rsidRPr="004B47C7">
                    <w:t>92%</w:t>
                  </w:r>
                </w:p>
              </w:tc>
              <w:tc>
                <w:tcPr>
                  <w:tcW w:w="1314" w:type="dxa"/>
                  <w:shd w:val="clear" w:color="auto" w:fill="FFFFFF" w:themeFill="background1"/>
                  <w:noWrap/>
                  <w:vAlign w:val="bottom"/>
                  <w:hideMark/>
                </w:tcPr>
                <w:p w14:paraId="3D1ED31D" w14:textId="77777777" w:rsidR="004B47C7" w:rsidRPr="004B47C7" w:rsidRDefault="004B47C7" w:rsidP="00445260">
                  <w:pPr>
                    <w:pStyle w:val="DHHStabletext"/>
                  </w:pPr>
                  <w:r w:rsidRPr="004B47C7">
                    <w:t>93%</w:t>
                  </w:r>
                </w:p>
              </w:tc>
            </w:tr>
            <w:tr w:rsidR="004B47C7" w:rsidRPr="004B47C7" w14:paraId="69E521DE" w14:textId="77777777" w:rsidTr="00445260">
              <w:trPr>
                <w:trHeight w:val="234"/>
                <w:jc w:val="center"/>
              </w:trPr>
              <w:tc>
                <w:tcPr>
                  <w:tcW w:w="3660" w:type="dxa"/>
                  <w:shd w:val="clear" w:color="auto" w:fill="FFFFFF" w:themeFill="background1"/>
                  <w:noWrap/>
                  <w:vAlign w:val="bottom"/>
                  <w:hideMark/>
                </w:tcPr>
                <w:p w14:paraId="29FD66D5" w14:textId="77777777" w:rsidR="004B47C7" w:rsidRPr="004B47C7" w:rsidRDefault="004B47C7" w:rsidP="00445260">
                  <w:pPr>
                    <w:pStyle w:val="DHHStabletext"/>
                  </w:pPr>
                  <w:r w:rsidRPr="004B47C7">
                    <w:t>Somewhat satisfied</w:t>
                  </w:r>
                </w:p>
              </w:tc>
              <w:tc>
                <w:tcPr>
                  <w:tcW w:w="1312" w:type="dxa"/>
                  <w:shd w:val="clear" w:color="auto" w:fill="FFFFFF" w:themeFill="background1"/>
                  <w:noWrap/>
                  <w:vAlign w:val="bottom"/>
                  <w:hideMark/>
                </w:tcPr>
                <w:p w14:paraId="795EC8F3" w14:textId="77777777" w:rsidR="004B47C7" w:rsidRPr="004B47C7" w:rsidRDefault="004B47C7" w:rsidP="00445260">
                  <w:pPr>
                    <w:pStyle w:val="DHHStabletext"/>
                  </w:pPr>
                  <w:r w:rsidRPr="004B47C7">
                    <w:t>8%</w:t>
                  </w:r>
                </w:p>
              </w:tc>
              <w:tc>
                <w:tcPr>
                  <w:tcW w:w="1314" w:type="dxa"/>
                  <w:shd w:val="clear" w:color="auto" w:fill="FFFFFF" w:themeFill="background1"/>
                  <w:noWrap/>
                  <w:vAlign w:val="bottom"/>
                  <w:hideMark/>
                </w:tcPr>
                <w:p w14:paraId="44500EBC" w14:textId="77777777" w:rsidR="004B47C7" w:rsidRPr="004B47C7" w:rsidRDefault="004B47C7" w:rsidP="00445260">
                  <w:pPr>
                    <w:pStyle w:val="DHHStabletext"/>
                  </w:pPr>
                  <w:r w:rsidRPr="004B47C7">
                    <w:t>8%</w:t>
                  </w:r>
                </w:p>
              </w:tc>
              <w:tc>
                <w:tcPr>
                  <w:tcW w:w="1314" w:type="dxa"/>
                  <w:shd w:val="clear" w:color="auto" w:fill="FFFFFF" w:themeFill="background1"/>
                  <w:noWrap/>
                  <w:vAlign w:val="bottom"/>
                  <w:hideMark/>
                </w:tcPr>
                <w:p w14:paraId="4E5210E5" w14:textId="77777777" w:rsidR="004B47C7" w:rsidRPr="004B47C7" w:rsidRDefault="004B47C7" w:rsidP="00445260">
                  <w:pPr>
                    <w:pStyle w:val="DHHStabletext"/>
                  </w:pPr>
                  <w:r w:rsidRPr="004B47C7">
                    <w:t>7%</w:t>
                  </w:r>
                </w:p>
              </w:tc>
              <w:tc>
                <w:tcPr>
                  <w:tcW w:w="1314" w:type="dxa"/>
                  <w:shd w:val="clear" w:color="auto" w:fill="FFFFFF" w:themeFill="background1"/>
                  <w:noWrap/>
                  <w:vAlign w:val="bottom"/>
                  <w:hideMark/>
                </w:tcPr>
                <w:p w14:paraId="3D5F0FC9" w14:textId="77777777" w:rsidR="004B47C7" w:rsidRPr="004B47C7" w:rsidRDefault="004B47C7" w:rsidP="00445260">
                  <w:pPr>
                    <w:pStyle w:val="DHHStabletext"/>
                  </w:pPr>
                  <w:r w:rsidRPr="004B47C7">
                    <w:t>7%</w:t>
                  </w:r>
                </w:p>
              </w:tc>
              <w:tc>
                <w:tcPr>
                  <w:tcW w:w="1314" w:type="dxa"/>
                  <w:shd w:val="clear" w:color="auto" w:fill="FFFFFF" w:themeFill="background1"/>
                  <w:noWrap/>
                  <w:vAlign w:val="bottom"/>
                  <w:hideMark/>
                </w:tcPr>
                <w:p w14:paraId="02ED6FC2" w14:textId="77777777" w:rsidR="004B47C7" w:rsidRPr="004B47C7" w:rsidRDefault="004B47C7" w:rsidP="00445260">
                  <w:pPr>
                    <w:pStyle w:val="DHHStabletext"/>
                  </w:pPr>
                  <w:r w:rsidRPr="004B47C7">
                    <w:t>6%</w:t>
                  </w:r>
                </w:p>
              </w:tc>
            </w:tr>
            <w:tr w:rsidR="004B47C7" w:rsidRPr="004B47C7" w14:paraId="6FA08D70" w14:textId="77777777" w:rsidTr="00445260">
              <w:trPr>
                <w:trHeight w:val="234"/>
                <w:jc w:val="center"/>
              </w:trPr>
              <w:tc>
                <w:tcPr>
                  <w:tcW w:w="3660" w:type="dxa"/>
                  <w:shd w:val="clear" w:color="auto" w:fill="FFFFFF" w:themeFill="background1"/>
                  <w:noWrap/>
                  <w:vAlign w:val="bottom"/>
                  <w:hideMark/>
                </w:tcPr>
                <w:p w14:paraId="16512AEE" w14:textId="77777777" w:rsidR="004B47C7" w:rsidRPr="004B47C7" w:rsidRDefault="004B47C7" w:rsidP="00445260">
                  <w:pPr>
                    <w:pStyle w:val="DHHStabletext"/>
                  </w:pPr>
                  <w:r w:rsidRPr="004B47C7">
                    <w:t>Neither satisfied nor dissatisfied</w:t>
                  </w:r>
                </w:p>
              </w:tc>
              <w:tc>
                <w:tcPr>
                  <w:tcW w:w="1312" w:type="dxa"/>
                  <w:shd w:val="clear" w:color="auto" w:fill="FFFFFF" w:themeFill="background1"/>
                  <w:noWrap/>
                  <w:vAlign w:val="bottom"/>
                  <w:hideMark/>
                </w:tcPr>
                <w:p w14:paraId="42E89872"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702D18CA"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0D1CF340"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2AAC8716"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37C7309B" w14:textId="77777777" w:rsidR="004B47C7" w:rsidRPr="004B47C7" w:rsidRDefault="004B47C7" w:rsidP="00445260">
                  <w:pPr>
                    <w:pStyle w:val="DHHStabletext"/>
                  </w:pPr>
                  <w:r w:rsidRPr="004B47C7">
                    <w:t>1%</w:t>
                  </w:r>
                </w:p>
              </w:tc>
            </w:tr>
            <w:tr w:rsidR="004B47C7" w:rsidRPr="004B47C7" w14:paraId="26E7DE2C" w14:textId="77777777" w:rsidTr="00445260">
              <w:trPr>
                <w:trHeight w:val="234"/>
                <w:jc w:val="center"/>
              </w:trPr>
              <w:tc>
                <w:tcPr>
                  <w:tcW w:w="3660" w:type="dxa"/>
                  <w:shd w:val="clear" w:color="auto" w:fill="FFFFFF" w:themeFill="background1"/>
                  <w:noWrap/>
                  <w:vAlign w:val="bottom"/>
                  <w:hideMark/>
                </w:tcPr>
                <w:p w14:paraId="7D5EE770" w14:textId="77777777" w:rsidR="004B47C7" w:rsidRPr="004B47C7" w:rsidRDefault="004B47C7" w:rsidP="00445260">
                  <w:pPr>
                    <w:pStyle w:val="DHHStabletext"/>
                  </w:pPr>
                  <w:r w:rsidRPr="004B47C7">
                    <w:t>Somewhat dissatisfied</w:t>
                  </w:r>
                </w:p>
              </w:tc>
              <w:tc>
                <w:tcPr>
                  <w:tcW w:w="1312" w:type="dxa"/>
                  <w:shd w:val="clear" w:color="auto" w:fill="FFFFFF" w:themeFill="background1"/>
                  <w:noWrap/>
                  <w:vAlign w:val="bottom"/>
                  <w:hideMark/>
                </w:tcPr>
                <w:p w14:paraId="3CE1A74D"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37DC194D"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11C38122" w14:textId="77777777" w:rsidR="004B47C7" w:rsidRPr="004B47C7" w:rsidRDefault="004B47C7" w:rsidP="00445260">
                  <w:pPr>
                    <w:pStyle w:val="DHHStabletext"/>
                  </w:pPr>
                  <w:r w:rsidRPr="004B47C7">
                    <w:t>1%</w:t>
                  </w:r>
                </w:p>
              </w:tc>
              <w:tc>
                <w:tcPr>
                  <w:tcW w:w="1314" w:type="dxa"/>
                  <w:shd w:val="clear" w:color="auto" w:fill="FFFFFF" w:themeFill="background1"/>
                  <w:noWrap/>
                  <w:vAlign w:val="bottom"/>
                  <w:hideMark/>
                </w:tcPr>
                <w:p w14:paraId="143DA6E2"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1C37E20D" w14:textId="77777777" w:rsidR="004B47C7" w:rsidRPr="004B47C7" w:rsidRDefault="004B47C7" w:rsidP="00445260">
                  <w:pPr>
                    <w:pStyle w:val="DHHStabletext"/>
                  </w:pPr>
                  <w:r w:rsidRPr="004B47C7">
                    <w:t>0</w:t>
                  </w:r>
                </w:p>
              </w:tc>
            </w:tr>
            <w:tr w:rsidR="004B47C7" w:rsidRPr="004B47C7" w14:paraId="1C40DFD5" w14:textId="77777777" w:rsidTr="00445260">
              <w:trPr>
                <w:trHeight w:val="234"/>
                <w:jc w:val="center"/>
              </w:trPr>
              <w:tc>
                <w:tcPr>
                  <w:tcW w:w="3660" w:type="dxa"/>
                  <w:shd w:val="clear" w:color="auto" w:fill="FFFFFF" w:themeFill="background1"/>
                  <w:noWrap/>
                  <w:vAlign w:val="bottom"/>
                  <w:hideMark/>
                </w:tcPr>
                <w:p w14:paraId="28430278" w14:textId="77777777" w:rsidR="004B47C7" w:rsidRPr="004B47C7" w:rsidRDefault="004B47C7" w:rsidP="00445260">
                  <w:pPr>
                    <w:pStyle w:val="DHHStabletext"/>
                  </w:pPr>
                  <w:r w:rsidRPr="004B47C7">
                    <w:t xml:space="preserve">Highly dissatisfied </w:t>
                  </w:r>
                </w:p>
              </w:tc>
              <w:tc>
                <w:tcPr>
                  <w:tcW w:w="1312" w:type="dxa"/>
                  <w:shd w:val="clear" w:color="auto" w:fill="FFFFFF" w:themeFill="background1"/>
                  <w:noWrap/>
                  <w:vAlign w:val="bottom"/>
                  <w:hideMark/>
                </w:tcPr>
                <w:p w14:paraId="2DC2902F"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1C2225B5"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650D40EE"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4880E2CC"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13897B03" w14:textId="77777777" w:rsidR="004B47C7" w:rsidRPr="004B47C7" w:rsidRDefault="004B47C7" w:rsidP="00445260">
                  <w:pPr>
                    <w:pStyle w:val="DHHStabletext"/>
                  </w:pPr>
                  <w:r w:rsidRPr="004B47C7">
                    <w:t>0</w:t>
                  </w:r>
                </w:p>
              </w:tc>
            </w:tr>
            <w:tr w:rsidR="004B47C7" w:rsidRPr="004B47C7" w14:paraId="674EAA80" w14:textId="77777777" w:rsidTr="00445260">
              <w:trPr>
                <w:trHeight w:val="234"/>
                <w:jc w:val="center"/>
              </w:trPr>
              <w:tc>
                <w:tcPr>
                  <w:tcW w:w="3660" w:type="dxa"/>
                  <w:shd w:val="clear" w:color="auto" w:fill="FFFFFF" w:themeFill="background1"/>
                  <w:noWrap/>
                  <w:vAlign w:val="bottom"/>
                  <w:hideMark/>
                </w:tcPr>
                <w:p w14:paraId="7FD7BBA0" w14:textId="77777777" w:rsidR="004B47C7" w:rsidRPr="004B47C7" w:rsidRDefault="004B47C7" w:rsidP="00445260">
                  <w:pPr>
                    <w:pStyle w:val="DHHStabletext"/>
                  </w:pPr>
                  <w:r w:rsidRPr="004B47C7">
                    <w:t>Unsure</w:t>
                  </w:r>
                </w:p>
              </w:tc>
              <w:tc>
                <w:tcPr>
                  <w:tcW w:w="1312" w:type="dxa"/>
                  <w:shd w:val="clear" w:color="auto" w:fill="FFFFFF" w:themeFill="background1"/>
                  <w:noWrap/>
                  <w:vAlign w:val="bottom"/>
                  <w:hideMark/>
                </w:tcPr>
                <w:p w14:paraId="1245F3BF"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20A49B5D"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65E9025E"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370CCA35" w14:textId="77777777" w:rsidR="004B47C7" w:rsidRPr="004B47C7" w:rsidRDefault="004B47C7" w:rsidP="00445260">
                  <w:pPr>
                    <w:pStyle w:val="DHHStabletext"/>
                  </w:pPr>
                  <w:r w:rsidRPr="004B47C7">
                    <w:t>0</w:t>
                  </w:r>
                </w:p>
              </w:tc>
              <w:tc>
                <w:tcPr>
                  <w:tcW w:w="1314" w:type="dxa"/>
                  <w:shd w:val="clear" w:color="auto" w:fill="FFFFFF" w:themeFill="background1"/>
                  <w:noWrap/>
                  <w:vAlign w:val="bottom"/>
                  <w:hideMark/>
                </w:tcPr>
                <w:p w14:paraId="00B628FA" w14:textId="77777777" w:rsidR="004B47C7" w:rsidRPr="004B47C7" w:rsidRDefault="004B47C7" w:rsidP="00445260">
                  <w:pPr>
                    <w:pStyle w:val="DHHStabletext"/>
                  </w:pPr>
                  <w:r w:rsidRPr="004B47C7">
                    <w:t>0</w:t>
                  </w:r>
                </w:p>
              </w:tc>
            </w:tr>
          </w:tbl>
          <w:p w14:paraId="4FEFECBB" w14:textId="77777777" w:rsidR="004B47C7" w:rsidRPr="004B47C7" w:rsidRDefault="004B47C7" w:rsidP="00FA47CC">
            <w:pPr>
              <w:rPr>
                <w:rFonts w:ascii="Arial" w:hAnsi="Arial" w:cs="Arial"/>
              </w:rPr>
            </w:pPr>
          </w:p>
        </w:tc>
      </w:tr>
    </w:tbl>
    <w:p w14:paraId="055D4E37" w14:textId="77777777" w:rsidR="00AF7428" w:rsidRPr="00671C7A" w:rsidRDefault="00AF7428" w:rsidP="006C718A">
      <w:pPr>
        <w:pStyle w:val="Heading4"/>
        <w:spacing w:before="0" w:line="270" w:lineRule="atLeast"/>
        <w:rPr>
          <w:lang w:eastAsia="en-AU"/>
        </w:rPr>
      </w:pPr>
      <w:r>
        <w:rPr>
          <w:lang w:eastAsia="en-AU"/>
        </w:rPr>
        <w:t>Measure assessment</w:t>
      </w:r>
    </w:p>
    <w:p w14:paraId="678E3DA3" w14:textId="6BB5AFE3" w:rsidR="00AF7428" w:rsidRPr="00061321" w:rsidRDefault="00AF7428" w:rsidP="006C718A">
      <w:pPr>
        <w:spacing w:after="120" w:line="270" w:lineRule="atLeast"/>
        <w:rPr>
          <w:rFonts w:ascii="Arial" w:hAnsi="Arial" w:cs="Arial"/>
          <w:color w:val="00B050"/>
        </w:rPr>
      </w:pPr>
      <w:r>
        <w:rPr>
          <w:rFonts w:ascii="Arial" w:hAnsi="Arial" w:cs="Arial"/>
        </w:rPr>
        <w:t xml:space="preserve">Traffic light rating: </w:t>
      </w:r>
      <w:r w:rsidRPr="00061321">
        <w:rPr>
          <w:rFonts w:ascii="Arial" w:hAnsi="Arial" w:cs="Arial"/>
          <w:b/>
          <w:color w:val="007B4B"/>
        </w:rPr>
        <w:t>Green</w:t>
      </w:r>
      <w:r w:rsidR="00061321">
        <w:rPr>
          <w:rFonts w:ascii="Arial" w:hAnsi="Arial" w:cs="Arial"/>
          <w:color w:val="007B4B"/>
        </w:rPr>
        <w:t xml:space="preserve"> (satisfactory result)</w:t>
      </w:r>
    </w:p>
    <w:p w14:paraId="56DF961E" w14:textId="77777777" w:rsidR="00CD258C" w:rsidRDefault="00AF7428" w:rsidP="006C718A">
      <w:pPr>
        <w:spacing w:after="120" w:line="270" w:lineRule="atLeast"/>
        <w:rPr>
          <w:rFonts w:ascii="Arial" w:hAnsi="Arial" w:cs="Arial"/>
        </w:rPr>
      </w:pPr>
      <w:r>
        <w:rPr>
          <w:rFonts w:ascii="Arial" w:hAnsi="Arial" w:cs="Arial"/>
        </w:rPr>
        <w:t>Overall trend: Moving in the right direction</w:t>
      </w:r>
    </w:p>
    <w:p w14:paraId="3529FE53" w14:textId="58DE975C" w:rsidR="00CD258C" w:rsidRPr="00CD258C" w:rsidRDefault="00AF7428" w:rsidP="006C718A">
      <w:pPr>
        <w:autoSpaceDE w:val="0"/>
        <w:autoSpaceDN w:val="0"/>
        <w:adjustRightInd w:val="0"/>
        <w:spacing w:after="120" w:line="270" w:lineRule="atLeast"/>
        <w:rPr>
          <w:rFonts w:ascii="Arial" w:hAnsi="Arial" w:cs="Arial"/>
        </w:rPr>
      </w:pPr>
      <w:r w:rsidRPr="00AF7428">
        <w:rPr>
          <w:rFonts w:ascii="Arial" w:hAnsi="Arial" w:cs="Arial"/>
        </w:rPr>
        <w:t xml:space="preserve">Commentary: BreastScreen Victoria is part of a national breast cancer screening program inviting women aged 50–74 to have free breast screens every two years. The aim of this program is to reduce </w:t>
      </w:r>
      <w:r w:rsidRPr="00AF7428">
        <w:rPr>
          <w:rFonts w:ascii="Arial" w:hAnsi="Arial" w:cs="Arial"/>
          <w:color w:val="000000"/>
        </w:rPr>
        <w:t>breast cancer deaths through early detection of the disease.</w:t>
      </w:r>
    </w:p>
    <w:p w14:paraId="270E82E1" w14:textId="6634F41F" w:rsidR="00AF7428" w:rsidRDefault="00AF7428" w:rsidP="006C718A">
      <w:pPr>
        <w:autoSpaceDE w:val="0"/>
        <w:autoSpaceDN w:val="0"/>
        <w:adjustRightInd w:val="0"/>
        <w:spacing w:after="120" w:line="270" w:lineRule="atLeast"/>
        <w:rPr>
          <w:rFonts w:ascii="Arial" w:hAnsi="Arial" w:cs="Arial"/>
          <w:color w:val="000000"/>
        </w:rPr>
      </w:pPr>
      <w:r w:rsidRPr="00AF7428">
        <w:rPr>
          <w:rFonts w:ascii="Arial" w:hAnsi="Arial" w:cs="Arial"/>
          <w:color w:val="000000"/>
        </w:rPr>
        <w:t xml:space="preserve">BreastScreen Victoria has a network of services around the state including eight regional assessment services, 39 screening clinics and </w:t>
      </w:r>
      <w:r w:rsidR="00A02E8B">
        <w:rPr>
          <w:rFonts w:ascii="Arial" w:hAnsi="Arial" w:cs="Arial"/>
          <w:color w:val="000000"/>
        </w:rPr>
        <w:t>its</w:t>
      </w:r>
      <w:r w:rsidRPr="00AF7428">
        <w:rPr>
          <w:rFonts w:ascii="Arial" w:hAnsi="Arial" w:cs="Arial"/>
          <w:color w:val="000000"/>
        </w:rPr>
        <w:t xml:space="preserve"> Mobile Screening Service that visits 29 communities every two years.</w:t>
      </w:r>
      <w:r>
        <w:rPr>
          <w:rFonts w:ascii="Arial" w:hAnsi="Arial" w:cs="Arial"/>
          <w:color w:val="000000"/>
        </w:rPr>
        <w:t xml:space="preserve"> Brea</w:t>
      </w:r>
      <w:r w:rsidR="00BF199D">
        <w:rPr>
          <w:rFonts w:ascii="Arial" w:hAnsi="Arial" w:cs="Arial"/>
          <w:color w:val="000000"/>
        </w:rPr>
        <w:t>s</w:t>
      </w:r>
      <w:r>
        <w:rPr>
          <w:rFonts w:ascii="Arial" w:hAnsi="Arial" w:cs="Arial"/>
          <w:color w:val="000000"/>
        </w:rPr>
        <w:t xml:space="preserve">tScreen Victoria </w:t>
      </w:r>
      <w:r>
        <w:rPr>
          <w:rFonts w:ascii="Arial" w:hAnsi="Arial" w:cs="Arial"/>
          <w:color w:val="000000"/>
        </w:rPr>
        <w:lastRenderedPageBreak/>
        <w:t>has been conducting an annual client satisfaction survey since 2013</w:t>
      </w:r>
      <w:r w:rsidR="00B801B8">
        <w:rPr>
          <w:rFonts w:ascii="Arial" w:hAnsi="Arial" w:cs="Arial"/>
          <w:color w:val="000000"/>
        </w:rPr>
        <w:t xml:space="preserve"> as a means of measuring and monitoring all aspects of service delivery received by w</w:t>
      </w:r>
      <w:r w:rsidR="00960948">
        <w:rPr>
          <w:rFonts w:ascii="Arial" w:hAnsi="Arial" w:cs="Arial"/>
          <w:color w:val="000000"/>
        </w:rPr>
        <w:t>omen undergoing a breast screen including their intention to return for rescreening.</w:t>
      </w:r>
      <w:r w:rsidR="00C277BB">
        <w:rPr>
          <w:rFonts w:ascii="Arial" w:hAnsi="Arial" w:cs="Arial"/>
          <w:color w:val="000000"/>
        </w:rPr>
        <w:t xml:space="preserve"> </w:t>
      </w:r>
    </w:p>
    <w:p w14:paraId="72BFCB93" w14:textId="22EB88F9" w:rsidR="00AF7428" w:rsidRPr="000A2E63" w:rsidRDefault="00C277BB" w:rsidP="006C718A">
      <w:pPr>
        <w:autoSpaceDE w:val="0"/>
        <w:autoSpaceDN w:val="0"/>
        <w:adjustRightInd w:val="0"/>
        <w:spacing w:after="120" w:line="270" w:lineRule="atLeast"/>
        <w:rPr>
          <w:rFonts w:ascii="Arial" w:hAnsi="Arial" w:cs="Arial"/>
          <w:color w:val="000000"/>
        </w:rPr>
      </w:pPr>
      <w:r>
        <w:rPr>
          <w:rFonts w:ascii="Arial" w:hAnsi="Arial" w:cs="Arial"/>
          <w:color w:val="000000"/>
        </w:rPr>
        <w:t xml:space="preserve">While no target has been set for this measure, overall satisfaction with the breast screening </w:t>
      </w:r>
      <w:r w:rsidR="00A02E8B">
        <w:rPr>
          <w:rFonts w:ascii="Arial" w:hAnsi="Arial" w:cs="Arial"/>
          <w:color w:val="000000"/>
        </w:rPr>
        <w:t xml:space="preserve">service </w:t>
      </w:r>
      <w:r>
        <w:rPr>
          <w:rFonts w:ascii="Arial" w:hAnsi="Arial" w:cs="Arial"/>
          <w:color w:val="000000"/>
        </w:rPr>
        <w:t xml:space="preserve">continues to be very </w:t>
      </w:r>
      <w:r w:rsidR="00E9641F">
        <w:rPr>
          <w:rFonts w:ascii="Arial" w:hAnsi="Arial" w:cs="Arial"/>
          <w:color w:val="000000"/>
        </w:rPr>
        <w:t xml:space="preserve">high. Since 2013, more than </w:t>
      </w:r>
      <w:r w:rsidR="00702BEF">
        <w:rPr>
          <w:rFonts w:ascii="Arial" w:hAnsi="Arial" w:cs="Arial"/>
          <w:color w:val="000000"/>
        </w:rPr>
        <w:t>nine</w:t>
      </w:r>
      <w:r w:rsidR="00E9641F">
        <w:rPr>
          <w:rFonts w:ascii="Arial" w:hAnsi="Arial" w:cs="Arial"/>
          <w:color w:val="000000"/>
        </w:rPr>
        <w:t xml:space="preserve"> in 10</w:t>
      </w:r>
      <w:r>
        <w:rPr>
          <w:rFonts w:ascii="Arial" w:hAnsi="Arial" w:cs="Arial"/>
          <w:color w:val="000000"/>
        </w:rPr>
        <w:t xml:space="preserve"> women are highly satisfied with their overall experience.</w:t>
      </w:r>
      <w:r w:rsidR="00952FC7">
        <w:rPr>
          <w:rFonts w:ascii="Arial" w:hAnsi="Arial" w:cs="Arial"/>
          <w:color w:val="000000"/>
        </w:rPr>
        <w:t xml:space="preserve"> </w:t>
      </w:r>
      <w:r>
        <w:rPr>
          <w:rFonts w:ascii="Arial" w:hAnsi="Arial" w:cs="Arial"/>
          <w:color w:val="000000"/>
        </w:rPr>
        <w:t xml:space="preserve">Less than </w:t>
      </w:r>
      <w:r w:rsidR="00702BEF">
        <w:rPr>
          <w:rFonts w:ascii="Arial" w:hAnsi="Arial" w:cs="Arial"/>
          <w:color w:val="000000"/>
        </w:rPr>
        <w:t>two</w:t>
      </w:r>
      <w:r w:rsidR="00BF0E37">
        <w:rPr>
          <w:rFonts w:ascii="Arial" w:hAnsi="Arial" w:cs="Arial"/>
          <w:color w:val="000000"/>
        </w:rPr>
        <w:t xml:space="preserve"> per cent</w:t>
      </w:r>
      <w:r>
        <w:rPr>
          <w:rFonts w:ascii="Arial" w:hAnsi="Arial" w:cs="Arial"/>
          <w:color w:val="000000"/>
        </w:rPr>
        <w:t xml:space="preserve"> of women are neutral or dissatisfied with their experience, reinforcing that nearly all </w:t>
      </w:r>
      <w:r w:rsidR="005162CE">
        <w:rPr>
          <w:rFonts w:ascii="Arial" w:hAnsi="Arial" w:cs="Arial"/>
          <w:color w:val="000000"/>
        </w:rPr>
        <w:t>are extremely satisfied overall</w:t>
      </w:r>
      <w:r w:rsidR="00A02E8B">
        <w:rPr>
          <w:rFonts w:ascii="Arial" w:hAnsi="Arial" w:cs="Arial"/>
          <w:color w:val="000000"/>
        </w:rPr>
        <w:t>,</w:t>
      </w:r>
      <w:r w:rsidR="005162CE">
        <w:rPr>
          <w:rFonts w:ascii="Arial" w:hAnsi="Arial" w:cs="Arial"/>
          <w:color w:val="000000"/>
        </w:rPr>
        <w:t xml:space="preserve"> particularly given that the sample size has grown significantly over the past five years</w:t>
      </w:r>
      <w:r w:rsidR="00DA0438">
        <w:rPr>
          <w:rFonts w:ascii="Arial" w:hAnsi="Arial" w:cs="Arial"/>
          <w:color w:val="000000"/>
        </w:rPr>
        <w:t xml:space="preserve"> (Figure 16.1 and Table 16.1)</w:t>
      </w:r>
      <w:r w:rsidR="005162CE">
        <w:rPr>
          <w:rFonts w:ascii="Arial" w:hAnsi="Arial" w:cs="Arial"/>
          <w:color w:val="000000"/>
        </w:rPr>
        <w:t>.</w:t>
      </w:r>
    </w:p>
    <w:p w14:paraId="42F1BE70" w14:textId="36BCED0C" w:rsidR="00CB5244" w:rsidRDefault="00E44FD2" w:rsidP="006C718A">
      <w:pPr>
        <w:pStyle w:val="Heading3"/>
        <w:spacing w:before="0" w:line="270" w:lineRule="atLeast"/>
        <w:rPr>
          <w:lang w:eastAsia="en-AU"/>
        </w:rPr>
      </w:pPr>
      <w:bookmarkStart w:id="981" w:name="_Measure_16.2_–"/>
      <w:bookmarkEnd w:id="981"/>
      <w:r w:rsidRPr="00AF7428">
        <w:rPr>
          <w:rFonts w:cs="Arial"/>
          <w:lang w:eastAsia="en-AU"/>
        </w:rPr>
        <w:br w:type="page"/>
      </w:r>
      <w:bookmarkStart w:id="982" w:name="_Toc19008208"/>
      <w:r w:rsidR="00605A7F">
        <w:rPr>
          <w:lang w:eastAsia="en-AU"/>
        </w:rPr>
        <w:lastRenderedPageBreak/>
        <w:t>Measure 16.2 –</w:t>
      </w:r>
      <w:r w:rsidR="000C2F6F">
        <w:rPr>
          <w:lang w:eastAsia="en-AU"/>
        </w:rPr>
        <w:t xml:space="preserve"> Proportion of women</w:t>
      </w:r>
      <w:r w:rsidR="00333559">
        <w:rPr>
          <w:lang w:eastAsia="en-AU"/>
        </w:rPr>
        <w:t xml:space="preserve"> who are rescreened at BreastScreen Victoria within 27 months after the first screen</w:t>
      </w:r>
      <w:bookmarkEnd w:id="982"/>
    </w:p>
    <w:p w14:paraId="4F23A83A" w14:textId="326DBB9B" w:rsidR="001159C0" w:rsidRPr="001159C0" w:rsidRDefault="00B60CC1" w:rsidP="008D320F">
      <w:pPr>
        <w:pStyle w:val="DHHSfigurecaption"/>
      </w:pPr>
      <w:bookmarkStart w:id="983" w:name="_Toc19008209"/>
      <w:bookmarkStart w:id="984" w:name="_Toc19008387"/>
      <w:bookmarkStart w:id="985" w:name="_Toc19008534"/>
      <w:bookmarkStart w:id="986" w:name="_Toc19008681"/>
      <w:bookmarkStart w:id="987" w:name="_Toc27414389"/>
      <w:r>
        <w:t>Figure 16.2</w:t>
      </w:r>
      <w:r w:rsidR="00702BEF">
        <w:t>:</w:t>
      </w:r>
      <w:r w:rsidR="001159C0">
        <w:t xml:space="preserve"> </w:t>
      </w:r>
      <w:r w:rsidR="00E74E76">
        <w:t>A</w:t>
      </w:r>
      <w:r w:rsidR="001159C0">
        <w:t>ge</w:t>
      </w:r>
      <w:r w:rsidR="00702BEF">
        <w:t>-</w:t>
      </w:r>
      <w:r w:rsidR="001159C0">
        <w:t>adjusted proportion of women screened during 2014 who rescreened within 27</w:t>
      </w:r>
      <w:r w:rsidR="001159C0" w:rsidRPr="00972294">
        <w:t xml:space="preserve"> months</w:t>
      </w:r>
      <w:r w:rsidR="001159C0">
        <w:t xml:space="preserve">, first screening round, </w:t>
      </w:r>
      <w:r w:rsidR="001159C0" w:rsidRPr="00972294">
        <w:t>by st</w:t>
      </w:r>
      <w:r w:rsidR="001159C0">
        <w:t>ate and territory, women aged 50</w:t>
      </w:r>
      <w:r w:rsidR="00702BEF">
        <w:t>–</w:t>
      </w:r>
      <w:r w:rsidR="001159C0">
        <w:t>72</w:t>
      </w:r>
      <w:r w:rsidR="001159C0" w:rsidRPr="00972294">
        <w:t xml:space="preserve"> year</w:t>
      </w:r>
      <w:r w:rsidR="001159C0">
        <w:t>s</w:t>
      </w:r>
      <w:bookmarkEnd w:id="983"/>
      <w:bookmarkEnd w:id="984"/>
      <w:bookmarkEnd w:id="985"/>
      <w:bookmarkEnd w:id="986"/>
      <w:bookmarkEnd w:id="987"/>
    </w:p>
    <w:p w14:paraId="25F9953C" w14:textId="2DBF9DB8" w:rsidR="00CB5244" w:rsidRDefault="00F534F5" w:rsidP="00CB5244">
      <w:pPr>
        <w:pStyle w:val="Heading4"/>
        <w:rPr>
          <w:lang w:eastAsia="en-AU"/>
        </w:rPr>
      </w:pPr>
      <w:r>
        <w:rPr>
          <w:noProof/>
          <w:lang w:eastAsia="en-AU"/>
        </w:rPr>
        <w:drawing>
          <wp:inline distT="0" distB="0" distL="0" distR="0" wp14:anchorId="13F1DDE4" wp14:editId="50FF3A9C">
            <wp:extent cx="6767195" cy="2950845"/>
            <wp:effectExtent l="0" t="0" r="0" b="1905"/>
            <wp:docPr id="23" name="Picture 23" descr="This figure presents data on the age-adjusted proportion of women screened during 2014 who rescreened within 27 months, first screening round, by state and territory, women aged 50–72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767195" cy="2950845"/>
                    </a:xfrm>
                    <a:prstGeom prst="rect">
                      <a:avLst/>
                    </a:prstGeom>
                    <a:noFill/>
                  </pic:spPr>
                </pic:pic>
              </a:graphicData>
            </a:graphic>
          </wp:inline>
        </w:drawing>
      </w:r>
    </w:p>
    <w:p w14:paraId="26F06352" w14:textId="77777777" w:rsidR="00A02E8B" w:rsidRPr="00B26C2E" w:rsidRDefault="00A02E8B" w:rsidP="00B44969">
      <w:pPr>
        <w:pStyle w:val="DHHStablefigurenote"/>
        <w:rPr>
          <w:lang w:eastAsia="en-AU"/>
        </w:rPr>
      </w:pPr>
      <w:r w:rsidRPr="00B26C2E">
        <w:rPr>
          <w:lang w:eastAsia="en-AU"/>
        </w:rPr>
        <w:t xml:space="preserve">Source: </w:t>
      </w:r>
      <w:r w:rsidRPr="00B26C2E">
        <w:t>Australian Institute of Health and Welfare 2018. BreastScreen Australia monitoring report 2018. Cancer series no. 112. Cat. no. CAN 116. AIHW</w:t>
      </w:r>
      <w:r>
        <w:t>, Canberra</w:t>
      </w:r>
      <w:r w:rsidRPr="00B26C2E">
        <w:t>.</w:t>
      </w:r>
    </w:p>
    <w:p w14:paraId="6B9CBD6C" w14:textId="2B02103D" w:rsidR="00673320" w:rsidRDefault="00D963B5" w:rsidP="00A02E8B">
      <w:pPr>
        <w:pStyle w:val="DHHStablefigurenote"/>
      </w:pPr>
      <w:r w:rsidRPr="00673320">
        <w:t>‘Age-standardised rate’ is the number of women rescreened within 27 months as a percentage of women screened, age-standardised to the population of women attending a BreastScreen Australia service in 2008.</w:t>
      </w:r>
    </w:p>
    <w:p w14:paraId="7C68EE44" w14:textId="77777777" w:rsidR="00CB5244" w:rsidRPr="00671C7A" w:rsidRDefault="00CB5244" w:rsidP="006C718A">
      <w:pPr>
        <w:pStyle w:val="Heading4"/>
        <w:spacing w:before="0" w:line="270" w:lineRule="atLeast"/>
        <w:rPr>
          <w:lang w:eastAsia="en-AU"/>
        </w:rPr>
      </w:pPr>
      <w:r>
        <w:rPr>
          <w:lang w:eastAsia="en-AU"/>
        </w:rPr>
        <w:t>Measure assessment</w:t>
      </w:r>
    </w:p>
    <w:p w14:paraId="60899B71" w14:textId="69493AE2" w:rsidR="00CB5244" w:rsidRPr="0062077D" w:rsidRDefault="00CB5244" w:rsidP="006C718A">
      <w:pPr>
        <w:spacing w:after="120" w:line="270" w:lineRule="atLeast"/>
        <w:rPr>
          <w:rFonts w:ascii="Arial" w:hAnsi="Arial" w:cs="Arial"/>
        </w:rPr>
      </w:pPr>
      <w:r w:rsidRPr="00BF199D">
        <w:rPr>
          <w:rFonts w:ascii="Arial" w:hAnsi="Arial" w:cs="Arial"/>
        </w:rPr>
        <w:t>Traffic light rating:</w:t>
      </w:r>
      <w:r>
        <w:rPr>
          <w:rFonts w:ascii="Arial" w:hAnsi="Arial" w:cs="Arial"/>
        </w:rPr>
        <w:t xml:space="preserve"> </w:t>
      </w:r>
      <w:r w:rsidR="0062077D" w:rsidRPr="006537FE">
        <w:rPr>
          <w:rFonts w:ascii="Arial" w:hAnsi="Arial" w:cs="Arial"/>
          <w:b/>
          <w:color w:val="C5511A"/>
        </w:rPr>
        <w:t>Amber</w:t>
      </w:r>
      <w:r w:rsidR="0062077D">
        <w:rPr>
          <w:rFonts w:ascii="Arial" w:hAnsi="Arial" w:cs="Arial"/>
          <w:b/>
          <w:color w:val="C5511A"/>
        </w:rPr>
        <w:t xml:space="preserve"> </w:t>
      </w:r>
      <w:r w:rsidR="0062077D" w:rsidRPr="00EA3932">
        <w:rPr>
          <w:rFonts w:ascii="Arial" w:hAnsi="Arial" w:cs="Arial"/>
          <w:color w:val="C5511A"/>
        </w:rPr>
        <w:t>(desired result not yet evident)</w:t>
      </w:r>
      <w:r w:rsidR="0062077D" w:rsidRPr="00CC5019">
        <w:rPr>
          <w:rFonts w:ascii="Arial" w:hAnsi="Arial" w:cs="Arial"/>
          <w:b/>
          <w:color w:val="FFC000"/>
        </w:rPr>
        <w:t xml:space="preserve"> </w:t>
      </w:r>
    </w:p>
    <w:p w14:paraId="1A1D17E4" w14:textId="29757E9D" w:rsidR="00CB5244" w:rsidRDefault="00CB5244" w:rsidP="006C718A">
      <w:pPr>
        <w:spacing w:after="120" w:line="270" w:lineRule="atLeast"/>
        <w:rPr>
          <w:rFonts w:ascii="Arial" w:hAnsi="Arial" w:cs="Arial"/>
        </w:rPr>
      </w:pPr>
      <w:r>
        <w:rPr>
          <w:rFonts w:ascii="Arial" w:hAnsi="Arial" w:cs="Arial"/>
        </w:rPr>
        <w:t>Overall trend: Moving in the right direction</w:t>
      </w:r>
      <w:r w:rsidR="00A02E8B">
        <w:rPr>
          <w:rFonts w:ascii="Arial" w:hAnsi="Arial" w:cs="Arial"/>
        </w:rPr>
        <w:t>,</w:t>
      </w:r>
      <w:r w:rsidR="00B26C2E">
        <w:rPr>
          <w:rFonts w:ascii="Arial" w:hAnsi="Arial" w:cs="Arial"/>
        </w:rPr>
        <w:t xml:space="preserve"> but </w:t>
      </w:r>
      <w:r w:rsidR="00B25DB8">
        <w:rPr>
          <w:rFonts w:ascii="Arial" w:hAnsi="Arial" w:cs="Arial"/>
        </w:rPr>
        <w:t xml:space="preserve">this </w:t>
      </w:r>
      <w:r w:rsidR="00B26C2E">
        <w:rPr>
          <w:rFonts w:ascii="Arial" w:hAnsi="Arial" w:cs="Arial"/>
        </w:rPr>
        <w:t xml:space="preserve">measure will need to be revised </w:t>
      </w:r>
      <w:r w:rsidR="00B60CC1">
        <w:rPr>
          <w:rFonts w:ascii="Arial" w:hAnsi="Arial" w:cs="Arial"/>
        </w:rPr>
        <w:t xml:space="preserve">in the future </w:t>
      </w:r>
      <w:r w:rsidR="00B26C2E">
        <w:rPr>
          <w:rFonts w:ascii="Arial" w:hAnsi="Arial" w:cs="Arial"/>
        </w:rPr>
        <w:t xml:space="preserve">to account for </w:t>
      </w:r>
      <w:r w:rsidR="00381AFD">
        <w:rPr>
          <w:rFonts w:ascii="Arial" w:hAnsi="Arial" w:cs="Arial"/>
        </w:rPr>
        <w:t>change in rescreening age</w:t>
      </w:r>
    </w:p>
    <w:p w14:paraId="692A577F" w14:textId="0AC30D72" w:rsidR="00CC48BD" w:rsidRDefault="00CB5244" w:rsidP="006C718A">
      <w:pPr>
        <w:pStyle w:val="DHHSbody"/>
      </w:pPr>
      <w:r w:rsidRPr="00A97F46">
        <w:rPr>
          <w:rFonts w:cs="Arial"/>
          <w:lang w:eastAsia="en-AU"/>
        </w:rPr>
        <w:t>Commentary:</w:t>
      </w:r>
      <w:r w:rsidR="005B346B" w:rsidRPr="00A97F46">
        <w:rPr>
          <w:rFonts w:cs="Arial"/>
          <w:lang w:eastAsia="en-AU"/>
        </w:rPr>
        <w:t xml:space="preserve"> </w:t>
      </w:r>
      <w:r w:rsidR="00CC48BD" w:rsidRPr="00A97F46">
        <w:t xml:space="preserve">Although the recommended screening interval is </w:t>
      </w:r>
      <w:r w:rsidR="00702BEF">
        <w:t>two</w:t>
      </w:r>
      <w:r w:rsidR="00CC48BD" w:rsidRPr="00A97F46">
        <w:t xml:space="preserve"> years (24 months), 27 months is used to allow a reasonable timeframe for women to respond to invitations. The latest rescreening data </w:t>
      </w:r>
      <w:r w:rsidR="00A02E8B">
        <w:t>is</w:t>
      </w:r>
      <w:r w:rsidR="00A02E8B" w:rsidRPr="00A97F46">
        <w:t xml:space="preserve"> </w:t>
      </w:r>
      <w:r w:rsidR="00CC48BD" w:rsidRPr="00A97F46">
        <w:t>for women screened in 2014. The target age group used for rescreening (prior to 2014) was 50–67 rather than 50–69 because women aged 68–69 at th</w:t>
      </w:r>
      <w:r w:rsidR="00B26C2E" w:rsidRPr="00A97F46">
        <w:t>at</w:t>
      </w:r>
      <w:r w:rsidR="00CC48BD" w:rsidRPr="00A97F46">
        <w:t xml:space="preserve"> time of their screen would be outside the target age group of 50–69 when they would be due for their rescreen. The target age group for women screened from 2014 onwards has changed </w:t>
      </w:r>
      <w:r w:rsidR="00B26C2E" w:rsidRPr="00A97F46">
        <w:t>and is now</w:t>
      </w:r>
      <w:r w:rsidR="00CC48BD" w:rsidRPr="00A97F46">
        <w:t xml:space="preserve"> 50–72</w:t>
      </w:r>
      <w:r w:rsidR="00B26C2E" w:rsidRPr="00A97F46">
        <w:t>.</w:t>
      </w:r>
      <w:r w:rsidR="00952FC7">
        <w:t xml:space="preserve"> </w:t>
      </w:r>
      <w:r w:rsidR="00DD0782" w:rsidRPr="00A97F46">
        <w:t>The proportion of women screened during 2014 who rescreened within 27 months</w:t>
      </w:r>
      <w:r w:rsidR="00B130D4">
        <w:t xml:space="preserve"> of their</w:t>
      </w:r>
      <w:r w:rsidR="00DD0782" w:rsidRPr="00A97F46">
        <w:t xml:space="preserve"> first screening around</w:t>
      </w:r>
      <w:r w:rsidR="00B130D4">
        <w:t xml:space="preserve"> </w:t>
      </w:r>
      <w:r w:rsidR="00DD0782" w:rsidRPr="00A97F46">
        <w:t>is shown</w:t>
      </w:r>
      <w:r w:rsidR="00B60CC1">
        <w:t xml:space="preserve"> in Figure 16.2</w:t>
      </w:r>
      <w:r w:rsidR="00DD0782" w:rsidRPr="00A97F46">
        <w:t>.</w:t>
      </w:r>
    </w:p>
    <w:p w14:paraId="719C4014" w14:textId="58F244DA" w:rsidR="00FF03E9" w:rsidRPr="00FF03E9" w:rsidRDefault="00FF03E9" w:rsidP="006C718A">
      <w:pPr>
        <w:pStyle w:val="DHHSbody"/>
      </w:pPr>
      <w:r>
        <w:rPr>
          <w:rFonts w:cs="Arial"/>
          <w:bCs/>
          <w:color w:val="000000"/>
          <w:lang w:eastAsia="en-AU"/>
        </w:rPr>
        <w:t>While there is no target for this measure</w:t>
      </w:r>
      <w:r w:rsidR="00B130D4">
        <w:rPr>
          <w:rFonts w:cs="Arial"/>
          <w:bCs/>
          <w:color w:val="000000"/>
          <w:lang w:eastAsia="en-AU"/>
        </w:rPr>
        <w:t>,</w:t>
      </w:r>
      <w:r>
        <w:rPr>
          <w:rFonts w:cs="Arial"/>
          <w:bCs/>
          <w:color w:val="000000"/>
          <w:lang w:eastAsia="en-AU"/>
        </w:rPr>
        <w:t xml:space="preserve"> t</w:t>
      </w:r>
      <w:r w:rsidRPr="00FF03E9">
        <w:rPr>
          <w:rFonts w:cs="Arial"/>
          <w:bCs/>
          <w:color w:val="000000"/>
          <w:lang w:eastAsia="en-AU"/>
        </w:rPr>
        <w:t>here is a clear relationship between women’s satisfaction of their breast screening experience and their intention to return. Women who are dissatisfied are less likely to intend to return for another breast screen in future. A high rescreen rate is important to both increase the likelihood of breast cancers being detected early and to maintain overall participation.</w:t>
      </w:r>
    </w:p>
    <w:p w14:paraId="7454D30D" w14:textId="7823709C" w:rsidR="00605A7F" w:rsidRDefault="00CB5244" w:rsidP="006C718A">
      <w:pPr>
        <w:pStyle w:val="Heading3"/>
        <w:spacing w:before="0" w:line="270" w:lineRule="atLeast"/>
        <w:rPr>
          <w:lang w:eastAsia="en-AU"/>
        </w:rPr>
      </w:pPr>
      <w:bookmarkStart w:id="988" w:name="_Measure_16.3_–"/>
      <w:bookmarkEnd w:id="988"/>
      <w:r>
        <w:rPr>
          <w:lang w:eastAsia="en-AU"/>
        </w:rPr>
        <w:br w:type="page"/>
      </w:r>
      <w:bookmarkStart w:id="989" w:name="_Toc19008210"/>
      <w:bookmarkStart w:id="990" w:name="_Hlk356328"/>
      <w:r w:rsidR="00605A7F">
        <w:rPr>
          <w:lang w:eastAsia="en-AU"/>
        </w:rPr>
        <w:lastRenderedPageBreak/>
        <w:t>Measure 16.3 –</w:t>
      </w:r>
      <w:r w:rsidR="000C2F6F" w:rsidRPr="000C2F6F">
        <w:rPr>
          <w:lang w:eastAsia="en-AU"/>
        </w:rPr>
        <w:t xml:space="preserve"> </w:t>
      </w:r>
      <w:r w:rsidR="000C2F6F">
        <w:rPr>
          <w:lang w:eastAsia="en-AU"/>
        </w:rPr>
        <w:t>Proportion of women</w:t>
      </w:r>
      <w:r w:rsidR="00333559">
        <w:rPr>
          <w:lang w:eastAsia="en-AU"/>
        </w:rPr>
        <w:t xml:space="preserve"> who are rescreened for cervi</w:t>
      </w:r>
      <w:r w:rsidR="00356527">
        <w:rPr>
          <w:lang w:eastAsia="en-AU"/>
        </w:rPr>
        <w:t>cal</w:t>
      </w:r>
      <w:r w:rsidR="00333559">
        <w:rPr>
          <w:lang w:eastAsia="en-AU"/>
        </w:rPr>
        <w:t xml:space="preserve"> cancer within </w:t>
      </w:r>
      <w:r w:rsidR="00702BEF">
        <w:rPr>
          <w:lang w:eastAsia="en-AU"/>
        </w:rPr>
        <w:t>three</w:t>
      </w:r>
      <w:r w:rsidR="00AD6984">
        <w:rPr>
          <w:lang w:eastAsia="en-AU"/>
        </w:rPr>
        <w:t xml:space="preserve"> months of receiving a 27-month cervical screening register reminder letter</w:t>
      </w:r>
      <w:bookmarkEnd w:id="989"/>
    </w:p>
    <w:p w14:paraId="75318BD6" w14:textId="6206120C" w:rsidR="00AD6984" w:rsidRPr="00972294" w:rsidRDefault="00AD6984" w:rsidP="008D320F">
      <w:pPr>
        <w:pStyle w:val="DHHSfigurecaption"/>
      </w:pPr>
      <w:bookmarkStart w:id="991" w:name="_Toc19008211"/>
      <w:bookmarkStart w:id="992" w:name="_Toc19008388"/>
      <w:bookmarkStart w:id="993" w:name="_Toc19008535"/>
      <w:bookmarkStart w:id="994" w:name="_Toc19008682"/>
      <w:bookmarkStart w:id="995" w:name="_Toc27414390"/>
      <w:r>
        <w:t>Figure 16.3</w:t>
      </w:r>
      <w:r w:rsidR="00702BEF">
        <w:t>:</w:t>
      </w:r>
      <w:r w:rsidRPr="00972294">
        <w:t xml:space="preserve"> </w:t>
      </w:r>
      <w:r>
        <w:t>P</w:t>
      </w:r>
      <w:r w:rsidRPr="00972294">
        <w:t>roportion</w:t>
      </w:r>
      <w:r>
        <w:t xml:space="preserve"> and number</w:t>
      </w:r>
      <w:r w:rsidRPr="00972294">
        <w:t xml:space="preserve"> of women </w:t>
      </w:r>
      <w:r>
        <w:t>aged 20</w:t>
      </w:r>
      <w:r w:rsidR="00702BEF">
        <w:t>–</w:t>
      </w:r>
      <w:r>
        <w:t>69 years</w:t>
      </w:r>
      <w:r w:rsidR="00B130D4">
        <w:t xml:space="preserve"> who</w:t>
      </w:r>
      <w:r>
        <w:t xml:space="preserve"> </w:t>
      </w:r>
      <w:r w:rsidRPr="00972294">
        <w:t>rescreen</w:t>
      </w:r>
      <w:r w:rsidR="00B130D4">
        <w:t>ed</w:t>
      </w:r>
      <w:r w:rsidRPr="00972294">
        <w:t xml:space="preserve"> within </w:t>
      </w:r>
      <w:r w:rsidR="00702BEF">
        <w:t>three</w:t>
      </w:r>
      <w:r w:rsidRPr="00972294">
        <w:t xml:space="preserve"> months of </w:t>
      </w:r>
      <w:r>
        <w:t xml:space="preserve">receiving a </w:t>
      </w:r>
      <w:r w:rsidRPr="00972294">
        <w:t xml:space="preserve">27-month cervical </w:t>
      </w:r>
      <w:r>
        <w:t>screening</w:t>
      </w:r>
      <w:r w:rsidRPr="00972294">
        <w:t xml:space="preserve"> register reminder letter</w:t>
      </w:r>
      <w:r>
        <w:t xml:space="preserve"> sent in 2015</w:t>
      </w:r>
      <w:r w:rsidRPr="00972294">
        <w:t>, by state and territory</w:t>
      </w:r>
      <w:bookmarkEnd w:id="991"/>
      <w:bookmarkEnd w:id="992"/>
      <w:bookmarkEnd w:id="993"/>
      <w:bookmarkEnd w:id="994"/>
      <w:bookmarkEnd w:id="995"/>
    </w:p>
    <w:p w14:paraId="08CE8329" w14:textId="585F7535" w:rsidR="00DC2242" w:rsidRDefault="00F534F5" w:rsidP="00DC2242">
      <w:pPr>
        <w:pStyle w:val="DHHSbody"/>
        <w:rPr>
          <w:lang w:eastAsia="en-AU"/>
        </w:rPr>
      </w:pPr>
      <w:r>
        <w:rPr>
          <w:noProof/>
          <w:lang w:eastAsia="en-AU"/>
        </w:rPr>
        <w:drawing>
          <wp:inline distT="0" distB="0" distL="0" distR="0" wp14:anchorId="714985F9" wp14:editId="70CD99DD">
            <wp:extent cx="6736715" cy="2761615"/>
            <wp:effectExtent l="0" t="0" r="6985" b="635"/>
            <wp:docPr id="25" name="Picture 25" descr="This figure shows the proportion and number of women aged 20–69 years who rescreened within three months of receiving a 27-month cervical screening register reminder letter sent in 2015, by state and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736715" cy="2761615"/>
                    </a:xfrm>
                    <a:prstGeom prst="rect">
                      <a:avLst/>
                    </a:prstGeom>
                    <a:noFill/>
                  </pic:spPr>
                </pic:pic>
              </a:graphicData>
            </a:graphic>
          </wp:inline>
        </w:drawing>
      </w:r>
    </w:p>
    <w:p w14:paraId="4C232E90" w14:textId="01704C22" w:rsidR="007F66DF" w:rsidRPr="00CE2DB5" w:rsidRDefault="007F66DF" w:rsidP="008D320F">
      <w:pPr>
        <w:pStyle w:val="DHHStablecaption"/>
      </w:pPr>
      <w:bookmarkStart w:id="996" w:name="_Toc18908745"/>
      <w:bookmarkStart w:id="997" w:name="_Toc27414425"/>
      <w:r w:rsidRPr="00CE2DB5">
        <w:t xml:space="preserve">Table 16.3 </w:t>
      </w:r>
      <w:r w:rsidR="00CE2DB5" w:rsidRPr="00CE2DB5">
        <w:t>Proportion of women sent a reminder letter to rescreen at 27 months after a negative Pap test and the number who re-screened</w:t>
      </w:r>
      <w:r w:rsidR="00C822DF">
        <w:t>, state and territory</w:t>
      </w:r>
      <w:bookmarkEnd w:id="996"/>
      <w:bookmarkEnd w:id="997"/>
    </w:p>
    <w:tbl>
      <w:tblPr>
        <w:tblW w:w="10520" w:type="dxa"/>
        <w:tblInd w:w="-15" w:type="dxa"/>
        <w:shd w:val="clear" w:color="auto" w:fill="EDCDCF"/>
        <w:tblLook w:val="04A0" w:firstRow="1" w:lastRow="0" w:firstColumn="1" w:lastColumn="0" w:noHBand="0" w:noVBand="1"/>
      </w:tblPr>
      <w:tblGrid>
        <w:gridCol w:w="2551"/>
        <w:gridCol w:w="894"/>
        <w:gridCol w:w="917"/>
        <w:gridCol w:w="917"/>
        <w:gridCol w:w="917"/>
        <w:gridCol w:w="809"/>
        <w:gridCol w:w="809"/>
        <w:gridCol w:w="809"/>
        <w:gridCol w:w="816"/>
        <w:gridCol w:w="1081"/>
      </w:tblGrid>
      <w:tr w:rsidR="00E0397B" w:rsidRPr="002B76D1" w14:paraId="58DDD5C4" w14:textId="77777777" w:rsidTr="005F2B59">
        <w:trPr>
          <w:trHeight w:val="252"/>
        </w:trPr>
        <w:tc>
          <w:tcPr>
            <w:tcW w:w="2551" w:type="dxa"/>
            <w:tcBorders>
              <w:left w:val="single" w:sz="12" w:space="0" w:color="FFFFFF" w:themeColor="background1"/>
              <w:bottom w:val="single" w:sz="4" w:space="0" w:color="C00000"/>
              <w:right w:val="single" w:sz="6" w:space="0" w:color="FFFFFF" w:themeColor="background1"/>
            </w:tcBorders>
            <w:shd w:val="clear" w:color="auto" w:fill="EDCDCF"/>
            <w:vAlign w:val="center"/>
            <w:hideMark/>
          </w:tcPr>
          <w:p w14:paraId="21B1C42C" w14:textId="0FB02FE3" w:rsidR="00E0397B" w:rsidRPr="002B76D1" w:rsidRDefault="00E25AF5" w:rsidP="00E25AF5">
            <w:pPr>
              <w:pStyle w:val="DHHStablecolhead"/>
            </w:pPr>
            <w:r>
              <w:t>States/Territories</w:t>
            </w:r>
          </w:p>
        </w:tc>
        <w:tc>
          <w:tcPr>
            <w:tcW w:w="894"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3BBF8E72" w14:textId="77777777" w:rsidR="00E0397B" w:rsidRPr="00603D31" w:rsidRDefault="00E0397B" w:rsidP="00E25AF5">
            <w:pPr>
              <w:pStyle w:val="DHHStablecolhead"/>
            </w:pPr>
            <w:r w:rsidRPr="00603D31">
              <w:t>NSW</w:t>
            </w:r>
          </w:p>
        </w:tc>
        <w:tc>
          <w:tcPr>
            <w:tcW w:w="917"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3EC889AD" w14:textId="77777777" w:rsidR="00E0397B" w:rsidRPr="00603D31" w:rsidRDefault="00E0397B" w:rsidP="00E25AF5">
            <w:pPr>
              <w:pStyle w:val="DHHStablecolhead"/>
            </w:pPr>
            <w:r w:rsidRPr="00603D31">
              <w:t>VIC</w:t>
            </w:r>
          </w:p>
        </w:tc>
        <w:tc>
          <w:tcPr>
            <w:tcW w:w="917"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2E5678A8" w14:textId="77777777" w:rsidR="00E0397B" w:rsidRPr="00603D31" w:rsidRDefault="00E0397B" w:rsidP="00E25AF5">
            <w:pPr>
              <w:pStyle w:val="DHHStablecolhead"/>
            </w:pPr>
            <w:r w:rsidRPr="00603D31">
              <w:t>QLD</w:t>
            </w:r>
          </w:p>
        </w:tc>
        <w:tc>
          <w:tcPr>
            <w:tcW w:w="917"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465F9175" w14:textId="77777777" w:rsidR="00E0397B" w:rsidRPr="00603D31" w:rsidRDefault="00E0397B" w:rsidP="00E25AF5">
            <w:pPr>
              <w:pStyle w:val="DHHStablecolhead"/>
            </w:pPr>
            <w:r w:rsidRPr="00603D31">
              <w:t>WA</w:t>
            </w:r>
          </w:p>
        </w:tc>
        <w:tc>
          <w:tcPr>
            <w:tcW w:w="809"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5B5C19D5" w14:textId="77777777" w:rsidR="00E0397B" w:rsidRPr="00603D31" w:rsidRDefault="00E0397B" w:rsidP="00E25AF5">
            <w:pPr>
              <w:pStyle w:val="DHHStablecolhead"/>
            </w:pPr>
            <w:r w:rsidRPr="00603D31">
              <w:t>SA</w:t>
            </w:r>
          </w:p>
        </w:tc>
        <w:tc>
          <w:tcPr>
            <w:tcW w:w="809"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7757E288" w14:textId="77777777" w:rsidR="00E0397B" w:rsidRPr="00603D31" w:rsidRDefault="00E0397B" w:rsidP="00E25AF5">
            <w:pPr>
              <w:pStyle w:val="DHHStablecolhead"/>
            </w:pPr>
            <w:r w:rsidRPr="00603D31">
              <w:t>TAS</w:t>
            </w:r>
          </w:p>
        </w:tc>
        <w:tc>
          <w:tcPr>
            <w:tcW w:w="809"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019A79AA" w14:textId="77777777" w:rsidR="00E0397B" w:rsidRPr="00603D31" w:rsidRDefault="00E0397B" w:rsidP="00E25AF5">
            <w:pPr>
              <w:pStyle w:val="DHHStablecolhead"/>
            </w:pPr>
            <w:r w:rsidRPr="00603D31">
              <w:t>ACT</w:t>
            </w:r>
          </w:p>
        </w:tc>
        <w:tc>
          <w:tcPr>
            <w:tcW w:w="816"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EDCDCF"/>
            <w:vAlign w:val="center"/>
            <w:hideMark/>
          </w:tcPr>
          <w:p w14:paraId="1E3A24C9" w14:textId="77777777" w:rsidR="00E0397B" w:rsidRPr="00603D31" w:rsidRDefault="00E0397B" w:rsidP="00E25AF5">
            <w:pPr>
              <w:pStyle w:val="DHHStablecolhead"/>
            </w:pPr>
            <w:r w:rsidRPr="00603D31">
              <w:t>NT</w:t>
            </w:r>
          </w:p>
        </w:tc>
        <w:tc>
          <w:tcPr>
            <w:tcW w:w="1081" w:type="dxa"/>
            <w:tcBorders>
              <w:top w:val="single" w:sz="6" w:space="0" w:color="FFFFFF" w:themeColor="background1"/>
              <w:left w:val="single" w:sz="6" w:space="0" w:color="FFFFFF" w:themeColor="background1"/>
              <w:bottom w:val="single" w:sz="4" w:space="0" w:color="C00000"/>
              <w:right w:val="single" w:sz="12" w:space="0" w:color="FFFFFF" w:themeColor="background1"/>
            </w:tcBorders>
            <w:shd w:val="clear" w:color="auto" w:fill="EDCDCF"/>
            <w:vAlign w:val="center"/>
            <w:hideMark/>
          </w:tcPr>
          <w:p w14:paraId="37A1E513" w14:textId="77777777" w:rsidR="00E0397B" w:rsidRPr="00603D31" w:rsidRDefault="00E0397B" w:rsidP="00E25AF5">
            <w:pPr>
              <w:pStyle w:val="DHHStablecolhead"/>
            </w:pPr>
            <w:r w:rsidRPr="00603D31">
              <w:t>Australia</w:t>
            </w:r>
          </w:p>
        </w:tc>
      </w:tr>
      <w:tr w:rsidR="00A81338" w:rsidRPr="002B76D1" w14:paraId="2B8346A5" w14:textId="77777777" w:rsidTr="005F2B59">
        <w:trPr>
          <w:trHeight w:val="346"/>
        </w:trPr>
        <w:tc>
          <w:tcPr>
            <w:tcW w:w="2551" w:type="dxa"/>
            <w:tcBorders>
              <w:top w:val="single" w:sz="4" w:space="0" w:color="C00000"/>
              <w:left w:val="single" w:sz="12" w:space="0" w:color="FFFFFF" w:themeColor="background1"/>
              <w:bottom w:val="single" w:sz="4" w:space="0" w:color="C00000"/>
              <w:right w:val="single" w:sz="6" w:space="0" w:color="FFFFFF" w:themeColor="background1"/>
            </w:tcBorders>
            <w:shd w:val="clear" w:color="auto" w:fill="auto"/>
            <w:noWrap/>
            <w:vAlign w:val="center"/>
            <w:hideMark/>
          </w:tcPr>
          <w:p w14:paraId="515EA9DA" w14:textId="77777777" w:rsidR="005E600C" w:rsidRPr="00A03012" w:rsidRDefault="005E600C" w:rsidP="00E25AF5">
            <w:pPr>
              <w:pStyle w:val="DHHStabletext"/>
              <w:rPr>
                <w:sz w:val="18"/>
                <w:szCs w:val="18"/>
              </w:rPr>
            </w:pPr>
            <w:r w:rsidRPr="00A03012">
              <w:rPr>
                <w:sz w:val="18"/>
                <w:szCs w:val="18"/>
              </w:rPr>
              <w:t>Number sent a 27-month reminder letter</w:t>
            </w:r>
          </w:p>
        </w:tc>
        <w:tc>
          <w:tcPr>
            <w:tcW w:w="894"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37A6EE62" w14:textId="77777777" w:rsidR="005E600C" w:rsidRPr="00A03012" w:rsidRDefault="005E600C" w:rsidP="00E25AF5">
            <w:pPr>
              <w:pStyle w:val="DHHStabletext"/>
              <w:rPr>
                <w:sz w:val="18"/>
                <w:szCs w:val="18"/>
              </w:rPr>
            </w:pPr>
            <w:r w:rsidRPr="00A03012">
              <w:rPr>
                <w:sz w:val="18"/>
                <w:szCs w:val="18"/>
              </w:rPr>
              <w:t>339,865</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1A13E571" w14:textId="77777777" w:rsidR="005E600C" w:rsidRPr="00A03012" w:rsidRDefault="005E600C" w:rsidP="00E25AF5">
            <w:pPr>
              <w:pStyle w:val="DHHStabletext"/>
              <w:rPr>
                <w:sz w:val="18"/>
                <w:szCs w:val="18"/>
              </w:rPr>
            </w:pPr>
            <w:r w:rsidRPr="00A03012">
              <w:rPr>
                <w:sz w:val="18"/>
                <w:szCs w:val="18"/>
              </w:rPr>
              <w:t>293,219</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0855F09A" w14:textId="77777777" w:rsidR="005E600C" w:rsidRPr="00A03012" w:rsidRDefault="005E600C" w:rsidP="00E25AF5">
            <w:pPr>
              <w:pStyle w:val="DHHStabletext"/>
              <w:rPr>
                <w:sz w:val="18"/>
                <w:szCs w:val="18"/>
              </w:rPr>
            </w:pPr>
            <w:r w:rsidRPr="00A03012">
              <w:rPr>
                <w:sz w:val="18"/>
                <w:szCs w:val="18"/>
              </w:rPr>
              <w:t>223,301</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63FC0189" w14:textId="77777777" w:rsidR="005E600C" w:rsidRPr="00A03012" w:rsidRDefault="005E600C" w:rsidP="00E25AF5">
            <w:pPr>
              <w:pStyle w:val="DHHStabletext"/>
              <w:rPr>
                <w:sz w:val="18"/>
                <w:szCs w:val="18"/>
              </w:rPr>
            </w:pPr>
            <w:r w:rsidRPr="00A03012">
              <w:rPr>
                <w:sz w:val="18"/>
                <w:szCs w:val="18"/>
              </w:rPr>
              <w:t>101,825</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55D3CA72" w14:textId="77777777" w:rsidR="005E600C" w:rsidRPr="00A03012" w:rsidRDefault="005E600C" w:rsidP="00E25AF5">
            <w:pPr>
              <w:pStyle w:val="DHHStabletext"/>
              <w:rPr>
                <w:sz w:val="18"/>
                <w:szCs w:val="18"/>
              </w:rPr>
            </w:pPr>
            <w:r w:rsidRPr="00A03012">
              <w:rPr>
                <w:sz w:val="18"/>
                <w:szCs w:val="18"/>
              </w:rPr>
              <w:t>79,524</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390A63E9" w14:textId="77777777" w:rsidR="005E600C" w:rsidRPr="00A03012" w:rsidRDefault="005E600C" w:rsidP="00E25AF5">
            <w:pPr>
              <w:pStyle w:val="DHHStabletext"/>
              <w:rPr>
                <w:sz w:val="18"/>
                <w:szCs w:val="18"/>
              </w:rPr>
            </w:pPr>
            <w:r w:rsidRPr="00A03012">
              <w:rPr>
                <w:sz w:val="18"/>
                <w:szCs w:val="18"/>
              </w:rPr>
              <w:t>22,184</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5EA7BC15" w14:textId="77777777" w:rsidR="005E600C" w:rsidRPr="00A03012" w:rsidRDefault="005E600C" w:rsidP="00E25AF5">
            <w:pPr>
              <w:pStyle w:val="DHHStabletext"/>
              <w:rPr>
                <w:sz w:val="18"/>
                <w:szCs w:val="18"/>
              </w:rPr>
            </w:pPr>
            <w:r w:rsidRPr="00A03012">
              <w:rPr>
                <w:sz w:val="18"/>
                <w:szCs w:val="18"/>
              </w:rPr>
              <w:t>20,713</w:t>
            </w:r>
          </w:p>
        </w:tc>
        <w:tc>
          <w:tcPr>
            <w:tcW w:w="816"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63E754AF" w14:textId="77777777" w:rsidR="005E600C" w:rsidRPr="00A03012" w:rsidRDefault="005E600C" w:rsidP="00E25AF5">
            <w:pPr>
              <w:pStyle w:val="DHHStabletext"/>
              <w:rPr>
                <w:sz w:val="18"/>
                <w:szCs w:val="18"/>
              </w:rPr>
            </w:pPr>
            <w:r w:rsidRPr="00A03012">
              <w:rPr>
                <w:sz w:val="18"/>
                <w:szCs w:val="18"/>
              </w:rPr>
              <w:t>11,542</w:t>
            </w:r>
          </w:p>
        </w:tc>
        <w:tc>
          <w:tcPr>
            <w:tcW w:w="1081" w:type="dxa"/>
            <w:tcBorders>
              <w:top w:val="single" w:sz="4" w:space="0" w:color="C00000"/>
              <w:left w:val="single" w:sz="6" w:space="0" w:color="FFFFFF" w:themeColor="background1"/>
              <w:bottom w:val="single" w:sz="4" w:space="0" w:color="C00000"/>
              <w:right w:val="single" w:sz="12" w:space="0" w:color="FFFFFF" w:themeColor="background1"/>
            </w:tcBorders>
            <w:shd w:val="clear" w:color="auto" w:fill="auto"/>
            <w:vAlign w:val="center"/>
            <w:hideMark/>
          </w:tcPr>
          <w:p w14:paraId="3CA89C5C" w14:textId="77777777" w:rsidR="005E600C" w:rsidRPr="00A03012" w:rsidRDefault="005E600C" w:rsidP="00E25AF5">
            <w:pPr>
              <w:pStyle w:val="DHHStabletext"/>
              <w:rPr>
                <w:sz w:val="18"/>
                <w:szCs w:val="18"/>
              </w:rPr>
            </w:pPr>
            <w:r w:rsidRPr="00A03012">
              <w:rPr>
                <w:sz w:val="18"/>
                <w:szCs w:val="18"/>
              </w:rPr>
              <w:t>1,092,173</w:t>
            </w:r>
          </w:p>
        </w:tc>
      </w:tr>
      <w:tr w:rsidR="00A81338" w:rsidRPr="002B76D1" w14:paraId="77B27849" w14:textId="77777777" w:rsidTr="005F2B59">
        <w:trPr>
          <w:trHeight w:val="239"/>
        </w:trPr>
        <w:tc>
          <w:tcPr>
            <w:tcW w:w="2551" w:type="dxa"/>
            <w:tcBorders>
              <w:top w:val="single" w:sz="4" w:space="0" w:color="C00000"/>
              <w:left w:val="single" w:sz="12" w:space="0" w:color="FFFFFF" w:themeColor="background1"/>
              <w:bottom w:val="single" w:sz="4" w:space="0" w:color="C00000"/>
              <w:right w:val="single" w:sz="6" w:space="0" w:color="FFFFFF" w:themeColor="background1"/>
            </w:tcBorders>
            <w:shd w:val="clear" w:color="auto" w:fill="auto"/>
            <w:noWrap/>
            <w:vAlign w:val="center"/>
            <w:hideMark/>
          </w:tcPr>
          <w:p w14:paraId="6639FDE2" w14:textId="7AB943B6" w:rsidR="005E600C" w:rsidRPr="00A03012" w:rsidRDefault="005E600C" w:rsidP="00E25AF5">
            <w:pPr>
              <w:pStyle w:val="DHHStabletext"/>
              <w:rPr>
                <w:sz w:val="18"/>
                <w:szCs w:val="18"/>
              </w:rPr>
            </w:pPr>
            <w:r w:rsidRPr="00A03012">
              <w:rPr>
                <w:sz w:val="18"/>
                <w:szCs w:val="18"/>
              </w:rPr>
              <w:t>Number rescreened</w:t>
            </w:r>
          </w:p>
        </w:tc>
        <w:tc>
          <w:tcPr>
            <w:tcW w:w="894"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59CDAE0D" w14:textId="77777777" w:rsidR="005E600C" w:rsidRPr="00A03012" w:rsidRDefault="005E600C" w:rsidP="00E25AF5">
            <w:pPr>
              <w:pStyle w:val="DHHStabletext"/>
              <w:rPr>
                <w:sz w:val="18"/>
                <w:szCs w:val="18"/>
              </w:rPr>
            </w:pPr>
            <w:r w:rsidRPr="00A03012">
              <w:rPr>
                <w:sz w:val="18"/>
                <w:szCs w:val="18"/>
              </w:rPr>
              <w:t>107,808</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429B1897" w14:textId="77777777" w:rsidR="005E600C" w:rsidRPr="00A03012" w:rsidRDefault="005E600C" w:rsidP="00E25AF5">
            <w:pPr>
              <w:pStyle w:val="DHHStabletext"/>
              <w:rPr>
                <w:sz w:val="18"/>
                <w:szCs w:val="18"/>
              </w:rPr>
            </w:pPr>
            <w:r w:rsidRPr="00A03012">
              <w:rPr>
                <w:sz w:val="18"/>
                <w:szCs w:val="18"/>
              </w:rPr>
              <w:t>93,571</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530B39F6" w14:textId="77777777" w:rsidR="005E600C" w:rsidRPr="00A03012" w:rsidRDefault="005E600C" w:rsidP="00E25AF5">
            <w:pPr>
              <w:pStyle w:val="DHHStabletext"/>
              <w:rPr>
                <w:sz w:val="18"/>
                <w:szCs w:val="18"/>
              </w:rPr>
            </w:pPr>
            <w:r w:rsidRPr="00A03012">
              <w:rPr>
                <w:sz w:val="18"/>
                <w:szCs w:val="18"/>
              </w:rPr>
              <w:t>70,938</w:t>
            </w:r>
          </w:p>
        </w:tc>
        <w:tc>
          <w:tcPr>
            <w:tcW w:w="917"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70BB7BCA" w14:textId="77777777" w:rsidR="005E600C" w:rsidRPr="00A03012" w:rsidRDefault="005E600C" w:rsidP="00E25AF5">
            <w:pPr>
              <w:pStyle w:val="DHHStabletext"/>
              <w:rPr>
                <w:sz w:val="18"/>
                <w:szCs w:val="18"/>
              </w:rPr>
            </w:pPr>
            <w:r w:rsidRPr="00A03012">
              <w:rPr>
                <w:sz w:val="18"/>
                <w:szCs w:val="18"/>
              </w:rPr>
              <w:t>30,308</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6388E406" w14:textId="77777777" w:rsidR="005E600C" w:rsidRPr="00A03012" w:rsidRDefault="005E600C" w:rsidP="00E25AF5">
            <w:pPr>
              <w:pStyle w:val="DHHStabletext"/>
              <w:rPr>
                <w:sz w:val="18"/>
                <w:szCs w:val="18"/>
              </w:rPr>
            </w:pPr>
            <w:r w:rsidRPr="00A03012">
              <w:rPr>
                <w:sz w:val="18"/>
                <w:szCs w:val="18"/>
              </w:rPr>
              <w:t>25,719</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15A0ACE6" w14:textId="77777777" w:rsidR="005E600C" w:rsidRPr="00A03012" w:rsidRDefault="005E600C" w:rsidP="00E25AF5">
            <w:pPr>
              <w:pStyle w:val="DHHStabletext"/>
              <w:rPr>
                <w:sz w:val="18"/>
                <w:szCs w:val="18"/>
              </w:rPr>
            </w:pPr>
            <w:r w:rsidRPr="00A03012">
              <w:rPr>
                <w:sz w:val="18"/>
                <w:szCs w:val="18"/>
              </w:rPr>
              <w:t>8,298</w:t>
            </w:r>
          </w:p>
        </w:tc>
        <w:tc>
          <w:tcPr>
            <w:tcW w:w="809"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5015AA8D" w14:textId="77777777" w:rsidR="005E600C" w:rsidRPr="00A03012" w:rsidRDefault="005E600C" w:rsidP="00E25AF5">
            <w:pPr>
              <w:pStyle w:val="DHHStabletext"/>
              <w:rPr>
                <w:sz w:val="18"/>
                <w:szCs w:val="18"/>
              </w:rPr>
            </w:pPr>
            <w:r w:rsidRPr="00A03012">
              <w:rPr>
                <w:sz w:val="18"/>
                <w:szCs w:val="18"/>
              </w:rPr>
              <w:t>5,952</w:t>
            </w:r>
          </w:p>
        </w:tc>
        <w:tc>
          <w:tcPr>
            <w:tcW w:w="816" w:type="dxa"/>
            <w:tcBorders>
              <w:top w:val="single" w:sz="4" w:space="0" w:color="C00000"/>
              <w:left w:val="single" w:sz="6" w:space="0" w:color="FFFFFF" w:themeColor="background1"/>
              <w:bottom w:val="single" w:sz="4" w:space="0" w:color="C00000"/>
              <w:right w:val="single" w:sz="6" w:space="0" w:color="FFFFFF" w:themeColor="background1"/>
            </w:tcBorders>
            <w:shd w:val="clear" w:color="auto" w:fill="auto"/>
            <w:vAlign w:val="center"/>
            <w:hideMark/>
          </w:tcPr>
          <w:p w14:paraId="6A3CC97F" w14:textId="77777777" w:rsidR="005E600C" w:rsidRPr="00A03012" w:rsidRDefault="005E600C" w:rsidP="00E25AF5">
            <w:pPr>
              <w:pStyle w:val="DHHStabletext"/>
              <w:rPr>
                <w:sz w:val="18"/>
                <w:szCs w:val="18"/>
              </w:rPr>
            </w:pPr>
            <w:r w:rsidRPr="00A03012">
              <w:rPr>
                <w:sz w:val="18"/>
                <w:szCs w:val="18"/>
              </w:rPr>
              <w:t>2,058</w:t>
            </w:r>
          </w:p>
        </w:tc>
        <w:tc>
          <w:tcPr>
            <w:tcW w:w="1081" w:type="dxa"/>
            <w:tcBorders>
              <w:top w:val="single" w:sz="4" w:space="0" w:color="C00000"/>
              <w:left w:val="single" w:sz="6" w:space="0" w:color="FFFFFF" w:themeColor="background1"/>
              <w:bottom w:val="single" w:sz="4" w:space="0" w:color="C00000"/>
              <w:right w:val="single" w:sz="12" w:space="0" w:color="FFFFFF" w:themeColor="background1"/>
            </w:tcBorders>
            <w:shd w:val="clear" w:color="auto" w:fill="auto"/>
            <w:vAlign w:val="center"/>
            <w:hideMark/>
          </w:tcPr>
          <w:p w14:paraId="390B0B04" w14:textId="77777777" w:rsidR="005E600C" w:rsidRPr="00A03012" w:rsidRDefault="005E600C" w:rsidP="00E25AF5">
            <w:pPr>
              <w:pStyle w:val="DHHStabletext"/>
              <w:rPr>
                <w:sz w:val="18"/>
                <w:szCs w:val="18"/>
              </w:rPr>
            </w:pPr>
            <w:r w:rsidRPr="00A03012">
              <w:rPr>
                <w:sz w:val="18"/>
                <w:szCs w:val="18"/>
              </w:rPr>
              <w:t>344,652</w:t>
            </w:r>
          </w:p>
        </w:tc>
      </w:tr>
    </w:tbl>
    <w:p w14:paraId="64BF79FE" w14:textId="77777777" w:rsidR="002426D7" w:rsidRDefault="002426D7" w:rsidP="00561DBE">
      <w:pPr>
        <w:pStyle w:val="DHHStablefigurenote"/>
      </w:pPr>
      <w:r>
        <w:t>Source: AIHW analysis of state and territory cervical cytology</w:t>
      </w:r>
    </w:p>
    <w:p w14:paraId="00CE19E1" w14:textId="7D456D21" w:rsidR="005E600C" w:rsidRPr="00EB275A" w:rsidRDefault="00EB275A" w:rsidP="00561DBE">
      <w:pPr>
        <w:pStyle w:val="DHHStablefigurenote"/>
      </w:pPr>
      <w:r w:rsidRPr="00EB275A">
        <w:t>Notes</w:t>
      </w:r>
      <w:r w:rsidR="0008023D">
        <w:t>:</w:t>
      </w:r>
    </w:p>
    <w:p w14:paraId="7DC37C8A" w14:textId="1DEF4F72" w:rsidR="00EB275A" w:rsidRDefault="00EB275A" w:rsidP="00561DBE">
      <w:pPr>
        <w:pStyle w:val="DHHStablefigurenote"/>
      </w:pPr>
      <w:r w:rsidRPr="00EB275A">
        <w:t xml:space="preserve">Data </w:t>
      </w:r>
      <w:r w:rsidR="00B130D4">
        <w:t>is</w:t>
      </w:r>
      <w:r w:rsidR="00B130D4" w:rsidRPr="00EB275A">
        <w:t xml:space="preserve"> </w:t>
      </w:r>
      <w:r w:rsidRPr="00EB275A">
        <w:t xml:space="preserve">based on all women screened in each </w:t>
      </w:r>
      <w:r>
        <w:t>jurisdiction</w:t>
      </w:r>
      <w:r w:rsidR="00B130D4">
        <w:t>.</w:t>
      </w:r>
    </w:p>
    <w:p w14:paraId="4F8DB5FD" w14:textId="00C79046" w:rsidR="00EB275A" w:rsidRDefault="00EB275A" w:rsidP="00561DBE">
      <w:pPr>
        <w:pStyle w:val="DHHStablefigurenote"/>
      </w:pPr>
      <w:r>
        <w:t>Th</w:t>
      </w:r>
      <w:r w:rsidR="00B130D4">
        <w:t>is</w:t>
      </w:r>
      <w:r>
        <w:t xml:space="preserve"> data exclude</w:t>
      </w:r>
      <w:r w:rsidR="00B130D4">
        <w:t>s</w:t>
      </w:r>
      <w:r>
        <w:t xml:space="preserve"> women who have opted off the cervical cytology register</w:t>
      </w:r>
      <w:r w:rsidR="00B130D4">
        <w:t>.</w:t>
      </w:r>
    </w:p>
    <w:p w14:paraId="45B8BE21" w14:textId="4CE7FB5E" w:rsidR="009770F1" w:rsidRPr="00CE2DB5" w:rsidRDefault="00EB275A" w:rsidP="00561DBE">
      <w:pPr>
        <w:pStyle w:val="DHHStablefigurenote"/>
      </w:pPr>
      <w:r>
        <w:t>Period covers letters sent 1 January 2015 to 31 December 2015</w:t>
      </w:r>
      <w:r w:rsidR="00B130D4">
        <w:t>.</w:t>
      </w:r>
    </w:p>
    <w:p w14:paraId="3FBF0093" w14:textId="71F71342" w:rsidR="00920EA6" w:rsidRPr="00671C7A" w:rsidRDefault="00920EA6" w:rsidP="006C718A">
      <w:pPr>
        <w:pStyle w:val="Heading4"/>
        <w:spacing w:before="0" w:line="270" w:lineRule="atLeast"/>
        <w:rPr>
          <w:lang w:eastAsia="en-AU"/>
        </w:rPr>
      </w:pPr>
      <w:r>
        <w:rPr>
          <w:lang w:eastAsia="en-AU"/>
        </w:rPr>
        <w:t>Measure assessment</w:t>
      </w:r>
    </w:p>
    <w:p w14:paraId="1D85CCF0" w14:textId="552C274E" w:rsidR="00514D56" w:rsidRPr="00F270EA" w:rsidRDefault="00514D56" w:rsidP="006C718A">
      <w:pPr>
        <w:spacing w:after="120" w:line="270" w:lineRule="atLeast"/>
        <w:rPr>
          <w:rFonts w:ascii="Arial" w:hAnsi="Arial" w:cs="Arial"/>
        </w:rPr>
      </w:pPr>
      <w:r w:rsidRPr="00CC5019">
        <w:rPr>
          <w:rFonts w:ascii="Arial" w:hAnsi="Arial" w:cs="Arial"/>
        </w:rPr>
        <w:t xml:space="preserve">Traffic light rating: </w:t>
      </w:r>
      <w:r w:rsidR="00F270EA" w:rsidRPr="006537FE">
        <w:rPr>
          <w:rFonts w:ascii="Arial" w:hAnsi="Arial" w:cs="Arial"/>
          <w:b/>
          <w:color w:val="C5511A"/>
        </w:rPr>
        <w:t>Amber</w:t>
      </w:r>
      <w:r w:rsidR="00F270EA">
        <w:rPr>
          <w:rFonts w:ascii="Arial" w:hAnsi="Arial" w:cs="Arial"/>
          <w:b/>
          <w:color w:val="C5511A"/>
        </w:rPr>
        <w:t xml:space="preserve"> </w:t>
      </w:r>
      <w:r w:rsidR="00F270EA" w:rsidRPr="00EA3932">
        <w:rPr>
          <w:rFonts w:ascii="Arial" w:hAnsi="Arial" w:cs="Arial"/>
          <w:color w:val="C5511A"/>
        </w:rPr>
        <w:t>(desired result not yet evident)</w:t>
      </w:r>
      <w:r w:rsidRPr="00CC5019">
        <w:rPr>
          <w:rFonts w:ascii="Arial" w:hAnsi="Arial" w:cs="Arial"/>
          <w:b/>
          <w:color w:val="FFC000"/>
        </w:rPr>
        <w:t xml:space="preserve"> </w:t>
      </w:r>
    </w:p>
    <w:p w14:paraId="3113DC3E" w14:textId="6C6EAF88" w:rsidR="00514D56" w:rsidRPr="00CC5019" w:rsidRDefault="00514D56" w:rsidP="006C718A">
      <w:pPr>
        <w:spacing w:after="120" w:line="270" w:lineRule="atLeast"/>
        <w:rPr>
          <w:rFonts w:ascii="Arial" w:hAnsi="Arial" w:cs="Arial"/>
        </w:rPr>
      </w:pPr>
      <w:r w:rsidRPr="00CC5019">
        <w:rPr>
          <w:rFonts w:ascii="Arial" w:hAnsi="Arial" w:cs="Arial"/>
        </w:rPr>
        <w:t>Overall trend: Static</w:t>
      </w:r>
      <w:r w:rsidR="00702BEF">
        <w:rPr>
          <w:rFonts w:ascii="Arial" w:hAnsi="Arial" w:cs="Arial"/>
        </w:rPr>
        <w:t>;</w:t>
      </w:r>
      <w:r>
        <w:rPr>
          <w:rFonts w:ascii="Arial" w:hAnsi="Arial" w:cs="Arial"/>
        </w:rPr>
        <w:t xml:space="preserve"> however</w:t>
      </w:r>
      <w:r w:rsidR="00702BEF">
        <w:rPr>
          <w:rFonts w:ascii="Arial" w:hAnsi="Arial" w:cs="Arial"/>
        </w:rPr>
        <w:t>,</w:t>
      </w:r>
      <w:r>
        <w:rPr>
          <w:rFonts w:ascii="Arial" w:hAnsi="Arial" w:cs="Arial"/>
        </w:rPr>
        <w:t xml:space="preserve"> this measure (and baseline year) will need to be amended from 2019</w:t>
      </w:r>
      <w:r w:rsidR="00702BEF">
        <w:rPr>
          <w:rFonts w:ascii="Arial" w:hAnsi="Arial" w:cs="Arial"/>
        </w:rPr>
        <w:t>–</w:t>
      </w:r>
      <w:r>
        <w:rPr>
          <w:rFonts w:ascii="Arial" w:hAnsi="Arial" w:cs="Arial"/>
        </w:rPr>
        <w:t>2020 to reflect the renewed National Cervical Screening Program (commenced 1 December 2017) with new test frequency and adjusted age range</w:t>
      </w:r>
    </w:p>
    <w:p w14:paraId="61F5142F" w14:textId="6E8A441B" w:rsidR="00514D56" w:rsidRDefault="00514D56" w:rsidP="006C718A">
      <w:pPr>
        <w:pStyle w:val="DHHSbody"/>
        <w:rPr>
          <w:rFonts w:eastAsiaTheme="minorHAnsi" w:cs="Arial"/>
        </w:rPr>
      </w:pPr>
      <w:r w:rsidRPr="00CC5019">
        <w:rPr>
          <w:lang w:eastAsia="en-AU"/>
        </w:rPr>
        <w:t xml:space="preserve">Commentary: Figure 16.3 shows </w:t>
      </w:r>
      <w:r>
        <w:rPr>
          <w:lang w:eastAsia="en-AU"/>
        </w:rPr>
        <w:t>that a cervical screening register letter reminding women to rescreen sent at 27 months after a previous negative Pap test prompt</w:t>
      </w:r>
      <w:r w:rsidR="00D76592">
        <w:rPr>
          <w:lang w:eastAsia="en-AU"/>
        </w:rPr>
        <w:t>s</w:t>
      </w:r>
      <w:r>
        <w:rPr>
          <w:lang w:eastAsia="en-AU"/>
        </w:rPr>
        <w:t xml:space="preserve"> many women to rescreen. The latest rescreening data indicates that 31.9 per cent of Victorians who were sent this reminder letter in 2015 presented for screening within </w:t>
      </w:r>
      <w:r w:rsidR="00D76592">
        <w:rPr>
          <w:lang w:eastAsia="en-AU"/>
        </w:rPr>
        <w:t>three</w:t>
      </w:r>
      <w:r>
        <w:rPr>
          <w:lang w:eastAsia="en-AU"/>
        </w:rPr>
        <w:t xml:space="preserve"> months. This was 0.3 per</w:t>
      </w:r>
      <w:r w:rsidR="00702BEF">
        <w:rPr>
          <w:lang w:eastAsia="en-AU"/>
        </w:rPr>
        <w:t xml:space="preserve"> </w:t>
      </w:r>
      <w:r>
        <w:rPr>
          <w:lang w:eastAsia="en-AU"/>
        </w:rPr>
        <w:t xml:space="preserve">cent higher than </w:t>
      </w:r>
      <w:r w:rsidR="001D74C0">
        <w:rPr>
          <w:rFonts w:eastAsiaTheme="minorHAnsi" w:cs="Arial"/>
        </w:rPr>
        <w:t>for Australia (31.6 per cent) (Figure 16.3).</w:t>
      </w:r>
    </w:p>
    <w:p w14:paraId="7726FD70" w14:textId="25C3F731" w:rsidR="005868A8" w:rsidRDefault="00514D56" w:rsidP="006C718A">
      <w:pPr>
        <w:pStyle w:val="DHHSbody"/>
        <w:rPr>
          <w:lang w:eastAsia="en-AU"/>
        </w:rPr>
      </w:pPr>
      <w:r>
        <w:rPr>
          <w:lang w:eastAsia="en-AU"/>
        </w:rPr>
        <w:t xml:space="preserve">It will be possible to report </w:t>
      </w:r>
      <w:r w:rsidRPr="00DF4943">
        <w:rPr>
          <w:lang w:eastAsia="en-AU"/>
        </w:rPr>
        <w:t>three more years of data for 2016</w:t>
      </w:r>
      <w:r w:rsidR="00702BEF">
        <w:rPr>
          <w:lang w:eastAsia="en-AU"/>
        </w:rPr>
        <w:t>–</w:t>
      </w:r>
      <w:r w:rsidRPr="00DF4943">
        <w:rPr>
          <w:lang w:eastAsia="en-AU"/>
        </w:rPr>
        <w:t>2017, 2017</w:t>
      </w:r>
      <w:r w:rsidR="00702BEF">
        <w:rPr>
          <w:lang w:eastAsia="en-AU"/>
        </w:rPr>
        <w:t>–</w:t>
      </w:r>
      <w:r w:rsidRPr="00DF4943">
        <w:rPr>
          <w:lang w:eastAsia="en-AU"/>
        </w:rPr>
        <w:t>2018 and 2018</w:t>
      </w:r>
      <w:r w:rsidR="00702BEF">
        <w:rPr>
          <w:lang w:eastAsia="en-AU"/>
        </w:rPr>
        <w:t>–</w:t>
      </w:r>
      <w:r w:rsidR="004856A3">
        <w:rPr>
          <w:lang w:eastAsia="en-AU"/>
        </w:rPr>
        <w:t>20</w:t>
      </w:r>
      <w:r w:rsidRPr="00DF4943">
        <w:rPr>
          <w:lang w:eastAsia="en-AU"/>
        </w:rPr>
        <w:t>19</w:t>
      </w:r>
      <w:r>
        <w:rPr>
          <w:rStyle w:val="FootnoteReference"/>
          <w:lang w:eastAsia="en-AU"/>
        </w:rPr>
        <w:footnoteReference w:id="176"/>
      </w:r>
      <w:r>
        <w:rPr>
          <w:lang w:eastAsia="en-AU"/>
        </w:rPr>
        <w:t xml:space="preserve"> using the current measure.</w:t>
      </w:r>
      <w:r w:rsidR="00952FC7">
        <w:rPr>
          <w:lang w:eastAsia="en-AU"/>
        </w:rPr>
        <w:t xml:space="preserve"> </w:t>
      </w:r>
      <w:r>
        <w:rPr>
          <w:lang w:eastAsia="en-AU"/>
        </w:rPr>
        <w:t>However, a new baseline will be established for 2019</w:t>
      </w:r>
      <w:r w:rsidR="00702BEF">
        <w:rPr>
          <w:lang w:eastAsia="en-AU"/>
        </w:rPr>
        <w:t>–</w:t>
      </w:r>
      <w:r>
        <w:rPr>
          <w:lang w:eastAsia="en-AU"/>
        </w:rPr>
        <w:t>20</w:t>
      </w:r>
      <w:r w:rsidR="00B15B20">
        <w:rPr>
          <w:lang w:eastAsia="en-AU"/>
        </w:rPr>
        <w:t>20</w:t>
      </w:r>
      <w:r>
        <w:rPr>
          <w:lang w:eastAsia="en-AU"/>
        </w:rPr>
        <w:t xml:space="preserve"> to reflect changes under the renewed national </w:t>
      </w:r>
      <w:r>
        <w:rPr>
          <w:lang w:eastAsia="en-AU"/>
        </w:rPr>
        <w:lastRenderedPageBreak/>
        <w:t>cervical screening program.</w:t>
      </w:r>
      <w:r w:rsidRPr="00866E0C">
        <w:rPr>
          <w:lang w:eastAsia="en-AU"/>
        </w:rPr>
        <w:t xml:space="preserve"> </w:t>
      </w:r>
      <w:r>
        <w:rPr>
          <w:lang w:eastAsia="en-AU"/>
        </w:rPr>
        <w:t>From 1 December 2017, changes were made to program policy</w:t>
      </w:r>
      <w:r w:rsidR="00702BEF">
        <w:rPr>
          <w:lang w:eastAsia="en-AU"/>
        </w:rPr>
        <w:t>,</w:t>
      </w:r>
      <w:r>
        <w:rPr>
          <w:rStyle w:val="FootnoteReference"/>
          <w:lang w:eastAsia="en-AU"/>
        </w:rPr>
        <w:footnoteReference w:id="177"/>
      </w:r>
      <w:r>
        <w:rPr>
          <w:lang w:eastAsia="en-AU"/>
        </w:rPr>
        <w:t xml:space="preserve"> the test type and screening interval</w:t>
      </w:r>
      <w:r>
        <w:rPr>
          <w:rStyle w:val="FootnoteReference"/>
          <w:lang w:eastAsia="en-AU"/>
        </w:rPr>
        <w:footnoteReference w:id="178"/>
      </w:r>
      <w:r>
        <w:rPr>
          <w:lang w:eastAsia="en-AU"/>
        </w:rPr>
        <w:t xml:space="preserve"> and the </w:t>
      </w:r>
      <w:r w:rsidRPr="00DF4943">
        <w:rPr>
          <w:lang w:eastAsia="en-AU"/>
        </w:rPr>
        <w:t>target age range</w:t>
      </w:r>
      <w:r>
        <w:rPr>
          <w:lang w:eastAsia="en-AU"/>
        </w:rPr>
        <w:t>.</w:t>
      </w:r>
      <w:r>
        <w:rPr>
          <w:rStyle w:val="FootnoteReference"/>
          <w:lang w:eastAsia="en-AU"/>
        </w:rPr>
        <w:footnoteReference w:id="179"/>
      </w:r>
    </w:p>
    <w:p w14:paraId="7B807947" w14:textId="77777777" w:rsidR="00605A7F" w:rsidRDefault="008E642F" w:rsidP="00605A7F">
      <w:pPr>
        <w:pStyle w:val="Heading3"/>
        <w:rPr>
          <w:lang w:eastAsia="en-AU"/>
        </w:rPr>
      </w:pPr>
      <w:bookmarkStart w:id="998" w:name="_Measure_16.4_–"/>
      <w:bookmarkEnd w:id="998"/>
      <w:r>
        <w:rPr>
          <w:lang w:eastAsia="en-AU"/>
        </w:rPr>
        <w:br w:type="page"/>
      </w:r>
      <w:bookmarkStart w:id="999" w:name="_Toc19008212"/>
      <w:bookmarkStart w:id="1000" w:name="_Hlk1637172"/>
      <w:bookmarkEnd w:id="990"/>
      <w:r w:rsidR="00605A7F">
        <w:rPr>
          <w:lang w:eastAsia="en-AU"/>
        </w:rPr>
        <w:lastRenderedPageBreak/>
        <w:t>Measure 16.4 –</w:t>
      </w:r>
      <w:r w:rsidR="00544CCD">
        <w:rPr>
          <w:lang w:eastAsia="en-AU"/>
        </w:rPr>
        <w:t xml:space="preserve"> Proportion of adults who are rescreened by National Bowel Cancer Screening Program</w:t>
      </w:r>
      <w:r w:rsidR="00220971">
        <w:rPr>
          <w:rStyle w:val="FootnoteReference"/>
          <w:lang w:eastAsia="en-AU"/>
        </w:rPr>
        <w:footnoteReference w:id="180"/>
      </w:r>
      <w:bookmarkEnd w:id="999"/>
    </w:p>
    <w:p w14:paraId="0AB98AFD" w14:textId="4A1380DB" w:rsidR="00260221" w:rsidRDefault="006E2DDE" w:rsidP="008D320F">
      <w:pPr>
        <w:pStyle w:val="DHHSfigurecaption"/>
      </w:pPr>
      <w:bookmarkStart w:id="1001" w:name="_Toc19008213"/>
      <w:bookmarkStart w:id="1002" w:name="_Toc19008389"/>
      <w:bookmarkStart w:id="1003" w:name="_Toc19008536"/>
      <w:bookmarkStart w:id="1004" w:name="_Toc19008683"/>
      <w:bookmarkStart w:id="1005" w:name="_Toc27414391"/>
      <w:r w:rsidRPr="006E2DDE">
        <w:t>Figure</w:t>
      </w:r>
      <w:r w:rsidR="00260221" w:rsidRPr="006E2DDE">
        <w:t xml:space="preserve"> 16.4</w:t>
      </w:r>
      <w:r w:rsidR="00702BEF">
        <w:t>:</w:t>
      </w:r>
      <w:r w:rsidR="00260221" w:rsidRPr="006E2DDE">
        <w:t xml:space="preserve"> Proportion of adults </w:t>
      </w:r>
      <w:r w:rsidR="00DE050B">
        <w:t>age</w:t>
      </w:r>
      <w:r w:rsidR="00F269E9">
        <w:t>d</w:t>
      </w:r>
      <w:r w:rsidR="00DE050B">
        <w:t xml:space="preserve"> 50</w:t>
      </w:r>
      <w:r w:rsidR="00702BEF">
        <w:t>–</w:t>
      </w:r>
      <w:r w:rsidR="00DE050B">
        <w:t>74</w:t>
      </w:r>
      <w:r w:rsidR="00F269E9">
        <w:t xml:space="preserve"> </w:t>
      </w:r>
      <w:r w:rsidR="00260221" w:rsidRPr="006E2DDE">
        <w:t>who are rescreened</w:t>
      </w:r>
      <w:r w:rsidR="0005355F">
        <w:t xml:space="preserve"> (in subsequent rounds)</w:t>
      </w:r>
      <w:r w:rsidR="00260221" w:rsidRPr="006E2DDE">
        <w:t xml:space="preserve"> by the National Bowel </w:t>
      </w:r>
      <w:r w:rsidRPr="006E2DDE">
        <w:t>Cancer Screening Program</w:t>
      </w:r>
      <w:r w:rsidR="00F269E9">
        <w:t>, Victoria</w:t>
      </w:r>
      <w:r w:rsidR="00403FA1">
        <w:t xml:space="preserve"> and Australia</w:t>
      </w:r>
      <w:r w:rsidR="00F269E9">
        <w:t>, 2014</w:t>
      </w:r>
      <w:r w:rsidR="00702BEF">
        <w:t>–</w:t>
      </w:r>
      <w:r w:rsidR="00F269E9">
        <w:t>2015 to 2016</w:t>
      </w:r>
      <w:r w:rsidR="00702BEF">
        <w:t>–</w:t>
      </w:r>
      <w:r w:rsidR="00F269E9">
        <w:t>2017</w:t>
      </w:r>
      <w:bookmarkEnd w:id="1001"/>
      <w:bookmarkEnd w:id="1002"/>
      <w:bookmarkEnd w:id="1003"/>
      <w:bookmarkEnd w:id="1004"/>
      <w:bookmarkEnd w:id="1005"/>
    </w:p>
    <w:p w14:paraId="70583DC7" w14:textId="4AAE56AC" w:rsidR="0005355F" w:rsidRPr="004D65F0" w:rsidRDefault="00F534F5" w:rsidP="004D65F0">
      <w:pPr>
        <w:pStyle w:val="DHHSbody"/>
        <w:rPr>
          <w:b/>
          <w:lang w:eastAsia="en-AU"/>
        </w:rPr>
      </w:pPr>
      <w:r>
        <w:rPr>
          <w:b/>
          <w:noProof/>
          <w:lang w:eastAsia="en-AU"/>
        </w:rPr>
        <w:drawing>
          <wp:inline distT="0" distB="0" distL="0" distR="0" wp14:anchorId="18CC8F5D" wp14:editId="1F209FE6">
            <wp:extent cx="6638925" cy="3237230"/>
            <wp:effectExtent l="0" t="0" r="9525" b="1270"/>
            <wp:docPr id="26" name="Picture 26" descr="This figure presents data on the proportion of adults aged 50 to 74 who are rescreened (in subsequent rounds) by the National Bowel Cancer Screening Program for both Victoria and Australia from 201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638925" cy="3237230"/>
                    </a:xfrm>
                    <a:prstGeom prst="rect">
                      <a:avLst/>
                    </a:prstGeom>
                    <a:noFill/>
                  </pic:spPr>
                </pic:pic>
              </a:graphicData>
            </a:graphic>
          </wp:inline>
        </w:drawing>
      </w:r>
    </w:p>
    <w:p w14:paraId="0B15B87F" w14:textId="68C00B93" w:rsidR="008B23DA" w:rsidRPr="007A4BCA" w:rsidRDefault="008B23DA" w:rsidP="00561DBE">
      <w:pPr>
        <w:pStyle w:val="DHHStablefigurenote"/>
      </w:pPr>
      <w:r w:rsidRPr="00C4317A">
        <w:t>Source: AIHW National Bowel Cancer Screening Program monitoring report</w:t>
      </w:r>
      <w:r w:rsidR="007A1856">
        <w:t>. Available from:</w:t>
      </w:r>
      <w:r w:rsidRPr="00C4317A">
        <w:t xml:space="preserve"> </w:t>
      </w:r>
      <w:r w:rsidR="00C4317A" w:rsidRPr="00B067F5">
        <w:rPr>
          <w:rStyle w:val="Hyperlink"/>
          <w:rFonts w:cs="Arial"/>
          <w:b/>
          <w:i w:val="0"/>
          <w:iCs/>
          <w:color w:val="auto"/>
          <w:szCs w:val="18"/>
          <w:u w:val="none"/>
          <w:lang w:eastAsia="en-AU"/>
        </w:rPr>
        <w:t>http://www.aihw.gov.au/</w:t>
      </w:r>
    </w:p>
    <w:p w14:paraId="73530F6F" w14:textId="35515D7F" w:rsidR="00C4317A" w:rsidRPr="007A4BCA" w:rsidRDefault="00C4317A" w:rsidP="00561DBE">
      <w:pPr>
        <w:pStyle w:val="DHHStablefigurenote"/>
      </w:pPr>
      <w:r w:rsidRPr="007A4BCA">
        <w:t>Note:</w:t>
      </w:r>
      <w:r w:rsidR="00DE050B" w:rsidRPr="007A4BCA">
        <w:t xml:space="preserve"> </w:t>
      </w:r>
      <w:r w:rsidR="00B15B20">
        <w:t xml:space="preserve">Figure 16.4 </w:t>
      </w:r>
      <w:r w:rsidR="00DE050B" w:rsidRPr="007A4BCA">
        <w:t>includes all first-round invitations</w:t>
      </w:r>
    </w:p>
    <w:p w14:paraId="76BBC013" w14:textId="078C0244" w:rsidR="00DE050B" w:rsidRPr="007A4BCA" w:rsidRDefault="00DE050B" w:rsidP="00561DBE">
      <w:pPr>
        <w:pStyle w:val="DHHStablefigurenote"/>
      </w:pPr>
      <w:r w:rsidRPr="007A4BCA">
        <w:t>Participation data for 2014</w:t>
      </w:r>
      <w:r w:rsidR="00702BEF">
        <w:t>–</w:t>
      </w:r>
      <w:r w:rsidRPr="007A4BCA">
        <w:t>201</w:t>
      </w:r>
      <w:r w:rsidR="005E1862" w:rsidRPr="007A4BCA">
        <w:t xml:space="preserve">5 is based on </w:t>
      </w:r>
      <w:r w:rsidR="004D7142" w:rsidRPr="007A4BCA">
        <w:t xml:space="preserve">the </w:t>
      </w:r>
      <w:r w:rsidR="007A4BCA" w:rsidRPr="007A4BCA">
        <w:t>National Bowel Cancer Screening Program (NBCSP) Register as at 31 December 2016, participation data for 2015</w:t>
      </w:r>
      <w:r w:rsidR="00702BEF">
        <w:t>–</w:t>
      </w:r>
      <w:r w:rsidR="007A4BCA" w:rsidRPr="007A4BCA">
        <w:t>2016 is based</w:t>
      </w:r>
      <w:r w:rsidR="001F2931">
        <w:t xml:space="preserve"> </w:t>
      </w:r>
      <w:r w:rsidR="007A4BCA" w:rsidRPr="007A4BCA">
        <w:t>on the NBCSP Register as at 30 June 2017</w:t>
      </w:r>
      <w:r w:rsidR="004856A3">
        <w:t>,</w:t>
      </w:r>
      <w:r w:rsidR="007A4BCA" w:rsidRPr="007A4BCA">
        <w:t xml:space="preserve"> and participation data for 2016</w:t>
      </w:r>
      <w:r w:rsidR="00702BEF">
        <w:t>–</w:t>
      </w:r>
      <w:r w:rsidR="007A4BCA" w:rsidRPr="007A4BCA">
        <w:t>2017 is based on the NBCSP Register as at 30 June 2018.</w:t>
      </w:r>
    </w:p>
    <w:p w14:paraId="5B539689" w14:textId="77777777" w:rsidR="00FD65F4" w:rsidRPr="00671C7A" w:rsidRDefault="00FD65F4" w:rsidP="00EF6DAE">
      <w:pPr>
        <w:pStyle w:val="Heading4"/>
        <w:spacing w:before="0" w:line="270" w:lineRule="atLeast"/>
        <w:rPr>
          <w:lang w:eastAsia="en-AU"/>
        </w:rPr>
      </w:pPr>
      <w:r>
        <w:rPr>
          <w:lang w:eastAsia="en-AU"/>
        </w:rPr>
        <w:t>Measure assessment</w:t>
      </w:r>
    </w:p>
    <w:p w14:paraId="30C2DAAA" w14:textId="2C7DE717" w:rsidR="00FD65F4" w:rsidRPr="00F270EA" w:rsidRDefault="00FD65F4" w:rsidP="00EF6DAE">
      <w:pPr>
        <w:spacing w:after="120" w:line="270" w:lineRule="atLeast"/>
        <w:rPr>
          <w:rFonts w:ascii="Arial" w:hAnsi="Arial" w:cs="Arial"/>
          <w:b/>
        </w:rPr>
      </w:pPr>
      <w:r w:rsidRPr="008B23DA">
        <w:rPr>
          <w:rFonts w:ascii="Arial" w:hAnsi="Arial" w:cs="Arial"/>
        </w:rPr>
        <w:t>Traffic light rating:</w:t>
      </w:r>
      <w:r>
        <w:rPr>
          <w:rFonts w:ascii="Arial" w:hAnsi="Arial" w:cs="Arial"/>
        </w:rPr>
        <w:t xml:space="preserve"> </w:t>
      </w:r>
      <w:r w:rsidR="00F270EA" w:rsidRPr="006537FE">
        <w:rPr>
          <w:rFonts w:ascii="Arial" w:hAnsi="Arial" w:cs="Arial"/>
          <w:b/>
          <w:color w:val="C5511A"/>
        </w:rPr>
        <w:t>Amber</w:t>
      </w:r>
      <w:r w:rsidR="00F270EA">
        <w:rPr>
          <w:rFonts w:ascii="Arial" w:hAnsi="Arial" w:cs="Arial"/>
          <w:b/>
          <w:color w:val="C5511A"/>
        </w:rPr>
        <w:t xml:space="preserve"> </w:t>
      </w:r>
      <w:r w:rsidR="00F270EA" w:rsidRPr="00EA3932">
        <w:rPr>
          <w:rFonts w:ascii="Arial" w:hAnsi="Arial" w:cs="Arial"/>
          <w:color w:val="C5511A"/>
        </w:rPr>
        <w:t>(desired result not yet evident)</w:t>
      </w:r>
      <w:r w:rsidR="00F270EA" w:rsidRPr="004A3876">
        <w:rPr>
          <w:rFonts w:ascii="Arial" w:hAnsi="Arial" w:cs="Arial"/>
          <w:b/>
          <w:color w:val="FFC000"/>
        </w:rPr>
        <w:t xml:space="preserve"> </w:t>
      </w:r>
    </w:p>
    <w:p w14:paraId="036D1ADB" w14:textId="48A61553" w:rsidR="003B142E" w:rsidRPr="00B2651E" w:rsidRDefault="00FD65F4" w:rsidP="00EF6DAE">
      <w:pPr>
        <w:spacing w:after="120" w:line="270" w:lineRule="atLeast"/>
        <w:rPr>
          <w:rFonts w:ascii="Arial" w:hAnsi="Arial" w:cs="Arial"/>
        </w:rPr>
      </w:pPr>
      <w:r w:rsidRPr="008B23DA">
        <w:rPr>
          <w:rFonts w:ascii="Arial" w:hAnsi="Arial" w:cs="Arial"/>
        </w:rPr>
        <w:t>Overall trend:</w:t>
      </w:r>
      <w:r>
        <w:rPr>
          <w:rFonts w:ascii="Arial" w:hAnsi="Arial" w:cs="Arial"/>
        </w:rPr>
        <w:t xml:space="preserve"> </w:t>
      </w:r>
      <w:r w:rsidR="000840C8">
        <w:rPr>
          <w:rFonts w:ascii="Arial" w:hAnsi="Arial" w:cs="Arial"/>
        </w:rPr>
        <w:t>Static or unchanging</w:t>
      </w:r>
      <w:bookmarkEnd w:id="971"/>
    </w:p>
    <w:p w14:paraId="117653BC" w14:textId="1D8AD3A0" w:rsidR="00600F98" w:rsidRPr="007D6BCA" w:rsidRDefault="00B2651E" w:rsidP="008D320F">
      <w:pPr>
        <w:pStyle w:val="DHHSbody"/>
      </w:pPr>
      <w:r w:rsidRPr="008D320F">
        <w:t xml:space="preserve">Commentary: While no target has been set for this measure, a high rescreen rate is important to increase the likelihood of </w:t>
      </w:r>
      <w:r w:rsidR="00520B59" w:rsidRPr="008D320F">
        <w:rPr>
          <w:rFonts w:cs="Arial"/>
          <w:lang w:val="en"/>
        </w:rPr>
        <w:t xml:space="preserve">CRCs </w:t>
      </w:r>
      <w:r w:rsidRPr="008D320F">
        <w:t xml:space="preserve">being detected early and treated successfully. It also demonstrates the acceptability of the faecal occult blood test and the National Bowel Cancer Screening Program more broadly by </w:t>
      </w:r>
      <w:r w:rsidR="00520B59" w:rsidRPr="008D320F">
        <w:t>p</w:t>
      </w:r>
      <w:r w:rsidRPr="008D320F">
        <w:t>rogram participants.</w:t>
      </w:r>
      <w:r w:rsidR="00952FC7" w:rsidRPr="008D320F">
        <w:t xml:space="preserve"> </w:t>
      </w:r>
      <w:r w:rsidRPr="008D320F">
        <w:t>Figure 16.4 shows that since 2014</w:t>
      </w:r>
      <w:r w:rsidR="00CA6D80" w:rsidRPr="008D320F">
        <w:t>–</w:t>
      </w:r>
      <w:r w:rsidRPr="008D320F">
        <w:t>2015 the proportion of Victorian adults (50</w:t>
      </w:r>
      <w:r w:rsidR="00702BEF" w:rsidRPr="008D320F">
        <w:t>–</w:t>
      </w:r>
      <w:r w:rsidRPr="008D320F">
        <w:t>74 y</w:t>
      </w:r>
      <w:r w:rsidR="00E9274F" w:rsidRPr="008D320F">
        <w:t>ea</w:t>
      </w:r>
      <w:r w:rsidRPr="008D320F">
        <w:t xml:space="preserve">rs) who are rescreened via the National Bowel Cancer Screening Program is </w:t>
      </w:r>
      <w:r w:rsidR="00710423" w:rsidRPr="008D320F">
        <w:t xml:space="preserve">slowly </w:t>
      </w:r>
      <w:r w:rsidRPr="008D320F">
        <w:t>increasing and is slightly higher than the national rate.</w:t>
      </w:r>
      <w:r w:rsidR="00952FC7" w:rsidRPr="008D320F">
        <w:t xml:space="preserve"> </w:t>
      </w:r>
      <w:r w:rsidRPr="008D320F">
        <w:t>It is anticipated that this trend will continue to improve as the program expands.</w:t>
      </w:r>
      <w:r w:rsidR="00952FC7" w:rsidRPr="008D320F">
        <w:t xml:space="preserve"> </w:t>
      </w:r>
      <w:r w:rsidRPr="008D320F">
        <w:t>Currently people aged 50, 52, 54, 56, 58, 60, 62, 64, 66, 68, 70, 72 and 74 are invited to screen. By 2020 all Australians (including Victorians) aged between 50 and 74 years will be offered free screening every two years.</w:t>
      </w:r>
      <w:r w:rsidR="00952FC7" w:rsidRPr="008D320F">
        <w:t xml:space="preserve"> </w:t>
      </w:r>
      <w:r w:rsidRPr="008D320F">
        <w:t>When this point is reached it is recommended that the definition for this measure is reviewed.</w:t>
      </w:r>
      <w:bookmarkEnd w:id="1000"/>
      <w:r w:rsidR="00600F98" w:rsidRPr="007D6BCA">
        <w:br w:type="page"/>
      </w:r>
    </w:p>
    <w:p w14:paraId="61C8E811" w14:textId="609D76A0" w:rsidR="00CC52BE" w:rsidRPr="007D6BCA" w:rsidRDefault="00CC52BE" w:rsidP="007D6BCA">
      <w:pPr>
        <w:pStyle w:val="Heading1"/>
        <w:rPr>
          <w:rFonts w:eastAsia="Times"/>
          <w:b/>
        </w:rPr>
      </w:pPr>
      <w:bookmarkStart w:id="1006" w:name="_Toc19008214"/>
      <w:bookmarkStart w:id="1007" w:name="_Toc33457083"/>
      <w:r w:rsidRPr="007D6BCA">
        <w:lastRenderedPageBreak/>
        <w:t>Outcome: I</w:t>
      </w:r>
      <w:r w:rsidR="007C04C7" w:rsidRPr="007D6BCA">
        <w:t>ntegrated research systems</w:t>
      </w:r>
      <w:bookmarkEnd w:id="1006"/>
      <w:bookmarkEnd w:id="1007"/>
    </w:p>
    <w:p w14:paraId="737BB4AE" w14:textId="0008749A" w:rsidR="00D36332" w:rsidRPr="00B91C4A" w:rsidRDefault="00537A4F" w:rsidP="006053E7">
      <w:pPr>
        <w:pStyle w:val="Heading2"/>
      </w:pPr>
      <w:bookmarkStart w:id="1008" w:name="_Toc19008215"/>
      <w:bookmarkStart w:id="1009" w:name="_Toc33457084"/>
      <w:r w:rsidRPr="00B91C4A">
        <w:t>Key result: Innovations and improved evidence of best practice</w:t>
      </w:r>
      <w:bookmarkEnd w:id="1008"/>
      <w:bookmarkEnd w:id="1009"/>
    </w:p>
    <w:p w14:paraId="6BCF759D" w14:textId="77777777" w:rsidR="00396706" w:rsidRDefault="00D36332" w:rsidP="00EC4E77">
      <w:pPr>
        <w:pStyle w:val="Heading3"/>
        <w:rPr>
          <w:lang w:eastAsia="en-AU"/>
        </w:rPr>
      </w:pPr>
      <w:bookmarkStart w:id="1010" w:name="_Measure_17.1_–"/>
      <w:bookmarkStart w:id="1011" w:name="_Toc19008216"/>
      <w:bookmarkEnd w:id="1010"/>
      <w:r>
        <w:rPr>
          <w:lang w:eastAsia="en-AU"/>
        </w:rPr>
        <w:t>Measure 17.1 – Number of new enrolments in cancer intervention clinical trials</w:t>
      </w:r>
      <w:r w:rsidR="007A0509">
        <w:rPr>
          <w:rStyle w:val="FootnoteReference"/>
          <w:lang w:eastAsia="en-AU"/>
        </w:rPr>
        <w:footnoteReference w:id="181"/>
      </w:r>
      <w:bookmarkEnd w:id="1011"/>
    </w:p>
    <w:p w14:paraId="10DFF25D" w14:textId="4EBB04AC" w:rsidR="00B44B18" w:rsidRDefault="0046084D" w:rsidP="008D320F">
      <w:pPr>
        <w:pStyle w:val="DHHSfigurecaption"/>
      </w:pPr>
      <w:bookmarkStart w:id="1012" w:name="_Toc19008217"/>
      <w:bookmarkStart w:id="1013" w:name="_Toc19008390"/>
      <w:bookmarkStart w:id="1014" w:name="_Toc19008537"/>
      <w:bookmarkStart w:id="1015" w:name="_Toc19008684"/>
      <w:bookmarkStart w:id="1016" w:name="_Toc27414392"/>
      <w:r>
        <w:t>Figure 17.1</w:t>
      </w:r>
      <w:r w:rsidR="00702BEF">
        <w:t>:</w:t>
      </w:r>
      <w:r>
        <w:t xml:space="preserve"> Number of </w:t>
      </w:r>
      <w:r w:rsidR="00F90409">
        <w:t>n</w:t>
      </w:r>
      <w:r>
        <w:t>ew enrolments in cancer interventions clinical t</w:t>
      </w:r>
      <w:r w:rsidR="00B44B18" w:rsidRPr="00B44B18">
        <w:t>rials</w:t>
      </w:r>
      <w:r>
        <w:t xml:space="preserve"> </w:t>
      </w:r>
      <w:r w:rsidR="00436F7D">
        <w:t xml:space="preserve">in Victoria </w:t>
      </w:r>
      <w:r>
        <w:t>by year</w:t>
      </w:r>
      <w:r w:rsidR="00B44B18" w:rsidRPr="00B44B18">
        <w:t>, 2014</w:t>
      </w:r>
      <w:r w:rsidR="00702BEF">
        <w:t>–</w:t>
      </w:r>
      <w:r w:rsidR="00B44B18" w:rsidRPr="00B44B18">
        <w:t>2017</w:t>
      </w:r>
      <w:bookmarkEnd w:id="1012"/>
      <w:bookmarkEnd w:id="1013"/>
      <w:bookmarkEnd w:id="1014"/>
      <w:bookmarkEnd w:id="1015"/>
      <w:bookmarkEnd w:id="1016"/>
    </w:p>
    <w:p w14:paraId="77B7FAD0" w14:textId="0087020F" w:rsidR="002919F1" w:rsidRPr="002919F1" w:rsidRDefault="00F534F5" w:rsidP="002919F1">
      <w:pPr>
        <w:pStyle w:val="DHHSbody"/>
      </w:pPr>
      <w:r>
        <w:rPr>
          <w:noProof/>
        </w:rPr>
        <w:drawing>
          <wp:inline distT="0" distB="0" distL="0" distR="0" wp14:anchorId="70F67CD6" wp14:editId="2FD3CE58">
            <wp:extent cx="6724650" cy="3980815"/>
            <wp:effectExtent l="0" t="0" r="0" b="635"/>
            <wp:docPr id="28" name="Picture 28" descr="This figure presents data via a bar graph showing the number of new enrolments in cancer interventions clinical trials in Victoria  from 201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724650" cy="3980815"/>
                    </a:xfrm>
                    <a:prstGeom prst="rect">
                      <a:avLst/>
                    </a:prstGeom>
                    <a:noFill/>
                  </pic:spPr>
                </pic:pic>
              </a:graphicData>
            </a:graphic>
          </wp:inline>
        </w:drawing>
      </w:r>
    </w:p>
    <w:p w14:paraId="7DBF8FBA" w14:textId="77777777" w:rsidR="002426D7" w:rsidRDefault="002426D7" w:rsidP="002426D7">
      <w:pPr>
        <w:pStyle w:val="DHHStablefigurenote"/>
      </w:pPr>
      <w:r w:rsidRPr="00EC4E77">
        <w:t xml:space="preserve">Source: </w:t>
      </w:r>
      <w:r>
        <w:t>Annual Cancer Trials Management Scheme (CTMS) data</w:t>
      </w:r>
    </w:p>
    <w:p w14:paraId="3B513DD2" w14:textId="5852CE34" w:rsidR="00D176AC" w:rsidRDefault="00A64D33" w:rsidP="00F50756">
      <w:pPr>
        <w:pStyle w:val="DHHStablefigurenote"/>
      </w:pPr>
      <w:r>
        <w:t>Note</w:t>
      </w:r>
      <w:r w:rsidR="007A1856">
        <w:t>s</w:t>
      </w:r>
      <w:r w:rsidR="00D176AC">
        <w:t>:</w:t>
      </w:r>
    </w:p>
    <w:p w14:paraId="6873C4B9" w14:textId="4821E90B" w:rsidR="001D0FB8" w:rsidRDefault="001D0FB8" w:rsidP="00F505A5">
      <w:pPr>
        <w:pStyle w:val="DHHStablefigurenote"/>
      </w:pPr>
      <w:r w:rsidRPr="001D0FB8">
        <w:t xml:space="preserve">This analysis reports trials with a </w:t>
      </w:r>
      <w:r w:rsidR="00B41603">
        <w:t>‘</w:t>
      </w:r>
      <w:r w:rsidR="000D6900">
        <w:t>t</w:t>
      </w:r>
      <w:r w:rsidRPr="001D0FB8">
        <w:t>reatment</w:t>
      </w:r>
      <w:r w:rsidR="00B41603">
        <w:t>’</w:t>
      </w:r>
      <w:r w:rsidRPr="001D0FB8">
        <w:t xml:space="preserve"> Common Scientific Outline (CSO) defined as a clinical</w:t>
      </w:r>
      <w:r w:rsidR="00BE11C4">
        <w:t xml:space="preserve"> </w:t>
      </w:r>
      <w:r w:rsidRPr="001D0FB8">
        <w:t>trial according to World Health Organization criteria.</w:t>
      </w:r>
    </w:p>
    <w:p w14:paraId="07433426" w14:textId="3AABB60C" w:rsidR="00D176AC" w:rsidRDefault="00A64D33" w:rsidP="00F505A5">
      <w:pPr>
        <w:pStyle w:val="DHHStablefigurenote"/>
      </w:pPr>
      <w:r w:rsidRPr="00A64D33">
        <w:t>Interstate patients have been included in the number of new enrolments in cancer intervention clinical trials.</w:t>
      </w:r>
    </w:p>
    <w:p w14:paraId="3E55202B" w14:textId="77777777" w:rsidR="006D2C78" w:rsidRDefault="006D2C78">
      <w:pPr>
        <w:rPr>
          <w:rFonts w:ascii="Arial" w:eastAsia="Times" w:hAnsi="Arial"/>
        </w:rPr>
      </w:pPr>
      <w:r>
        <w:br w:type="page"/>
      </w:r>
    </w:p>
    <w:p w14:paraId="23511995" w14:textId="3595ACCF" w:rsidR="00E921FB" w:rsidRDefault="00E921FB" w:rsidP="008D320F">
      <w:pPr>
        <w:pStyle w:val="DHHSfigurecaption"/>
      </w:pPr>
      <w:bookmarkStart w:id="1017" w:name="_Toc19008218"/>
      <w:bookmarkStart w:id="1018" w:name="_Toc19008391"/>
      <w:bookmarkStart w:id="1019" w:name="_Toc19008538"/>
      <w:bookmarkStart w:id="1020" w:name="_Toc19008685"/>
      <w:bookmarkStart w:id="1021" w:name="_Toc27414393"/>
      <w:r>
        <w:lastRenderedPageBreak/>
        <w:t>Figure 17.1.2</w:t>
      </w:r>
      <w:r w:rsidR="00702BEF">
        <w:t>:</w:t>
      </w:r>
      <w:r>
        <w:t xml:space="preserve"> Proportion of new enrolments in cancer intervention clinical trials in Victoria stratified by tumour stream, by year</w:t>
      </w:r>
      <w:r w:rsidR="002426D7">
        <w:t>,</w:t>
      </w:r>
      <w:r>
        <w:t xml:space="preserve"> 2014</w:t>
      </w:r>
      <w:r w:rsidR="00702BEF">
        <w:t>–</w:t>
      </w:r>
      <w:r>
        <w:t>2017</w:t>
      </w:r>
      <w:bookmarkEnd w:id="1017"/>
      <w:bookmarkEnd w:id="1018"/>
      <w:bookmarkEnd w:id="1019"/>
      <w:bookmarkEnd w:id="1020"/>
      <w:bookmarkEnd w:id="1021"/>
    </w:p>
    <w:p w14:paraId="6648AD34" w14:textId="1050C1D8" w:rsidR="00E921FB" w:rsidRPr="001F4CC3" w:rsidRDefault="00F534F5" w:rsidP="001F4CC3">
      <w:pPr>
        <w:pStyle w:val="DHHSbody"/>
        <w:rPr>
          <w:b/>
          <w:lang w:eastAsia="en-AU"/>
        </w:rPr>
      </w:pPr>
      <w:r>
        <w:rPr>
          <w:b/>
          <w:noProof/>
          <w:lang w:eastAsia="en-AU"/>
        </w:rPr>
        <w:drawing>
          <wp:inline distT="0" distB="0" distL="0" distR="0" wp14:anchorId="1621B4D5" wp14:editId="59009784">
            <wp:extent cx="6748780" cy="3225165"/>
            <wp:effectExtent l="0" t="0" r="0" b="0"/>
            <wp:docPr id="29" name="Picture 29" descr="This figure shows the proportion of new of new enrolments in cancer intervention clinical trials in Victoria stratified by tumour stream, by year, 2014–2017. The data set is available under 'Measure 17.1 – Number of new enrolments in cancer intervention clinical trials' in a separate volume, the Victorian cancer plan monitoring and evaluation framework: baseline report: Appendix 2: Datasets available on Cancer care &lt;https://www2.health.vic.gov.au/about/health-strategies/cancer-car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748780" cy="3225165"/>
                    </a:xfrm>
                    <a:prstGeom prst="rect">
                      <a:avLst/>
                    </a:prstGeom>
                    <a:noFill/>
                  </pic:spPr>
                </pic:pic>
              </a:graphicData>
            </a:graphic>
          </wp:inline>
        </w:drawing>
      </w:r>
    </w:p>
    <w:p w14:paraId="2943757E" w14:textId="3132CC12" w:rsidR="00B648F7" w:rsidRPr="00B648F7" w:rsidRDefault="00B648F7" w:rsidP="00561DBE">
      <w:pPr>
        <w:pStyle w:val="DHHStablefigurenote"/>
      </w:pPr>
      <w:r>
        <w:t>Note: Appendix 2 provides the dataset.</w:t>
      </w:r>
    </w:p>
    <w:p w14:paraId="1D053154" w14:textId="7D9DC960" w:rsidR="00396706" w:rsidRPr="00671C7A" w:rsidRDefault="00396706" w:rsidP="00396706">
      <w:pPr>
        <w:pStyle w:val="Heading4"/>
        <w:rPr>
          <w:lang w:eastAsia="en-AU"/>
        </w:rPr>
      </w:pPr>
      <w:r>
        <w:rPr>
          <w:lang w:eastAsia="en-AU"/>
        </w:rPr>
        <w:t>Measure assessment</w:t>
      </w:r>
    </w:p>
    <w:p w14:paraId="6B421856" w14:textId="11B9A3DF" w:rsidR="00396706" w:rsidRPr="00F270EA" w:rsidRDefault="00396706" w:rsidP="00396706">
      <w:pPr>
        <w:spacing w:after="120" w:line="270" w:lineRule="atLeast"/>
        <w:rPr>
          <w:rFonts w:ascii="Arial" w:hAnsi="Arial" w:cs="Arial"/>
        </w:rPr>
      </w:pPr>
      <w:r>
        <w:rPr>
          <w:rFonts w:ascii="Arial" w:hAnsi="Arial" w:cs="Arial"/>
        </w:rPr>
        <w:t xml:space="preserve">Traffic light rating: </w:t>
      </w:r>
      <w:r w:rsidR="00F270EA" w:rsidRPr="006537FE">
        <w:rPr>
          <w:rFonts w:ascii="Arial" w:hAnsi="Arial" w:cs="Arial"/>
          <w:b/>
          <w:color w:val="C5511A"/>
        </w:rPr>
        <w:t>Amber</w:t>
      </w:r>
      <w:r w:rsidR="00F270EA">
        <w:rPr>
          <w:rFonts w:ascii="Arial" w:hAnsi="Arial" w:cs="Arial"/>
          <w:b/>
          <w:color w:val="C5511A"/>
        </w:rPr>
        <w:t xml:space="preserve"> </w:t>
      </w:r>
      <w:r w:rsidR="00F270EA" w:rsidRPr="00EA3932">
        <w:rPr>
          <w:rFonts w:ascii="Arial" w:hAnsi="Arial" w:cs="Arial"/>
          <w:color w:val="C5511A"/>
        </w:rPr>
        <w:t>(desired result not yet evident)</w:t>
      </w:r>
    </w:p>
    <w:p w14:paraId="61AC9D9E" w14:textId="241076EC" w:rsidR="00396706" w:rsidRDefault="00396706" w:rsidP="00396706">
      <w:pPr>
        <w:spacing w:after="120" w:line="270" w:lineRule="atLeast"/>
        <w:rPr>
          <w:rFonts w:ascii="Arial" w:hAnsi="Arial" w:cs="Arial"/>
        </w:rPr>
      </w:pPr>
      <w:r>
        <w:rPr>
          <w:rFonts w:ascii="Arial" w:hAnsi="Arial" w:cs="Arial"/>
        </w:rPr>
        <w:t>Overall trend: Moving in the right direction</w:t>
      </w:r>
      <w:r w:rsidR="000D6900">
        <w:rPr>
          <w:rFonts w:ascii="Arial" w:hAnsi="Arial" w:cs="Arial"/>
        </w:rPr>
        <w:t>,</w:t>
      </w:r>
      <w:r w:rsidR="00F74681">
        <w:rPr>
          <w:rFonts w:ascii="Arial" w:hAnsi="Arial" w:cs="Arial"/>
        </w:rPr>
        <w:t xml:space="preserve"> but numbers are very low</w:t>
      </w:r>
    </w:p>
    <w:p w14:paraId="7E608DBF" w14:textId="37879D70" w:rsidR="00C92DEE" w:rsidRDefault="00396706" w:rsidP="00396706">
      <w:pPr>
        <w:pStyle w:val="DHHSbody"/>
      </w:pPr>
      <w:r w:rsidRPr="00E81DB4">
        <w:rPr>
          <w:rFonts w:cs="Arial"/>
          <w:lang w:eastAsia="en-AU"/>
        </w:rPr>
        <w:t>Commentary:</w:t>
      </w:r>
      <w:r w:rsidR="0080230F" w:rsidRPr="00E81DB4">
        <w:rPr>
          <w:rFonts w:cs="Arial"/>
          <w:lang w:eastAsia="en-AU"/>
        </w:rPr>
        <w:t xml:space="preserve"> </w:t>
      </w:r>
      <w:r w:rsidR="00FC19B4">
        <w:t xml:space="preserve">Clinical trials are an important component of translational cancer research and are vital for advancing cancer breakthroughs by testing </w:t>
      </w:r>
      <w:r w:rsidR="000D6900">
        <w:t xml:space="preserve">the </w:t>
      </w:r>
      <w:r w:rsidR="00FC19B4">
        <w:t xml:space="preserve">latest treatments, drugs and medical devices that can deliver better patient outcomes and save lives. </w:t>
      </w:r>
      <w:r w:rsidR="00E62544">
        <w:t>Recruit</w:t>
      </w:r>
      <w:r w:rsidR="000D6900">
        <w:t>ing</w:t>
      </w:r>
      <w:r w:rsidR="00E62544">
        <w:t xml:space="preserve"> patients into cancer clinical trials is an important measurement to determine the proportion of patients being treated in clinical trials compared </w:t>
      </w:r>
      <w:r w:rsidR="001B50BF">
        <w:t xml:space="preserve">with </w:t>
      </w:r>
      <w:r w:rsidR="00E62544">
        <w:t xml:space="preserve">those who are not. However, direct comparison of recruitment activity occurring in Victoria compared </w:t>
      </w:r>
      <w:r w:rsidR="001B50BF">
        <w:t xml:space="preserve">with </w:t>
      </w:r>
      <w:r w:rsidR="00E62544">
        <w:t xml:space="preserve">the rest of Australia is currently not possible </w:t>
      </w:r>
      <w:r w:rsidR="000D6900">
        <w:t xml:space="preserve">because </w:t>
      </w:r>
      <w:r w:rsidR="00E62544">
        <w:t>very few other jurisdictions collect recruitment and trial activity data</w:t>
      </w:r>
      <w:r w:rsidR="00EE0C43" w:rsidRPr="00EE0C43">
        <w:t xml:space="preserve"> </w:t>
      </w:r>
      <w:r w:rsidR="00EE0C43">
        <w:t>and for the jurisdictions that do collect this data, the definitions, systems and investments being used to measure clinical trial activity are different to Victoria</w:t>
      </w:r>
      <w:r w:rsidR="00E62544">
        <w:t>.</w:t>
      </w:r>
      <w:r w:rsidR="007536EA">
        <w:t xml:space="preserve"> For example</w:t>
      </w:r>
      <w:r w:rsidR="00BD5DB2">
        <w:t>,</w:t>
      </w:r>
      <w:r w:rsidR="007536EA">
        <w:t xml:space="preserve"> </w:t>
      </w:r>
      <w:r w:rsidR="004D38DD">
        <w:t xml:space="preserve">in 2015 </w:t>
      </w:r>
      <w:r w:rsidR="00BD5DB2">
        <w:t xml:space="preserve">Cancer Institute New South Wales reported 241 new </w:t>
      </w:r>
      <w:r w:rsidR="00BD5DB2" w:rsidRPr="00B55141">
        <w:t>enrolments in cancer intervention clinicals trials</w:t>
      </w:r>
      <w:r w:rsidR="007536EA">
        <w:rPr>
          <w:rStyle w:val="FootnoteReference"/>
        </w:rPr>
        <w:footnoteReference w:id="182"/>
      </w:r>
      <w:r w:rsidR="004B5073">
        <w:t xml:space="preserve"> which was significantly less than Victoria.</w:t>
      </w:r>
    </w:p>
    <w:p w14:paraId="0CEB02A5" w14:textId="36E4FE46" w:rsidR="00D428A0" w:rsidRDefault="00CB0E5F" w:rsidP="00396706">
      <w:pPr>
        <w:pStyle w:val="DHHSbody"/>
      </w:pPr>
      <w:r>
        <w:t>Figure 17.1 shows that</w:t>
      </w:r>
      <w:r w:rsidR="000D6900">
        <w:t>,</w:t>
      </w:r>
      <w:r>
        <w:t xml:space="preserve"> overall</w:t>
      </w:r>
      <w:r w:rsidR="000D6900">
        <w:t>,</w:t>
      </w:r>
      <w:r>
        <w:t xml:space="preserve"> the number of new enro</w:t>
      </w:r>
      <w:r w:rsidR="00C17FCC">
        <w:t>lments in cancer between 2014 and 2017 has not increased</w:t>
      </w:r>
      <w:r w:rsidR="00D428A0">
        <w:t xml:space="preserve"> with time. This trend remains consistent</w:t>
      </w:r>
      <w:r w:rsidR="000D6900">
        <w:t>,</w:t>
      </w:r>
      <w:r w:rsidR="00D428A0">
        <w:t xml:space="preserve"> even when examined by metropolitan and rural populations (Table 17.1</w:t>
      </w:r>
      <w:r w:rsidR="00C90B70">
        <w:t>, Appendix 2</w:t>
      </w:r>
      <w:r w:rsidR="00D428A0">
        <w:t>).</w:t>
      </w:r>
      <w:r w:rsidR="00E921FB">
        <w:t xml:space="preserve"> </w:t>
      </w:r>
      <w:r w:rsidR="00D428A0">
        <w:t>Despite this, the proportion of rural patients entering clinical trials, relative to metropolitan patients, has increased over time</w:t>
      </w:r>
      <w:r w:rsidR="00E921FB">
        <w:t>, reaching 26.5 per cent in 2017.</w:t>
      </w:r>
    </w:p>
    <w:p w14:paraId="5C0BC74B" w14:textId="7DE509EA" w:rsidR="00C92DEE" w:rsidRDefault="00647CC9" w:rsidP="00396706">
      <w:pPr>
        <w:pStyle w:val="DHHSbody"/>
      </w:pPr>
      <w:r>
        <w:t>Overall the number of patients enrolled in clinical trials at sites within metropolitan ICS was higher than the number of patients enrolled in rural and regional ICS (Table 17.1</w:t>
      </w:r>
      <w:r w:rsidR="00C90B70">
        <w:t>, Appendix 2</w:t>
      </w:r>
      <w:r>
        <w:t>)</w:t>
      </w:r>
      <w:r w:rsidR="009B0B6A">
        <w:t xml:space="preserve">. </w:t>
      </w:r>
      <w:r>
        <w:t xml:space="preserve">The highest number </w:t>
      </w:r>
      <w:r w:rsidR="009B0B6A">
        <w:t xml:space="preserve">of new enrolments </w:t>
      </w:r>
      <w:r>
        <w:t xml:space="preserve">was reported by </w:t>
      </w:r>
      <w:r w:rsidR="009B0B6A">
        <w:t>WCMICS, which recorded 2,76</w:t>
      </w:r>
      <w:r w:rsidR="00943DAF">
        <w:t>3</w:t>
      </w:r>
      <w:r w:rsidR="002943D9">
        <w:t xml:space="preserve"> between 2014 and 2017. LMICS had the lowest number of new enrolments (30) over the four-year period.</w:t>
      </w:r>
      <w:r w:rsidR="00952FC7">
        <w:t xml:space="preserve"> </w:t>
      </w:r>
      <w:r w:rsidR="002943D9">
        <w:t xml:space="preserve">On the other </w:t>
      </w:r>
      <w:r w:rsidR="007D12C2">
        <w:t>hand,</w:t>
      </w:r>
      <w:r w:rsidR="002943D9">
        <w:t xml:space="preserve"> GRICS </w:t>
      </w:r>
      <w:r w:rsidR="00E55D99">
        <w:t>reported no clinical trial activity in the analysis period.</w:t>
      </w:r>
    </w:p>
    <w:p w14:paraId="565E4055" w14:textId="084B7EC0" w:rsidR="007370A0" w:rsidRDefault="00E34768" w:rsidP="00AD7F7E">
      <w:pPr>
        <w:pStyle w:val="DHHSbody"/>
        <w:rPr>
          <w:lang w:eastAsia="en-AU"/>
        </w:rPr>
      </w:pPr>
      <w:r>
        <w:t>Blood cancer trials consistently recruited the highest number of new enrolments in each reporting period</w:t>
      </w:r>
      <w:r w:rsidR="000D6900">
        <w:t>,</w:t>
      </w:r>
      <w:r w:rsidR="00880F2E">
        <w:t xml:space="preserve"> with a total of 2,123</w:t>
      </w:r>
      <w:r>
        <w:t>.</w:t>
      </w:r>
      <w:r w:rsidR="00952FC7">
        <w:t xml:space="preserve"> </w:t>
      </w:r>
      <w:r>
        <w:t xml:space="preserve">This was followed by </w:t>
      </w:r>
      <w:r w:rsidR="00DD135A">
        <w:rPr>
          <w:rFonts w:cs="Arial"/>
        </w:rPr>
        <w:t xml:space="preserve">breast </w:t>
      </w:r>
      <w:r w:rsidR="00880F2E">
        <w:rPr>
          <w:rFonts w:cs="Arial"/>
        </w:rPr>
        <w:t xml:space="preserve">(895) </w:t>
      </w:r>
      <w:r w:rsidR="00DD135A">
        <w:rPr>
          <w:rFonts w:cs="Arial"/>
        </w:rPr>
        <w:t>and advanced multiple</w:t>
      </w:r>
      <w:r w:rsidR="00880F2E">
        <w:rPr>
          <w:rFonts w:cs="Arial"/>
        </w:rPr>
        <w:t xml:space="preserve"> (75</w:t>
      </w:r>
      <w:r w:rsidR="003F30C8">
        <w:rPr>
          <w:rFonts w:cs="Arial"/>
        </w:rPr>
        <w:t>9</w:t>
      </w:r>
      <w:r w:rsidR="00880F2E">
        <w:rPr>
          <w:rFonts w:cs="Arial"/>
        </w:rPr>
        <w:t>)</w:t>
      </w:r>
      <w:r w:rsidR="000D478B">
        <w:rPr>
          <w:rFonts w:cs="Arial"/>
        </w:rPr>
        <w:t xml:space="preserve"> cancers</w:t>
      </w:r>
      <w:r w:rsidR="000D6900">
        <w:rPr>
          <w:rFonts w:cs="Arial"/>
        </w:rPr>
        <w:t>,</w:t>
      </w:r>
      <w:r w:rsidR="00760916">
        <w:rPr>
          <w:rFonts w:cs="Arial"/>
        </w:rPr>
        <w:t xml:space="preserve"> possibly</w:t>
      </w:r>
      <w:r w:rsidR="00DD135A">
        <w:rPr>
          <w:rFonts w:cs="Arial"/>
        </w:rPr>
        <w:t xml:space="preserve"> reflecting that </w:t>
      </w:r>
      <w:r w:rsidR="004C6AEF">
        <w:rPr>
          <w:rFonts w:cs="Arial"/>
        </w:rPr>
        <w:t xml:space="preserve">a number of these trials are run by private hospitals with specialist oncology research units </w:t>
      </w:r>
      <w:r w:rsidR="007370A0">
        <w:rPr>
          <w:rFonts w:cs="Arial"/>
        </w:rPr>
        <w:t>in</w:t>
      </w:r>
      <w:r w:rsidR="004C6AEF">
        <w:rPr>
          <w:rFonts w:cs="Arial"/>
        </w:rPr>
        <w:t xml:space="preserve"> large metropolitan areas such as Melbourne.</w:t>
      </w:r>
      <w:r w:rsidR="00DD135A" w:rsidRPr="005763F8">
        <w:rPr>
          <w:lang w:eastAsia="en-AU"/>
        </w:rPr>
        <w:t xml:space="preserve"> </w:t>
      </w:r>
      <w:r w:rsidR="007370A0">
        <w:rPr>
          <w:lang w:eastAsia="en-AU"/>
        </w:rPr>
        <w:t xml:space="preserve">People with uncommon cancers such as sarcoma were the least likely to enrol in a clinical </w:t>
      </w:r>
      <w:r w:rsidR="00314350">
        <w:rPr>
          <w:lang w:eastAsia="en-AU"/>
        </w:rPr>
        <w:t xml:space="preserve">trial </w:t>
      </w:r>
      <w:r w:rsidR="007370A0">
        <w:rPr>
          <w:lang w:eastAsia="en-AU"/>
        </w:rPr>
        <w:t xml:space="preserve">for each </w:t>
      </w:r>
      <w:r w:rsidR="007370A0">
        <w:rPr>
          <w:lang w:eastAsia="en-AU"/>
        </w:rPr>
        <w:lastRenderedPageBreak/>
        <w:t>reporting period.</w:t>
      </w:r>
      <w:r w:rsidR="00952FC7">
        <w:rPr>
          <w:lang w:eastAsia="en-AU"/>
        </w:rPr>
        <w:t xml:space="preserve"> </w:t>
      </w:r>
      <w:r w:rsidR="007370A0">
        <w:rPr>
          <w:lang w:eastAsia="en-AU"/>
        </w:rPr>
        <w:t>For example, in 2017</w:t>
      </w:r>
      <w:r w:rsidR="00E62F2B">
        <w:rPr>
          <w:lang w:eastAsia="en-AU"/>
        </w:rPr>
        <w:t>,</w:t>
      </w:r>
      <w:r w:rsidR="00764363">
        <w:rPr>
          <w:lang w:eastAsia="en-AU"/>
        </w:rPr>
        <w:t xml:space="preserve"> only 1.1 per cent of patients enrolled in a clinical trial</w:t>
      </w:r>
      <w:r w:rsidR="002C3DA3">
        <w:rPr>
          <w:lang w:eastAsia="en-AU"/>
        </w:rPr>
        <w:t xml:space="preserve"> specific to sarcoma</w:t>
      </w:r>
      <w:r w:rsidR="00764363">
        <w:rPr>
          <w:lang w:eastAsia="en-AU"/>
        </w:rPr>
        <w:t xml:space="preserve"> (Figure 17.1.2).</w:t>
      </w:r>
    </w:p>
    <w:p w14:paraId="04C3114B" w14:textId="77777777" w:rsidR="0092202A" w:rsidRDefault="000C6F0C" w:rsidP="00F270EA">
      <w:pPr>
        <w:pStyle w:val="DHHSbody"/>
        <w:rPr>
          <w:lang w:val="en"/>
        </w:rPr>
      </w:pPr>
      <w:r>
        <w:rPr>
          <w:lang w:eastAsia="en-AU"/>
        </w:rPr>
        <w:t>No target has been set for this measure</w:t>
      </w:r>
      <w:r w:rsidR="00362517">
        <w:rPr>
          <w:lang w:eastAsia="en-AU"/>
        </w:rPr>
        <w:t>, but</w:t>
      </w:r>
      <w:r w:rsidR="0055351E">
        <w:rPr>
          <w:lang w:eastAsia="en-AU"/>
        </w:rPr>
        <w:t xml:space="preserve"> </w:t>
      </w:r>
      <w:r w:rsidR="0055351E">
        <w:rPr>
          <w:rFonts w:cs="Arial"/>
          <w:lang w:eastAsia="en-AU"/>
        </w:rPr>
        <w:t>research has shown that public education on the true value of clinical research and the reality of participating in a clinical trial is needed.</w:t>
      </w:r>
      <w:r w:rsidR="00952FC7">
        <w:rPr>
          <w:rFonts w:cs="Arial"/>
          <w:lang w:eastAsia="en-AU"/>
        </w:rPr>
        <w:t xml:space="preserve"> </w:t>
      </w:r>
      <w:r w:rsidR="0055351E">
        <w:rPr>
          <w:rFonts w:cs="Arial"/>
          <w:lang w:eastAsia="en-AU"/>
        </w:rPr>
        <w:t xml:space="preserve">Involving </w:t>
      </w:r>
      <w:r w:rsidR="0055351E">
        <w:rPr>
          <w:lang w:val="en"/>
        </w:rPr>
        <w:t>trained patient advocates at each step of the clinical research process, even in preclinical phases, could provide significant benefit in helping to design informative trials, as well as</w:t>
      </w:r>
      <w:r w:rsidR="00E62F2B">
        <w:rPr>
          <w:lang w:val="en"/>
        </w:rPr>
        <w:t xml:space="preserve"> in</w:t>
      </w:r>
      <w:r w:rsidR="0055351E">
        <w:rPr>
          <w:lang w:val="en"/>
        </w:rPr>
        <w:t xml:space="preserve"> recruit</w:t>
      </w:r>
      <w:r w:rsidR="00E62F2B">
        <w:rPr>
          <w:lang w:val="en"/>
        </w:rPr>
        <w:t>ing</w:t>
      </w:r>
      <w:r w:rsidR="0055351E">
        <w:rPr>
          <w:lang w:val="en"/>
        </w:rPr>
        <w:t xml:space="preserve"> patients to participate</w:t>
      </w:r>
      <w:r w:rsidR="00362517">
        <w:rPr>
          <w:lang w:val="en"/>
        </w:rPr>
        <w:t>.</w:t>
      </w:r>
      <w:r w:rsidR="0055351E">
        <w:rPr>
          <w:rStyle w:val="FootnoteReference"/>
          <w:lang w:val="en"/>
        </w:rPr>
        <w:footnoteReference w:id="183"/>
      </w:r>
    </w:p>
    <w:p w14:paraId="6E58A916" w14:textId="77777777" w:rsidR="0092202A" w:rsidRDefault="0092202A">
      <w:pPr>
        <w:rPr>
          <w:rFonts w:ascii="Arial" w:eastAsia="Times" w:hAnsi="Arial"/>
          <w:lang w:val="en" w:eastAsia="en-US"/>
        </w:rPr>
      </w:pPr>
      <w:r>
        <w:rPr>
          <w:lang w:val="en"/>
        </w:rPr>
        <w:br w:type="page"/>
      </w:r>
    </w:p>
    <w:p w14:paraId="1100F500" w14:textId="4A7B116F" w:rsidR="00396706" w:rsidRPr="0092202A" w:rsidRDefault="00D36332" w:rsidP="0092202A">
      <w:pPr>
        <w:pStyle w:val="Heading3"/>
        <w:rPr>
          <w:rStyle w:val="Heading3Char"/>
          <w:b/>
          <w:bCs/>
        </w:rPr>
      </w:pPr>
      <w:bookmarkStart w:id="1022" w:name="_Measure_17.2_–"/>
      <w:bookmarkEnd w:id="1022"/>
      <w:r w:rsidRPr="0092202A">
        <w:rPr>
          <w:rStyle w:val="Heading3Char"/>
          <w:b/>
          <w:bCs/>
        </w:rPr>
        <w:lastRenderedPageBreak/>
        <w:t xml:space="preserve">Measure 17.2 – </w:t>
      </w:r>
      <w:r w:rsidR="0040490E" w:rsidRPr="0092202A">
        <w:rPr>
          <w:rStyle w:val="Heading3Char"/>
          <w:b/>
          <w:bCs/>
        </w:rPr>
        <w:t>Number of recruiting cancer intervention clinical trials</w:t>
      </w:r>
    </w:p>
    <w:p w14:paraId="2D5CA9EB" w14:textId="2DE73142" w:rsidR="00E60DAD" w:rsidRDefault="00B44B18" w:rsidP="008D320F">
      <w:pPr>
        <w:pStyle w:val="DHHSfigurecaption"/>
      </w:pPr>
      <w:bookmarkStart w:id="1023" w:name="_Toc19008219"/>
      <w:bookmarkStart w:id="1024" w:name="_Toc19008392"/>
      <w:bookmarkStart w:id="1025" w:name="_Toc19008539"/>
      <w:bookmarkStart w:id="1026" w:name="_Toc19008686"/>
      <w:bookmarkStart w:id="1027" w:name="_Toc27414394"/>
      <w:r w:rsidRPr="00B44B18">
        <w:t>Figure 17.2</w:t>
      </w:r>
      <w:r w:rsidR="00702BEF">
        <w:t>:</w:t>
      </w:r>
      <w:r w:rsidRPr="00B44B18">
        <w:t xml:space="preserve"> Number of </w:t>
      </w:r>
      <w:r w:rsidR="00F90409">
        <w:t>r</w:t>
      </w:r>
      <w:r w:rsidRPr="00B44B18">
        <w:t xml:space="preserve">ecruiting </w:t>
      </w:r>
      <w:r w:rsidR="00F90409">
        <w:t>c</w:t>
      </w:r>
      <w:r w:rsidRPr="00B44B18">
        <w:t xml:space="preserve">ancer </w:t>
      </w:r>
      <w:r w:rsidR="00F90409">
        <w:t>i</w:t>
      </w:r>
      <w:r w:rsidRPr="00B44B18">
        <w:t xml:space="preserve">ntervention </w:t>
      </w:r>
      <w:r w:rsidR="00F90409">
        <w:t>c</w:t>
      </w:r>
      <w:r w:rsidRPr="00B44B18">
        <w:t xml:space="preserve">linical </w:t>
      </w:r>
      <w:r w:rsidR="00F90409">
        <w:t>t</w:t>
      </w:r>
      <w:r w:rsidRPr="00B44B18">
        <w:t>rials</w:t>
      </w:r>
      <w:r w:rsidR="001E151A">
        <w:t xml:space="preserve"> in Victoria</w:t>
      </w:r>
      <w:r w:rsidR="002426D7">
        <w:t>,</w:t>
      </w:r>
      <w:r w:rsidR="001E151A">
        <w:t xml:space="preserve"> by year, 2014</w:t>
      </w:r>
      <w:r w:rsidR="00702BEF">
        <w:t>–</w:t>
      </w:r>
      <w:r w:rsidR="001E151A">
        <w:t>2017</w:t>
      </w:r>
      <w:bookmarkEnd w:id="1023"/>
      <w:bookmarkEnd w:id="1024"/>
      <w:bookmarkEnd w:id="1025"/>
      <w:bookmarkEnd w:id="1026"/>
      <w:bookmarkEnd w:id="1027"/>
    </w:p>
    <w:p w14:paraId="1CB4ED4B" w14:textId="6F17DA47" w:rsidR="00402917" w:rsidRPr="00E60DAD" w:rsidRDefault="00F534F5" w:rsidP="00F505A5">
      <w:pPr>
        <w:pStyle w:val="DHHSbody"/>
        <w:rPr>
          <w:b/>
          <w:lang w:eastAsia="en-AU"/>
        </w:rPr>
      </w:pPr>
      <w:r>
        <w:rPr>
          <w:b/>
          <w:noProof/>
          <w:lang w:eastAsia="en-AU"/>
        </w:rPr>
        <w:drawing>
          <wp:inline distT="0" distB="0" distL="0" distR="0" wp14:anchorId="2762F95D" wp14:editId="64FB4710">
            <wp:extent cx="6724650" cy="3657600"/>
            <wp:effectExtent l="0" t="0" r="0" b="0"/>
            <wp:docPr id="30" name="Picture 30" descr="This figure presents data via a bar graph showing the number of recruiting in cancer interventions clinical trials in Victoria from 201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724650" cy="3657600"/>
                    </a:xfrm>
                    <a:prstGeom prst="rect">
                      <a:avLst/>
                    </a:prstGeom>
                    <a:noFill/>
                  </pic:spPr>
                </pic:pic>
              </a:graphicData>
            </a:graphic>
          </wp:inline>
        </w:drawing>
      </w:r>
    </w:p>
    <w:p w14:paraId="23CABAF4" w14:textId="460D4309" w:rsidR="00402917" w:rsidRDefault="00402917">
      <w:pPr>
        <w:pStyle w:val="DHHStablefigurenote"/>
      </w:pPr>
      <w:r w:rsidRPr="00EC4E77">
        <w:t xml:space="preserve">Source: </w:t>
      </w:r>
      <w:r>
        <w:t>Annual Cancer Trials Management Scheme (CTMS) data</w:t>
      </w:r>
    </w:p>
    <w:p w14:paraId="0A58BE3E" w14:textId="1125A762" w:rsidR="00E62F2B" w:rsidRDefault="001768D5" w:rsidP="00F505A5">
      <w:pPr>
        <w:pStyle w:val="DHHStablefigurenote"/>
      </w:pPr>
      <w:r w:rsidRPr="00B55141">
        <w:rPr>
          <w:bCs/>
          <w:szCs w:val="18"/>
          <w:lang w:eastAsia="en-AU"/>
        </w:rPr>
        <w:t>Note:</w:t>
      </w:r>
      <w:r w:rsidR="00F505A5">
        <w:rPr>
          <w:bCs/>
          <w:szCs w:val="18"/>
          <w:lang w:eastAsia="en-AU"/>
        </w:rPr>
        <w:t xml:space="preserve"> </w:t>
      </w:r>
      <w:r w:rsidRPr="001D0FB8">
        <w:t xml:space="preserve">This analysis reports trials with a </w:t>
      </w:r>
      <w:r w:rsidR="002426D7">
        <w:t>‘</w:t>
      </w:r>
      <w:r w:rsidR="000D6900">
        <w:t>t</w:t>
      </w:r>
      <w:r w:rsidRPr="001D0FB8">
        <w:t>reatment</w:t>
      </w:r>
      <w:r w:rsidR="002426D7">
        <w:t>’</w:t>
      </w:r>
      <w:r w:rsidRPr="001D0FB8">
        <w:t xml:space="preserve"> Common Scientific Outline (CSO) defined as a clinical</w:t>
      </w:r>
      <w:r>
        <w:t xml:space="preserve"> </w:t>
      </w:r>
      <w:r w:rsidRPr="001D0FB8">
        <w:t>trial according to World Health Organization criteria.</w:t>
      </w:r>
    </w:p>
    <w:p w14:paraId="0A00BF65" w14:textId="57E8F532" w:rsidR="007564D9" w:rsidRDefault="007564D9" w:rsidP="00F0049A">
      <w:pPr>
        <w:pStyle w:val="DHHSfigurecaption"/>
      </w:pPr>
      <w:bookmarkStart w:id="1028" w:name="_Toc27414395"/>
      <w:r w:rsidRPr="002E0FDC">
        <w:t>Figure 17.2.1</w:t>
      </w:r>
      <w:r w:rsidR="00702BEF">
        <w:t>:</w:t>
      </w:r>
      <w:r w:rsidRPr="002E0FDC">
        <w:t xml:space="preserve"> Proportion of </w:t>
      </w:r>
      <w:r w:rsidR="002E0FDC" w:rsidRPr="002E0FDC">
        <w:t>recruiting cancer intervention clinical trials in Victoria, stratified by tumour stream by year, 2014</w:t>
      </w:r>
      <w:r w:rsidR="00702BEF">
        <w:t>–</w:t>
      </w:r>
      <w:r w:rsidR="002E0FDC" w:rsidRPr="002E0FDC">
        <w:t>2017</w:t>
      </w:r>
      <w:bookmarkEnd w:id="1028"/>
    </w:p>
    <w:p w14:paraId="748B4774" w14:textId="3268CE9A" w:rsidR="005E19C8" w:rsidRPr="00F0049A" w:rsidRDefault="00144774" w:rsidP="00F0049A">
      <w:pPr>
        <w:pStyle w:val="DHHSbody"/>
        <w:rPr>
          <w:b/>
          <w:lang w:eastAsia="en-AU"/>
        </w:rPr>
      </w:pPr>
      <w:r>
        <w:rPr>
          <w:noProof/>
        </w:rPr>
        <w:drawing>
          <wp:inline distT="0" distB="0" distL="0" distR="0" wp14:anchorId="504B6FE7" wp14:editId="35B5AED3">
            <wp:extent cx="6686550" cy="32956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693560" cy="3299105"/>
                    </a:xfrm>
                    <a:prstGeom prst="rect">
                      <a:avLst/>
                    </a:prstGeom>
                  </pic:spPr>
                </pic:pic>
              </a:graphicData>
            </a:graphic>
          </wp:inline>
        </w:drawing>
      </w:r>
    </w:p>
    <w:p w14:paraId="088A0FF3" w14:textId="4F0F5C0C" w:rsidR="00AC41FE" w:rsidRPr="00E60DAD" w:rsidRDefault="005E19C8" w:rsidP="00E60DAD">
      <w:pPr>
        <w:autoSpaceDE w:val="0"/>
        <w:autoSpaceDN w:val="0"/>
        <w:adjustRightInd w:val="0"/>
        <w:rPr>
          <w:rFonts w:ascii="Arial" w:hAnsi="Arial" w:cs="Arial"/>
          <w:i/>
          <w:sz w:val="18"/>
          <w:szCs w:val="18"/>
        </w:rPr>
      </w:pPr>
      <w:r>
        <w:rPr>
          <w:rFonts w:ascii="Arial" w:hAnsi="Arial" w:cs="Arial"/>
          <w:i/>
          <w:color w:val="000000"/>
          <w:sz w:val="18"/>
          <w:szCs w:val="18"/>
        </w:rPr>
        <w:t>Note: Appendix 2 provides the dataset</w:t>
      </w:r>
      <w:r w:rsidR="00DC2D82">
        <w:rPr>
          <w:rFonts w:ascii="Arial" w:hAnsi="Arial" w:cs="Arial"/>
          <w:i/>
          <w:color w:val="000000"/>
          <w:sz w:val="18"/>
          <w:szCs w:val="18"/>
        </w:rPr>
        <w:t>.</w:t>
      </w:r>
      <w:r w:rsidR="00AC41FE">
        <w:br w:type="page"/>
      </w:r>
    </w:p>
    <w:p w14:paraId="2B548325" w14:textId="6E0E9FDC" w:rsidR="00396706" w:rsidRPr="00671C7A" w:rsidRDefault="00396706" w:rsidP="00396706">
      <w:pPr>
        <w:pStyle w:val="Heading4"/>
        <w:rPr>
          <w:lang w:eastAsia="en-AU"/>
        </w:rPr>
      </w:pPr>
      <w:r>
        <w:rPr>
          <w:lang w:eastAsia="en-AU"/>
        </w:rPr>
        <w:lastRenderedPageBreak/>
        <w:t>Measure assessment</w:t>
      </w:r>
    </w:p>
    <w:p w14:paraId="6437E1E7" w14:textId="7D41115E" w:rsidR="00396706" w:rsidRPr="00061321" w:rsidRDefault="00396706" w:rsidP="00F06CB2">
      <w:pPr>
        <w:spacing w:after="120" w:line="270" w:lineRule="atLeast"/>
        <w:rPr>
          <w:rFonts w:ascii="Arial" w:hAnsi="Arial" w:cs="Arial"/>
          <w:color w:val="00B050"/>
        </w:rPr>
      </w:pPr>
      <w:r>
        <w:rPr>
          <w:rFonts w:ascii="Arial" w:hAnsi="Arial" w:cs="Arial"/>
        </w:rPr>
        <w:t xml:space="preserve">Traffic light rating: </w:t>
      </w:r>
      <w:r w:rsidRPr="00061321">
        <w:rPr>
          <w:rFonts w:ascii="Arial" w:hAnsi="Arial" w:cs="Arial"/>
          <w:b/>
          <w:color w:val="007B4B"/>
        </w:rPr>
        <w:t>Green</w:t>
      </w:r>
      <w:r w:rsidR="00061321">
        <w:rPr>
          <w:rFonts w:ascii="Arial" w:hAnsi="Arial" w:cs="Arial"/>
          <w:color w:val="007B4B"/>
        </w:rPr>
        <w:t xml:space="preserve"> (satisfactory result)</w:t>
      </w:r>
    </w:p>
    <w:p w14:paraId="4EE2555A" w14:textId="77777777" w:rsidR="00396706" w:rsidRPr="00CA59E0" w:rsidRDefault="00396706" w:rsidP="00F06CB2">
      <w:pPr>
        <w:spacing w:after="120" w:line="270" w:lineRule="atLeast"/>
        <w:rPr>
          <w:rFonts w:ascii="Arial" w:hAnsi="Arial" w:cs="Arial"/>
        </w:rPr>
      </w:pPr>
      <w:r w:rsidRPr="00CA59E0">
        <w:rPr>
          <w:rFonts w:ascii="Arial" w:hAnsi="Arial" w:cs="Arial"/>
        </w:rPr>
        <w:t>Overall trend: Moving in the right direction</w:t>
      </w:r>
    </w:p>
    <w:p w14:paraId="7D308670" w14:textId="527A5802" w:rsidR="00BD7B52" w:rsidRDefault="008D5224" w:rsidP="007C0D11">
      <w:pPr>
        <w:spacing w:after="120" w:line="270" w:lineRule="atLeast"/>
        <w:rPr>
          <w:rFonts w:ascii="Arial" w:hAnsi="Arial" w:cs="Arial"/>
        </w:rPr>
      </w:pPr>
      <w:r w:rsidRPr="00CA59E0">
        <w:rPr>
          <w:rFonts w:ascii="Arial" w:hAnsi="Arial" w:cs="Arial"/>
        </w:rPr>
        <w:t xml:space="preserve">Commentary: </w:t>
      </w:r>
      <w:r w:rsidR="00FF539B" w:rsidRPr="00CA59E0">
        <w:rPr>
          <w:rStyle w:val="Emphasis"/>
          <w:rFonts w:ascii="Arial" w:hAnsi="Arial" w:cs="Arial"/>
          <w:b w:val="0"/>
        </w:rPr>
        <w:t>Clinical trials</w:t>
      </w:r>
      <w:r w:rsidR="00FF539B" w:rsidRPr="00CA59E0">
        <w:rPr>
          <w:rStyle w:val="st1"/>
          <w:rFonts w:ascii="Arial" w:hAnsi="Arial" w:cs="Arial"/>
        </w:rPr>
        <w:t xml:space="preserve"> are studies that explore the impact of new or existing approaches to health care. </w:t>
      </w:r>
      <w:r w:rsidR="00FF539B" w:rsidRPr="00CA59E0">
        <w:rPr>
          <w:rFonts w:ascii="Arial" w:hAnsi="Arial" w:cs="Arial"/>
          <w:lang w:val="en-GB"/>
        </w:rPr>
        <w:t>Such trials are voluntary, are governed by strict rules and ethics</w:t>
      </w:r>
      <w:r w:rsidR="00E62F2B">
        <w:rPr>
          <w:rFonts w:ascii="Arial" w:hAnsi="Arial" w:cs="Arial"/>
          <w:lang w:val="en-GB"/>
        </w:rPr>
        <w:t>,</w:t>
      </w:r>
      <w:r w:rsidR="00FF539B" w:rsidRPr="00CA59E0">
        <w:rPr>
          <w:rFonts w:ascii="Arial" w:hAnsi="Arial" w:cs="Arial"/>
          <w:lang w:val="en-GB"/>
        </w:rPr>
        <w:t xml:space="preserve"> and are regarded as an important way to improve treatment for people with cancer</w:t>
      </w:r>
      <w:r w:rsidR="00E62F2B">
        <w:rPr>
          <w:rFonts w:ascii="Arial" w:hAnsi="Arial" w:cs="Arial"/>
          <w:lang w:val="en-GB"/>
        </w:rPr>
        <w:t>. They are</w:t>
      </w:r>
      <w:r w:rsidR="00FF539B" w:rsidRPr="00CA59E0">
        <w:rPr>
          <w:rFonts w:ascii="Arial" w:hAnsi="Arial" w:cs="Arial"/>
          <w:lang w:val="en-GB"/>
        </w:rPr>
        <w:t xml:space="preserve"> the only way to thoroughly evaluate the effects of a clinical intervention</w:t>
      </w:r>
      <w:r w:rsidR="005301DF" w:rsidRPr="00CA59E0">
        <w:rPr>
          <w:rFonts w:ascii="Arial" w:hAnsi="Arial" w:cs="Arial"/>
          <w:lang w:val="en-GB"/>
        </w:rPr>
        <w:t>.</w:t>
      </w:r>
      <w:r w:rsidR="00867E55" w:rsidRPr="00CA59E0">
        <w:rPr>
          <w:rFonts w:ascii="Arial" w:hAnsi="Arial" w:cs="Arial"/>
        </w:rPr>
        <w:t xml:space="preserve"> </w:t>
      </w:r>
      <w:r w:rsidR="00E00DB9">
        <w:rPr>
          <w:rFonts w:ascii="Arial" w:hAnsi="Arial" w:cs="Arial"/>
        </w:rPr>
        <w:t>Figure 17.2 shows that</w:t>
      </w:r>
      <w:r w:rsidR="00E62F2B">
        <w:rPr>
          <w:rFonts w:ascii="Arial" w:hAnsi="Arial" w:cs="Arial"/>
        </w:rPr>
        <w:t>,</w:t>
      </w:r>
      <w:r w:rsidR="00E00DB9">
        <w:rPr>
          <w:rFonts w:ascii="Arial" w:hAnsi="Arial" w:cs="Arial"/>
        </w:rPr>
        <w:t xml:space="preserve"> overall</w:t>
      </w:r>
      <w:r w:rsidR="00E62F2B">
        <w:rPr>
          <w:rFonts w:ascii="Arial" w:hAnsi="Arial" w:cs="Arial"/>
        </w:rPr>
        <w:t>,</w:t>
      </w:r>
      <w:r w:rsidR="00E00DB9">
        <w:rPr>
          <w:rFonts w:ascii="Arial" w:hAnsi="Arial" w:cs="Arial"/>
        </w:rPr>
        <w:t xml:space="preserve"> the </w:t>
      </w:r>
      <w:r w:rsidR="008302CD">
        <w:rPr>
          <w:rFonts w:ascii="Arial" w:hAnsi="Arial" w:cs="Arial"/>
        </w:rPr>
        <w:t>number of recruiting cancer intervention trials between 2014 and 2017 fluctuated but did not increase with time. However</w:t>
      </w:r>
      <w:r w:rsidR="007759BB">
        <w:rPr>
          <w:rFonts w:ascii="Arial" w:hAnsi="Arial" w:cs="Arial"/>
        </w:rPr>
        <w:t>,</w:t>
      </w:r>
      <w:r w:rsidR="008302CD">
        <w:rPr>
          <w:rFonts w:ascii="Arial" w:hAnsi="Arial" w:cs="Arial"/>
        </w:rPr>
        <w:t xml:space="preserve"> this trend did not remain consistent when </w:t>
      </w:r>
      <w:r w:rsidR="00E62F2B">
        <w:rPr>
          <w:rFonts w:ascii="Arial" w:hAnsi="Arial" w:cs="Arial"/>
        </w:rPr>
        <w:t xml:space="preserve">broken down </w:t>
      </w:r>
      <w:r w:rsidR="008302CD">
        <w:rPr>
          <w:rFonts w:ascii="Arial" w:hAnsi="Arial" w:cs="Arial"/>
        </w:rPr>
        <w:t>by metropolitan and rural populations (Table 17.2</w:t>
      </w:r>
      <w:r w:rsidR="005E19C8">
        <w:rPr>
          <w:rFonts w:ascii="Arial" w:hAnsi="Arial" w:cs="Arial"/>
        </w:rPr>
        <w:t>, Appendix 2</w:t>
      </w:r>
      <w:r w:rsidR="008302CD">
        <w:rPr>
          <w:rFonts w:ascii="Arial" w:hAnsi="Arial" w:cs="Arial"/>
        </w:rPr>
        <w:t>)</w:t>
      </w:r>
      <w:r w:rsidR="007759BB">
        <w:rPr>
          <w:rFonts w:ascii="Arial" w:hAnsi="Arial" w:cs="Arial"/>
        </w:rPr>
        <w:t xml:space="preserve"> </w:t>
      </w:r>
      <w:r w:rsidR="00E62F2B">
        <w:rPr>
          <w:rFonts w:ascii="Arial" w:hAnsi="Arial" w:cs="Arial"/>
        </w:rPr>
        <w:t xml:space="preserve">because </w:t>
      </w:r>
      <w:r w:rsidR="007759BB">
        <w:rPr>
          <w:rFonts w:ascii="Arial" w:hAnsi="Arial" w:cs="Arial"/>
        </w:rPr>
        <w:t xml:space="preserve">the proportion of rural </w:t>
      </w:r>
      <w:r w:rsidR="000C2D93">
        <w:rPr>
          <w:rFonts w:ascii="Arial" w:hAnsi="Arial" w:cs="Arial"/>
        </w:rPr>
        <w:t>recruiting cancer intervention trials, relative to metropolitan trials, has increased slightly over time, reaching 9.3 per cent in 2017.</w:t>
      </w:r>
    </w:p>
    <w:p w14:paraId="765955C9" w14:textId="65490F14" w:rsidR="00BD7B52" w:rsidRDefault="0099247B" w:rsidP="007C0D11">
      <w:pPr>
        <w:spacing w:after="120" w:line="270" w:lineRule="atLeast"/>
        <w:rPr>
          <w:rFonts w:ascii="Arial" w:hAnsi="Arial" w:cs="Arial"/>
        </w:rPr>
      </w:pPr>
      <w:r>
        <w:rPr>
          <w:rFonts w:ascii="Arial" w:hAnsi="Arial" w:cs="Arial"/>
        </w:rPr>
        <w:t>O</w:t>
      </w:r>
      <w:r w:rsidR="00BD7B52">
        <w:rPr>
          <w:rFonts w:ascii="Arial" w:hAnsi="Arial" w:cs="Arial"/>
        </w:rPr>
        <w:t xml:space="preserve">verall the number of recruiting cancer intervention trials at sites with </w:t>
      </w:r>
      <w:r>
        <w:rPr>
          <w:rFonts w:ascii="Arial" w:hAnsi="Arial" w:cs="Arial"/>
        </w:rPr>
        <w:t>metropolitan</w:t>
      </w:r>
      <w:r w:rsidR="00BD7B52">
        <w:rPr>
          <w:rFonts w:ascii="Arial" w:hAnsi="Arial" w:cs="Arial"/>
        </w:rPr>
        <w:t xml:space="preserve"> ICS was higher than the number of recruitments in </w:t>
      </w:r>
      <w:r>
        <w:rPr>
          <w:rFonts w:ascii="Arial" w:hAnsi="Arial" w:cs="Arial"/>
        </w:rPr>
        <w:t>rural and regional ICS (Table 17.2</w:t>
      </w:r>
      <w:r w:rsidR="005E19C8">
        <w:rPr>
          <w:rFonts w:ascii="Arial" w:hAnsi="Arial" w:cs="Arial"/>
        </w:rPr>
        <w:t>, Appendix 2</w:t>
      </w:r>
      <w:r>
        <w:rPr>
          <w:rFonts w:ascii="Arial" w:hAnsi="Arial" w:cs="Arial"/>
        </w:rPr>
        <w:t>)</w:t>
      </w:r>
      <w:r w:rsidR="00CD74BA">
        <w:rPr>
          <w:rFonts w:ascii="Arial" w:hAnsi="Arial" w:cs="Arial"/>
        </w:rPr>
        <w:t>.</w:t>
      </w:r>
      <w:r>
        <w:rPr>
          <w:rFonts w:ascii="Arial" w:hAnsi="Arial" w:cs="Arial"/>
        </w:rPr>
        <w:t xml:space="preserve"> The highest number of new recruiting cancer intervention trials was reported by WCMICS, which reported 676 </w:t>
      </w:r>
      <w:r w:rsidR="00623175">
        <w:rPr>
          <w:rFonts w:ascii="Arial" w:hAnsi="Arial" w:cs="Arial"/>
        </w:rPr>
        <w:t xml:space="preserve">trials </w:t>
      </w:r>
      <w:r>
        <w:rPr>
          <w:rFonts w:ascii="Arial" w:hAnsi="Arial" w:cs="Arial"/>
        </w:rPr>
        <w:t xml:space="preserve">between 2014 and 2017. </w:t>
      </w:r>
      <w:r w:rsidR="00CD74BA">
        <w:rPr>
          <w:rFonts w:ascii="Arial" w:hAnsi="Arial" w:cs="Arial"/>
        </w:rPr>
        <w:t xml:space="preserve">LMICS </w:t>
      </w:r>
      <w:r w:rsidR="00302334">
        <w:rPr>
          <w:rFonts w:ascii="Arial" w:hAnsi="Arial" w:cs="Arial"/>
        </w:rPr>
        <w:t>had the lowest number of new recruiting cancer intervention trials (14) over the four-year period. On the other hand, as with Measure 17.1, GRICS also reported no clinical trial activity in the analysis period.</w:t>
      </w:r>
    </w:p>
    <w:p w14:paraId="7266405E" w14:textId="3F16D7F1" w:rsidR="00F06CB2" w:rsidRDefault="00D63A84" w:rsidP="007C0D11">
      <w:pPr>
        <w:spacing w:after="120" w:line="270" w:lineRule="atLeast"/>
        <w:rPr>
          <w:rFonts w:ascii="Arial" w:hAnsi="Arial" w:cs="Arial"/>
        </w:rPr>
      </w:pPr>
      <w:r>
        <w:rPr>
          <w:rFonts w:ascii="Arial" w:hAnsi="Arial" w:cs="Arial"/>
        </w:rPr>
        <w:t xml:space="preserve">Like </w:t>
      </w:r>
      <w:r w:rsidR="00D42BC5">
        <w:rPr>
          <w:rFonts w:ascii="Arial" w:hAnsi="Arial" w:cs="Arial"/>
        </w:rPr>
        <w:t>Measure 17.1, blood</w:t>
      </w:r>
      <w:r>
        <w:rPr>
          <w:rFonts w:ascii="Arial" w:hAnsi="Arial" w:cs="Arial"/>
        </w:rPr>
        <w:t xml:space="preserve"> cancers had the highest </w:t>
      </w:r>
      <w:r w:rsidR="00853962">
        <w:rPr>
          <w:rFonts w:ascii="Arial" w:hAnsi="Arial" w:cs="Arial"/>
        </w:rPr>
        <w:t>proportion</w:t>
      </w:r>
      <w:r>
        <w:rPr>
          <w:rFonts w:ascii="Arial" w:hAnsi="Arial" w:cs="Arial"/>
        </w:rPr>
        <w:t xml:space="preserve"> of recruiting cancer intervention trials in each reporting period (37</w:t>
      </w:r>
      <w:r w:rsidR="00AF55E6">
        <w:rPr>
          <w:rFonts w:ascii="Arial" w:hAnsi="Arial" w:cs="Arial"/>
        </w:rPr>
        <w:t>5</w:t>
      </w:r>
      <w:r>
        <w:rPr>
          <w:rFonts w:ascii="Arial" w:hAnsi="Arial" w:cs="Arial"/>
        </w:rPr>
        <w:t>)</w:t>
      </w:r>
      <w:r w:rsidR="00853962">
        <w:rPr>
          <w:rFonts w:ascii="Arial" w:hAnsi="Arial" w:cs="Arial"/>
        </w:rPr>
        <w:t xml:space="preserve"> (Figure 17.2.1)</w:t>
      </w:r>
      <w:r>
        <w:rPr>
          <w:rFonts w:ascii="Arial" w:hAnsi="Arial" w:cs="Arial"/>
        </w:rPr>
        <w:t>. This was followed by advanced</w:t>
      </w:r>
      <w:r w:rsidR="00A27622">
        <w:rPr>
          <w:rFonts w:ascii="Arial" w:hAnsi="Arial" w:cs="Arial"/>
        </w:rPr>
        <w:t xml:space="preserve"> multiple cancers (134) and breast (11</w:t>
      </w:r>
      <w:r w:rsidR="00AF55E6">
        <w:rPr>
          <w:rFonts w:ascii="Arial" w:hAnsi="Arial" w:cs="Arial"/>
        </w:rPr>
        <w:t>8</w:t>
      </w:r>
      <w:r w:rsidR="00A27622">
        <w:rPr>
          <w:rFonts w:ascii="Arial" w:hAnsi="Arial" w:cs="Arial"/>
        </w:rPr>
        <w:t>).</w:t>
      </w:r>
      <w:r w:rsidR="00952FC7">
        <w:rPr>
          <w:rFonts w:ascii="Arial" w:hAnsi="Arial" w:cs="Arial"/>
        </w:rPr>
        <w:t xml:space="preserve"> </w:t>
      </w:r>
      <w:r w:rsidR="00A27622">
        <w:rPr>
          <w:rFonts w:ascii="Arial" w:hAnsi="Arial" w:cs="Arial"/>
        </w:rPr>
        <w:t xml:space="preserve">The tumour streams </w:t>
      </w:r>
      <w:r w:rsidR="00E62F2B">
        <w:rPr>
          <w:rFonts w:ascii="Arial" w:hAnsi="Arial" w:cs="Arial"/>
        </w:rPr>
        <w:t xml:space="preserve">that </w:t>
      </w:r>
      <w:r w:rsidR="00A27622">
        <w:rPr>
          <w:rFonts w:ascii="Arial" w:hAnsi="Arial" w:cs="Arial"/>
        </w:rPr>
        <w:t xml:space="preserve">attracted the </w:t>
      </w:r>
      <w:r w:rsidR="00E62F2B">
        <w:rPr>
          <w:rFonts w:ascii="Arial" w:hAnsi="Arial" w:cs="Arial"/>
        </w:rPr>
        <w:t>fewest</w:t>
      </w:r>
      <w:r w:rsidR="00A27622">
        <w:rPr>
          <w:rFonts w:ascii="Arial" w:hAnsi="Arial" w:cs="Arial"/>
        </w:rPr>
        <w:t xml:space="preserve"> recruiting cancer intervention trials in the same period were sarcoma (10) and head and neck (21) cancers</w:t>
      </w:r>
      <w:r w:rsidR="00735D4F">
        <w:rPr>
          <w:rFonts w:ascii="Arial" w:hAnsi="Arial" w:cs="Arial"/>
        </w:rPr>
        <w:t xml:space="preserve"> (Table </w:t>
      </w:r>
      <w:r w:rsidR="00853962">
        <w:rPr>
          <w:rFonts w:ascii="Arial" w:hAnsi="Arial" w:cs="Arial"/>
        </w:rPr>
        <w:t>17.2</w:t>
      </w:r>
      <w:r w:rsidR="005E19C8">
        <w:rPr>
          <w:rFonts w:ascii="Arial" w:hAnsi="Arial" w:cs="Arial"/>
        </w:rPr>
        <w:t>, Appendix 2</w:t>
      </w:r>
      <w:r w:rsidR="00853962">
        <w:rPr>
          <w:rFonts w:ascii="Arial" w:hAnsi="Arial" w:cs="Arial"/>
        </w:rPr>
        <w:t>)</w:t>
      </w:r>
      <w:r w:rsidR="007144DE">
        <w:rPr>
          <w:rFonts w:ascii="Arial" w:hAnsi="Arial" w:cs="Arial"/>
        </w:rPr>
        <w:t>.</w:t>
      </w:r>
      <w:r w:rsidR="00A27622">
        <w:rPr>
          <w:rFonts w:ascii="Arial" w:hAnsi="Arial" w:cs="Arial"/>
        </w:rPr>
        <w:t xml:space="preserve"> </w:t>
      </w:r>
    </w:p>
    <w:p w14:paraId="74ABE281" w14:textId="77777777" w:rsidR="0092202A" w:rsidRDefault="008816DB" w:rsidP="00D855B1">
      <w:pPr>
        <w:pStyle w:val="DHHSbody"/>
        <w:rPr>
          <w:rStyle w:val="Emphasis"/>
          <w:rFonts w:cs="Arial"/>
          <w:b w:val="0"/>
        </w:rPr>
      </w:pPr>
      <w:r w:rsidRPr="00853962">
        <w:rPr>
          <w:rStyle w:val="Emphasis"/>
          <w:rFonts w:cs="Arial"/>
          <w:b w:val="0"/>
        </w:rPr>
        <w:t>No target has been set for this measure</w:t>
      </w:r>
      <w:r w:rsidR="00B40166">
        <w:rPr>
          <w:rStyle w:val="Emphasis"/>
          <w:rFonts w:cs="Arial"/>
          <w:b w:val="0"/>
        </w:rPr>
        <w:t>;</w:t>
      </w:r>
      <w:r w:rsidRPr="00853962">
        <w:rPr>
          <w:rStyle w:val="Emphasis"/>
          <w:rFonts w:cs="Arial"/>
          <w:b w:val="0"/>
        </w:rPr>
        <w:t xml:space="preserve"> </w:t>
      </w:r>
      <w:r w:rsidR="00362517">
        <w:rPr>
          <w:rStyle w:val="Emphasis"/>
          <w:rFonts w:cs="Arial"/>
          <w:b w:val="0"/>
        </w:rPr>
        <w:t>however</w:t>
      </w:r>
      <w:r w:rsidR="00B40166">
        <w:rPr>
          <w:rStyle w:val="Emphasis"/>
          <w:rFonts w:cs="Arial"/>
          <w:b w:val="0"/>
        </w:rPr>
        <w:t>,</w:t>
      </w:r>
      <w:r w:rsidR="00362517">
        <w:rPr>
          <w:rStyle w:val="Emphasis"/>
          <w:rFonts w:cs="Arial"/>
          <w:b w:val="0"/>
        </w:rPr>
        <w:t xml:space="preserve"> </w:t>
      </w:r>
      <w:r w:rsidR="00AD2570" w:rsidRPr="00853962">
        <w:rPr>
          <w:rStyle w:val="Emphasis"/>
          <w:rFonts w:cs="Arial"/>
          <w:b w:val="0"/>
        </w:rPr>
        <w:t>increasing the number of cancer intervention trials in Victoria will mean individual patients will have more treatment choices in the future.</w:t>
      </w:r>
    </w:p>
    <w:p w14:paraId="624BC4B6" w14:textId="77777777" w:rsidR="0092202A" w:rsidRDefault="0092202A">
      <w:pPr>
        <w:rPr>
          <w:rStyle w:val="Emphasis"/>
          <w:rFonts w:ascii="Arial" w:eastAsia="Times" w:hAnsi="Arial" w:cs="Arial"/>
          <w:b w:val="0"/>
          <w:lang w:eastAsia="en-US"/>
        </w:rPr>
      </w:pPr>
      <w:r>
        <w:rPr>
          <w:rStyle w:val="Emphasis"/>
          <w:rFonts w:cs="Arial"/>
          <w:b w:val="0"/>
        </w:rPr>
        <w:br w:type="page"/>
      </w:r>
    </w:p>
    <w:p w14:paraId="76C96497" w14:textId="011D7630" w:rsidR="0033125E" w:rsidRPr="0092202A" w:rsidRDefault="00D36332" w:rsidP="0092202A">
      <w:pPr>
        <w:pStyle w:val="Heading3"/>
        <w:rPr>
          <w:rStyle w:val="Heading3Char"/>
          <w:b/>
          <w:bCs/>
        </w:rPr>
      </w:pPr>
      <w:bookmarkStart w:id="1029" w:name="_Measure_17.3_–"/>
      <w:bookmarkEnd w:id="1029"/>
      <w:r w:rsidRPr="0092202A">
        <w:rPr>
          <w:rStyle w:val="Heading3Char"/>
          <w:b/>
          <w:bCs/>
        </w:rPr>
        <w:lastRenderedPageBreak/>
        <w:t>Measure 17.3 –</w:t>
      </w:r>
      <w:r w:rsidR="0040490E" w:rsidRPr="0092202A">
        <w:rPr>
          <w:rStyle w:val="Heading3Char"/>
          <w:b/>
          <w:bCs/>
        </w:rPr>
        <w:t xml:space="preserve"> Number of human research ethics committee approved cancer-related studies</w:t>
      </w:r>
    </w:p>
    <w:p w14:paraId="2724F4E9" w14:textId="4A8DC475" w:rsidR="00B44B18" w:rsidRPr="00B44B18" w:rsidRDefault="00B44B18" w:rsidP="00CF654D">
      <w:pPr>
        <w:pStyle w:val="DHHSfigurecaption"/>
      </w:pPr>
      <w:bookmarkStart w:id="1030" w:name="_Toc19008220"/>
      <w:bookmarkStart w:id="1031" w:name="_Toc19008393"/>
      <w:bookmarkStart w:id="1032" w:name="_Toc19008540"/>
      <w:bookmarkStart w:id="1033" w:name="_Toc19008687"/>
      <w:bookmarkStart w:id="1034" w:name="_Toc27414396"/>
      <w:r w:rsidRPr="00B44B18">
        <w:t>Figure 17.3</w:t>
      </w:r>
      <w:r w:rsidR="00702BEF">
        <w:t>:</w:t>
      </w:r>
      <w:r w:rsidRPr="00B44B18">
        <w:t xml:space="preserve"> Number of </w:t>
      </w:r>
      <w:r w:rsidR="00B94F5F">
        <w:t>h</w:t>
      </w:r>
      <w:r w:rsidRPr="00B44B18">
        <w:t xml:space="preserve">uman </w:t>
      </w:r>
      <w:r w:rsidR="00B94F5F">
        <w:t>r</w:t>
      </w:r>
      <w:r w:rsidRPr="00B44B18">
        <w:t xml:space="preserve">esearch </w:t>
      </w:r>
      <w:r w:rsidR="00B94F5F">
        <w:t>e</w:t>
      </w:r>
      <w:r w:rsidRPr="00B44B18">
        <w:t xml:space="preserve">thics </w:t>
      </w:r>
      <w:r w:rsidR="00B94F5F">
        <w:t>c</w:t>
      </w:r>
      <w:r w:rsidRPr="00B44B18">
        <w:t xml:space="preserve">ommittee </w:t>
      </w:r>
      <w:r w:rsidR="00B94F5F">
        <w:t>a</w:t>
      </w:r>
      <w:r w:rsidRPr="00B44B18">
        <w:t xml:space="preserve">pproved </w:t>
      </w:r>
      <w:r w:rsidR="00B94F5F">
        <w:t>c</w:t>
      </w:r>
      <w:r w:rsidRPr="00B44B18">
        <w:t>ancer-</w:t>
      </w:r>
      <w:r w:rsidR="00B94F5F">
        <w:t>r</w:t>
      </w:r>
      <w:r w:rsidRPr="00B44B18">
        <w:t xml:space="preserve">elated </w:t>
      </w:r>
      <w:r w:rsidR="00B94F5F">
        <w:t>s</w:t>
      </w:r>
      <w:r w:rsidRPr="00B44B18">
        <w:t>tudies</w:t>
      </w:r>
      <w:r w:rsidR="00402917">
        <w:t>,</w:t>
      </w:r>
      <w:r w:rsidR="004E2E13">
        <w:t xml:space="preserve"> by year,</w:t>
      </w:r>
      <w:r w:rsidR="008E7B2E">
        <w:t xml:space="preserve"> 2014</w:t>
      </w:r>
      <w:r w:rsidR="00702BEF">
        <w:t>–</w:t>
      </w:r>
      <w:r w:rsidR="008E7B2E">
        <w:t>201</w:t>
      </w:r>
      <w:r w:rsidR="00B94F5F">
        <w:t>8</w:t>
      </w:r>
      <w:bookmarkEnd w:id="1030"/>
      <w:bookmarkEnd w:id="1031"/>
      <w:bookmarkEnd w:id="1032"/>
      <w:bookmarkEnd w:id="1033"/>
      <w:bookmarkEnd w:id="1034"/>
    </w:p>
    <w:p w14:paraId="0A871518" w14:textId="7B4CFFC1" w:rsidR="005B5B95" w:rsidRDefault="00F534F5" w:rsidP="003667E8">
      <w:pPr>
        <w:pStyle w:val="DHHSbody"/>
        <w:rPr>
          <w:noProof/>
        </w:rPr>
      </w:pPr>
      <w:r>
        <w:rPr>
          <w:noProof/>
        </w:rPr>
        <w:drawing>
          <wp:inline distT="0" distB="0" distL="0" distR="0" wp14:anchorId="7EF85A59" wp14:editId="65C1BF34">
            <wp:extent cx="6669405" cy="3456940"/>
            <wp:effectExtent l="0" t="0" r="0" b="0"/>
            <wp:docPr id="32" name="Picture 32" descr="This figure presents data on the number of human research ethics committee approved cancer-related studies from 2014 to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669405" cy="3456940"/>
                    </a:xfrm>
                    <a:prstGeom prst="rect">
                      <a:avLst/>
                    </a:prstGeom>
                    <a:noFill/>
                  </pic:spPr>
                </pic:pic>
              </a:graphicData>
            </a:graphic>
          </wp:inline>
        </w:drawing>
      </w:r>
    </w:p>
    <w:p w14:paraId="7B40EC71" w14:textId="2682C9C7" w:rsidR="005B5B95" w:rsidRDefault="005B5B95" w:rsidP="005B5B95">
      <w:pPr>
        <w:pStyle w:val="DHHStablefigurenote"/>
      </w:pPr>
      <w:r w:rsidRPr="00EC4E77">
        <w:t xml:space="preserve">Source: </w:t>
      </w:r>
      <w:r>
        <w:t xml:space="preserve">Department of Health and Human Services </w:t>
      </w:r>
      <w:r w:rsidR="00FA1181">
        <w:t>Coordinating Office for Clinical Trial Research</w:t>
      </w:r>
    </w:p>
    <w:p w14:paraId="0283B063" w14:textId="58259CA3" w:rsidR="00FA1181" w:rsidRDefault="00FA1181" w:rsidP="005B5B95">
      <w:pPr>
        <w:pStyle w:val="DHHStablefigurenote"/>
      </w:pPr>
      <w:r>
        <w:t>Note: The data reported in Figure 17.3 above includes</w:t>
      </w:r>
      <w:r w:rsidR="00850019">
        <w:t xml:space="preserve"> cancer-related</w:t>
      </w:r>
      <w:r>
        <w:t xml:space="preserve"> clinical research (non-trials) and clinical trials</w:t>
      </w:r>
    </w:p>
    <w:p w14:paraId="1880CE7C" w14:textId="219920AB" w:rsidR="00F25584" w:rsidRDefault="00F25584" w:rsidP="003667E8">
      <w:pPr>
        <w:pStyle w:val="DHHSbody"/>
        <w:rPr>
          <w:lang w:eastAsia="en-AU"/>
        </w:rPr>
      </w:pPr>
      <w:r w:rsidRPr="003E68C0">
        <w:rPr>
          <w:rStyle w:val="Heading4Char"/>
        </w:rPr>
        <w:t>Measure assessment</w:t>
      </w:r>
    </w:p>
    <w:p w14:paraId="20745738" w14:textId="48B6E5B3" w:rsidR="00F25584" w:rsidRPr="002321D7" w:rsidRDefault="00F25584" w:rsidP="002321D7">
      <w:pPr>
        <w:autoSpaceDE w:val="0"/>
        <w:autoSpaceDN w:val="0"/>
        <w:adjustRightInd w:val="0"/>
        <w:spacing w:after="120" w:line="270" w:lineRule="atLeast"/>
        <w:rPr>
          <w:rFonts w:ascii="Arial" w:hAnsi="Arial" w:cs="Arial"/>
          <w:b/>
        </w:rPr>
      </w:pPr>
      <w:r w:rsidRPr="009F01B1">
        <w:rPr>
          <w:rFonts w:ascii="Arial" w:hAnsi="Arial" w:cs="Arial"/>
        </w:rPr>
        <w:t xml:space="preserve">Traffic light rating: </w:t>
      </w:r>
      <w:r w:rsidR="002321D7" w:rsidRPr="006537FE">
        <w:rPr>
          <w:rFonts w:ascii="Arial" w:hAnsi="Arial" w:cs="Arial"/>
          <w:b/>
          <w:color w:val="C5511A"/>
        </w:rPr>
        <w:t>Amber</w:t>
      </w:r>
      <w:r w:rsidR="002321D7">
        <w:rPr>
          <w:rFonts w:ascii="Arial" w:hAnsi="Arial" w:cs="Arial"/>
          <w:b/>
          <w:color w:val="C5511A"/>
        </w:rPr>
        <w:t xml:space="preserve"> </w:t>
      </w:r>
      <w:r w:rsidR="002321D7" w:rsidRPr="00EA3932">
        <w:rPr>
          <w:rFonts w:ascii="Arial" w:hAnsi="Arial" w:cs="Arial"/>
          <w:color w:val="C5511A"/>
        </w:rPr>
        <w:t>(desired result not yet evident)</w:t>
      </w:r>
    </w:p>
    <w:p w14:paraId="5BE4332F" w14:textId="7CCFBDF2" w:rsidR="00F25584" w:rsidRDefault="00F25584" w:rsidP="002321D7">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xml:space="preserve">: </w:t>
      </w:r>
      <w:r w:rsidR="002309DC">
        <w:rPr>
          <w:rFonts w:ascii="Arial" w:hAnsi="Arial" w:cs="Arial"/>
        </w:rPr>
        <w:t>Difficult</w:t>
      </w:r>
      <w:r>
        <w:rPr>
          <w:rFonts w:ascii="Arial" w:hAnsi="Arial" w:cs="Arial"/>
        </w:rPr>
        <w:t xml:space="preserve"> to ra</w:t>
      </w:r>
      <w:r w:rsidR="002309DC">
        <w:rPr>
          <w:rFonts w:ascii="Arial" w:hAnsi="Arial" w:cs="Arial"/>
        </w:rPr>
        <w:t>t</w:t>
      </w:r>
      <w:r>
        <w:rPr>
          <w:rFonts w:ascii="Arial" w:hAnsi="Arial" w:cs="Arial"/>
        </w:rPr>
        <w:t xml:space="preserve">e due to </w:t>
      </w:r>
      <w:r w:rsidR="00194931">
        <w:rPr>
          <w:rFonts w:ascii="Arial" w:hAnsi="Arial" w:cs="Arial"/>
        </w:rPr>
        <w:t>a change in the system for</w:t>
      </w:r>
      <w:r w:rsidR="00E13C45">
        <w:rPr>
          <w:rFonts w:ascii="Arial" w:hAnsi="Arial" w:cs="Arial"/>
        </w:rPr>
        <w:t xml:space="preserve"> data capture</w:t>
      </w:r>
      <w:r w:rsidR="0024290B">
        <w:rPr>
          <w:rFonts w:ascii="Arial" w:hAnsi="Arial" w:cs="Arial"/>
        </w:rPr>
        <w:t xml:space="preserve"> for non-trials</w:t>
      </w:r>
      <w:r w:rsidR="00850019">
        <w:rPr>
          <w:rFonts w:ascii="Arial" w:hAnsi="Arial" w:cs="Arial"/>
        </w:rPr>
        <w:t xml:space="preserve"> in 2015</w:t>
      </w:r>
    </w:p>
    <w:p w14:paraId="5C8C7919" w14:textId="0088F8D6" w:rsidR="002309DC" w:rsidRPr="002309DC" w:rsidRDefault="00F25584" w:rsidP="002321D7">
      <w:pPr>
        <w:pStyle w:val="DHHSbody"/>
        <w:rPr>
          <w:rFonts w:cs="Arial"/>
        </w:rPr>
      </w:pPr>
      <w:r w:rsidRPr="00F829F0">
        <w:rPr>
          <w:rFonts w:cs="Arial"/>
        </w:rPr>
        <w:t>Commentary:</w:t>
      </w:r>
      <w:r w:rsidR="002309DC">
        <w:rPr>
          <w:rFonts w:cs="Arial"/>
        </w:rPr>
        <w:t xml:space="preserve"> </w:t>
      </w:r>
      <w:r w:rsidR="002309DC">
        <w:t>High-quality cancer research drives clinical practice improvements and underp</w:t>
      </w:r>
      <w:r w:rsidR="00774C43">
        <w:t xml:space="preserve">ins </w:t>
      </w:r>
      <w:r w:rsidR="002309DC">
        <w:t>the department’s efforts in prevention, detection, treatment and support</w:t>
      </w:r>
      <w:r w:rsidR="0024290B">
        <w:t xml:space="preserve"> for cancer</w:t>
      </w:r>
      <w:r w:rsidR="002309DC">
        <w:t>. Victoria’s cancer research system is supported by world-renowned medical researchers, institutes, hospitals and universities</w:t>
      </w:r>
      <w:r w:rsidR="00B55141">
        <w:t>,</w:t>
      </w:r>
      <w:r w:rsidR="002309DC">
        <w:t xml:space="preserve"> which have made great strides in improving cancer outcomes. </w:t>
      </w:r>
    </w:p>
    <w:p w14:paraId="3558A645" w14:textId="1513300C" w:rsidR="00FA1181" w:rsidRDefault="00FA1181" w:rsidP="00F25584">
      <w:pPr>
        <w:pStyle w:val="DHHSbody"/>
        <w:rPr>
          <w:rFonts w:cs="Arial"/>
        </w:rPr>
      </w:pPr>
      <w:r>
        <w:rPr>
          <w:rFonts w:cs="Arial"/>
        </w:rPr>
        <w:t>The department has supported</w:t>
      </w:r>
      <w:r w:rsidR="002309DC">
        <w:rPr>
          <w:rFonts w:cs="Arial"/>
        </w:rPr>
        <w:t xml:space="preserve"> improved </w:t>
      </w:r>
      <w:r w:rsidR="00194931">
        <w:rPr>
          <w:rFonts w:cs="Arial"/>
        </w:rPr>
        <w:t>data capture and the commencement (in 2015) of single ethics review of multi-centre health and medical research (non-trials)</w:t>
      </w:r>
      <w:r w:rsidR="00850019">
        <w:rPr>
          <w:rFonts w:cs="Arial"/>
        </w:rPr>
        <w:t>. This</w:t>
      </w:r>
      <w:r w:rsidR="00194931">
        <w:rPr>
          <w:rFonts w:cs="Arial"/>
        </w:rPr>
        <w:t xml:space="preserve"> has led to </w:t>
      </w:r>
      <w:r w:rsidR="00133980">
        <w:rPr>
          <w:rFonts w:cs="Arial"/>
        </w:rPr>
        <w:t>more</w:t>
      </w:r>
      <w:r w:rsidR="00194931">
        <w:rPr>
          <w:rFonts w:cs="Arial"/>
        </w:rPr>
        <w:t xml:space="preserve"> studies </w:t>
      </w:r>
      <w:r w:rsidR="002D21A4">
        <w:rPr>
          <w:rFonts w:cs="Arial"/>
        </w:rPr>
        <w:t xml:space="preserve">now </w:t>
      </w:r>
      <w:r w:rsidR="00194931">
        <w:rPr>
          <w:rFonts w:cs="Arial"/>
        </w:rPr>
        <w:t>captured under this measure</w:t>
      </w:r>
      <w:r w:rsidR="00133980">
        <w:rPr>
          <w:rFonts w:cs="Arial"/>
        </w:rPr>
        <w:t>,</w:t>
      </w:r>
      <w:r w:rsidR="00B26013">
        <w:rPr>
          <w:rFonts w:cs="Arial"/>
        </w:rPr>
        <w:t xml:space="preserve"> </w:t>
      </w:r>
    </w:p>
    <w:p w14:paraId="47E75622" w14:textId="15B6A74A" w:rsidR="00B26013" w:rsidRPr="00E1278E" w:rsidRDefault="00850019" w:rsidP="00E1278E">
      <w:pPr>
        <w:pStyle w:val="DHHSbody"/>
        <w:rPr>
          <w:rFonts w:cs="Arial"/>
        </w:rPr>
      </w:pPr>
      <w:r>
        <w:rPr>
          <w:rFonts w:cs="Arial"/>
        </w:rPr>
        <w:t>While no target has been set for this measure, o</w:t>
      </w:r>
      <w:r w:rsidR="00FA1181">
        <w:rPr>
          <w:rFonts w:cs="Arial"/>
        </w:rPr>
        <w:t xml:space="preserve">verall </w:t>
      </w:r>
      <w:r w:rsidR="00531FE2">
        <w:rPr>
          <w:rFonts w:cs="Arial"/>
        </w:rPr>
        <w:t xml:space="preserve">Figure 17.3 shows that </w:t>
      </w:r>
      <w:r w:rsidR="00FA1181">
        <w:rPr>
          <w:rFonts w:cs="Arial"/>
        </w:rPr>
        <w:t xml:space="preserve">there has been an increase in cancer-related research </w:t>
      </w:r>
      <w:r w:rsidR="00B26013">
        <w:rPr>
          <w:rFonts w:cs="Arial"/>
        </w:rPr>
        <w:t xml:space="preserve">although there was </w:t>
      </w:r>
      <w:r w:rsidR="00090403">
        <w:rPr>
          <w:rFonts w:cs="Arial"/>
        </w:rPr>
        <w:t xml:space="preserve">a </w:t>
      </w:r>
      <w:r w:rsidR="007144DE">
        <w:rPr>
          <w:rFonts w:cs="Arial"/>
        </w:rPr>
        <w:t>de</w:t>
      </w:r>
      <w:r w:rsidR="00090403">
        <w:rPr>
          <w:rFonts w:cs="Arial"/>
        </w:rPr>
        <w:t>crease in 2018</w:t>
      </w:r>
      <w:r w:rsidR="00E1278E">
        <w:rPr>
          <w:rFonts w:cs="Arial"/>
        </w:rPr>
        <w:t>.</w:t>
      </w:r>
      <w:r w:rsidR="00B26013">
        <w:br w:type="page"/>
      </w:r>
    </w:p>
    <w:p w14:paraId="1F379FAF" w14:textId="7B2C2766" w:rsidR="00D36332" w:rsidRDefault="00D36332" w:rsidP="00D36332">
      <w:pPr>
        <w:pStyle w:val="Heading3"/>
        <w:rPr>
          <w:lang w:eastAsia="en-AU"/>
        </w:rPr>
      </w:pPr>
      <w:bookmarkStart w:id="1035" w:name="_Measure_17.4_–"/>
      <w:bookmarkStart w:id="1036" w:name="_Toc19008221"/>
      <w:bookmarkEnd w:id="1035"/>
      <w:r>
        <w:rPr>
          <w:lang w:eastAsia="en-AU"/>
        </w:rPr>
        <w:lastRenderedPageBreak/>
        <w:t>Measure 17.4 –</w:t>
      </w:r>
      <w:r w:rsidR="00715A6C">
        <w:rPr>
          <w:lang w:eastAsia="en-AU"/>
        </w:rPr>
        <w:t xml:space="preserve"> Ratio</w:t>
      </w:r>
      <w:r w:rsidR="0040490E">
        <w:rPr>
          <w:lang w:eastAsia="en-AU"/>
        </w:rPr>
        <w:t xml:space="preserve"> of eligible patients who receive new SACT medication within 12 months of listing on the PBS </w:t>
      </w:r>
      <w:r w:rsidR="000120C4">
        <w:rPr>
          <w:lang w:eastAsia="en-AU"/>
        </w:rPr>
        <w:t xml:space="preserve">relative </w:t>
      </w:r>
      <w:r w:rsidR="0040490E">
        <w:rPr>
          <w:lang w:eastAsia="en-AU"/>
        </w:rPr>
        <w:t>to cancer incidence</w:t>
      </w:r>
      <w:bookmarkEnd w:id="1036"/>
    </w:p>
    <w:p w14:paraId="213B178F" w14:textId="1B3C84A6" w:rsidR="00B55304" w:rsidRPr="00E1278E" w:rsidRDefault="008011D2" w:rsidP="00380D79">
      <w:pPr>
        <w:pStyle w:val="DHHSbody"/>
        <w:rPr>
          <w:lang w:eastAsia="en-AU"/>
        </w:rPr>
      </w:pPr>
      <w:r w:rsidRPr="00AB0171">
        <w:rPr>
          <w:lang w:eastAsia="en-AU"/>
        </w:rPr>
        <w:t>Measure in development (see Appendix 1).</w:t>
      </w:r>
      <w:r w:rsidR="008D2DB7">
        <w:rPr>
          <w:b/>
          <w:sz w:val="24"/>
          <w:szCs w:val="24"/>
          <w:lang w:eastAsia="en-AU"/>
        </w:rPr>
        <w:br w:type="page"/>
      </w:r>
    </w:p>
    <w:p w14:paraId="2C488FBA" w14:textId="22C335B3" w:rsidR="004E2E13" w:rsidRDefault="008D2DB7" w:rsidP="0025274B">
      <w:pPr>
        <w:pStyle w:val="Heading3"/>
      </w:pPr>
      <w:bookmarkStart w:id="1037" w:name="_Measure_17.5_–"/>
      <w:bookmarkEnd w:id="1037"/>
      <w:r w:rsidRPr="008D2DB7">
        <w:lastRenderedPageBreak/>
        <w:t>Measure 17.5 – Quit ratio</w:t>
      </w:r>
      <w:r w:rsidRPr="008D2DB7">
        <w:rPr>
          <w:rFonts w:cs="Arial"/>
        </w:rPr>
        <w:t>^</w:t>
      </w:r>
      <w:r w:rsidRPr="008D2DB7">
        <w:t xml:space="preserve"> of rate of sustained ex-smokers to rate of ever smokers</w:t>
      </w:r>
    </w:p>
    <w:p w14:paraId="477F1DB7" w14:textId="0E0770AB" w:rsidR="00620090" w:rsidRDefault="00B55304" w:rsidP="00CF654D">
      <w:pPr>
        <w:pStyle w:val="DHHSfigurecaption"/>
      </w:pPr>
      <w:bookmarkStart w:id="1038" w:name="_Toc19008222"/>
      <w:bookmarkStart w:id="1039" w:name="_Toc19008394"/>
      <w:bookmarkStart w:id="1040" w:name="_Toc19008541"/>
      <w:bookmarkStart w:id="1041" w:name="_Toc19008688"/>
      <w:bookmarkStart w:id="1042" w:name="_Toc27414397"/>
      <w:r w:rsidRPr="00B55304">
        <w:t xml:space="preserve">Figure </w:t>
      </w:r>
      <w:r>
        <w:t>17.5</w:t>
      </w:r>
      <w:r w:rsidR="00702BEF">
        <w:t>:</w:t>
      </w:r>
      <w:r>
        <w:t xml:space="preserve"> Quit ratio </w:t>
      </w:r>
      <w:r w:rsidR="00620090">
        <w:t>of ever smokers</w:t>
      </w:r>
      <w:r w:rsidR="00480222">
        <w:t>,</w:t>
      </w:r>
      <w:r w:rsidR="00281D3D">
        <w:t xml:space="preserve"> by year</w:t>
      </w:r>
      <w:r w:rsidR="00DA7925">
        <w:t>, 2015</w:t>
      </w:r>
      <w:r w:rsidR="00702BEF">
        <w:t>–</w:t>
      </w:r>
      <w:r w:rsidR="00DA7925">
        <w:t>2017</w:t>
      </w:r>
      <w:bookmarkEnd w:id="1038"/>
      <w:bookmarkEnd w:id="1039"/>
      <w:bookmarkEnd w:id="1040"/>
      <w:bookmarkEnd w:id="1041"/>
      <w:bookmarkEnd w:id="1042"/>
    </w:p>
    <w:p w14:paraId="30890ED7" w14:textId="77777777" w:rsidR="00C60CA5" w:rsidRDefault="00A06A8D" w:rsidP="00C60CA5">
      <w:pPr>
        <w:pStyle w:val="DHHSbody"/>
      </w:pPr>
      <w:r>
        <w:rPr>
          <w:noProof/>
        </w:rPr>
        <w:drawing>
          <wp:inline distT="0" distB="0" distL="0" distR="0" wp14:anchorId="30D983F3" wp14:editId="32E8E7B8">
            <wp:extent cx="6736715" cy="3023870"/>
            <wp:effectExtent l="0" t="0" r="6985" b="5080"/>
            <wp:docPr id="34" name="Picture 34" descr="This figure presents data on the quit ratio of ever smokers from 201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736715" cy="3023870"/>
                    </a:xfrm>
                    <a:prstGeom prst="rect">
                      <a:avLst/>
                    </a:prstGeom>
                    <a:noFill/>
                  </pic:spPr>
                </pic:pic>
              </a:graphicData>
            </a:graphic>
          </wp:inline>
        </w:drawing>
      </w:r>
    </w:p>
    <w:p w14:paraId="1C55EE73" w14:textId="4E79F729" w:rsidR="00FF1AD0" w:rsidRDefault="00FF1AD0" w:rsidP="00C60CA5">
      <w:pPr>
        <w:pStyle w:val="DHHStablecaption"/>
      </w:pPr>
      <w:bookmarkStart w:id="1043" w:name="_Toc27414426"/>
      <w:r>
        <w:t>Table 17.5 Quit ratio of ever smokers</w:t>
      </w:r>
      <w:r w:rsidR="00480222">
        <w:t>,</w:t>
      </w:r>
      <w:r>
        <w:t xml:space="preserve"> by year,</w:t>
      </w:r>
      <w:r w:rsidRPr="00FF1AD0">
        <w:t xml:space="preserve"> </w:t>
      </w:r>
      <w:r>
        <w:t>2015–2017</w:t>
      </w:r>
      <w:bookmarkEnd w:id="1043"/>
    </w:p>
    <w:tbl>
      <w:tblPr>
        <w:tblW w:w="10542" w:type="dxa"/>
        <w:jc w:val="center"/>
        <w:tblBorders>
          <w:bottom w:val="single" w:sz="4" w:space="0" w:color="C00000"/>
          <w:insideH w:val="single" w:sz="4" w:space="0" w:color="C00000"/>
        </w:tblBorders>
        <w:shd w:val="clear" w:color="auto" w:fill="EDCDCF"/>
        <w:tblLook w:val="04A0" w:firstRow="1" w:lastRow="0" w:firstColumn="1" w:lastColumn="0" w:noHBand="0" w:noVBand="1"/>
      </w:tblPr>
      <w:tblGrid>
        <w:gridCol w:w="3402"/>
        <w:gridCol w:w="2380"/>
        <w:gridCol w:w="2380"/>
        <w:gridCol w:w="2380"/>
      </w:tblGrid>
      <w:tr w:rsidR="002271F4" w14:paraId="2A49C83F" w14:textId="77777777" w:rsidTr="00561DBE">
        <w:trPr>
          <w:trHeight w:val="293"/>
          <w:jc w:val="center"/>
        </w:trPr>
        <w:tc>
          <w:tcPr>
            <w:tcW w:w="3402" w:type="dxa"/>
            <w:shd w:val="clear" w:color="auto" w:fill="EDCDCF"/>
            <w:vAlign w:val="center"/>
          </w:tcPr>
          <w:p w14:paraId="37A00F02" w14:textId="77777777" w:rsidR="002271F4" w:rsidRPr="00603D31" w:rsidRDefault="002271F4" w:rsidP="00F51648">
            <w:pPr>
              <w:pStyle w:val="DHHStablecolhead"/>
            </w:pPr>
            <w:r w:rsidRPr="00603D31">
              <w:t>Year</w:t>
            </w:r>
          </w:p>
        </w:tc>
        <w:tc>
          <w:tcPr>
            <w:tcW w:w="2380" w:type="dxa"/>
            <w:shd w:val="clear" w:color="auto" w:fill="EDCDCF"/>
            <w:vAlign w:val="center"/>
          </w:tcPr>
          <w:p w14:paraId="126C899C" w14:textId="77777777" w:rsidR="002271F4" w:rsidRPr="00603D31" w:rsidRDefault="002271F4" w:rsidP="00F51648">
            <w:pPr>
              <w:pStyle w:val="DHHStablecolhead"/>
            </w:pPr>
            <w:r w:rsidRPr="00603D31">
              <w:t>2015</w:t>
            </w:r>
          </w:p>
        </w:tc>
        <w:tc>
          <w:tcPr>
            <w:tcW w:w="2380" w:type="dxa"/>
            <w:shd w:val="clear" w:color="auto" w:fill="EDCDCF"/>
            <w:vAlign w:val="center"/>
          </w:tcPr>
          <w:p w14:paraId="68E7DCE4" w14:textId="77777777" w:rsidR="002271F4" w:rsidRPr="00603D31" w:rsidRDefault="002271F4" w:rsidP="00F51648">
            <w:pPr>
              <w:pStyle w:val="DHHStablecolhead"/>
            </w:pPr>
            <w:r w:rsidRPr="00603D31">
              <w:t>2016</w:t>
            </w:r>
          </w:p>
        </w:tc>
        <w:tc>
          <w:tcPr>
            <w:tcW w:w="2380" w:type="dxa"/>
            <w:shd w:val="clear" w:color="auto" w:fill="EDCDCF"/>
            <w:vAlign w:val="center"/>
          </w:tcPr>
          <w:p w14:paraId="22121203" w14:textId="77777777" w:rsidR="002271F4" w:rsidRPr="00603D31" w:rsidRDefault="002271F4" w:rsidP="00F51648">
            <w:pPr>
              <w:pStyle w:val="DHHStablecolhead"/>
            </w:pPr>
            <w:r w:rsidRPr="00603D31">
              <w:t>2017</w:t>
            </w:r>
          </w:p>
        </w:tc>
      </w:tr>
      <w:tr w:rsidR="002271F4" w14:paraId="414DE792" w14:textId="77777777" w:rsidTr="00561DBE">
        <w:trPr>
          <w:trHeight w:val="282"/>
          <w:jc w:val="center"/>
        </w:trPr>
        <w:tc>
          <w:tcPr>
            <w:tcW w:w="3402" w:type="dxa"/>
            <w:shd w:val="clear" w:color="auto" w:fill="auto"/>
            <w:vAlign w:val="center"/>
          </w:tcPr>
          <w:p w14:paraId="6B93D37A" w14:textId="77777777" w:rsidR="002271F4" w:rsidRDefault="002271F4" w:rsidP="00F51648">
            <w:pPr>
              <w:pStyle w:val="DHHStabletext"/>
            </w:pPr>
            <w:r>
              <w:t>Per cent</w:t>
            </w:r>
          </w:p>
        </w:tc>
        <w:tc>
          <w:tcPr>
            <w:tcW w:w="2380" w:type="dxa"/>
            <w:shd w:val="clear" w:color="auto" w:fill="auto"/>
            <w:vAlign w:val="center"/>
          </w:tcPr>
          <w:p w14:paraId="2124F12C" w14:textId="77777777" w:rsidR="002271F4" w:rsidRPr="004C0E3E" w:rsidRDefault="002271F4" w:rsidP="00F51648">
            <w:pPr>
              <w:pStyle w:val="DHHStabletext"/>
            </w:pPr>
            <w:r w:rsidRPr="004C0E3E">
              <w:t>55.4</w:t>
            </w:r>
          </w:p>
        </w:tc>
        <w:tc>
          <w:tcPr>
            <w:tcW w:w="2380" w:type="dxa"/>
            <w:shd w:val="clear" w:color="auto" w:fill="auto"/>
            <w:vAlign w:val="center"/>
          </w:tcPr>
          <w:p w14:paraId="2144F695" w14:textId="77777777" w:rsidR="002271F4" w:rsidRPr="004C0E3E" w:rsidRDefault="002271F4" w:rsidP="00F51648">
            <w:pPr>
              <w:pStyle w:val="DHHStabletext"/>
            </w:pPr>
            <w:r w:rsidRPr="004C0E3E">
              <w:t>60.4</w:t>
            </w:r>
          </w:p>
        </w:tc>
        <w:tc>
          <w:tcPr>
            <w:tcW w:w="2380" w:type="dxa"/>
            <w:shd w:val="clear" w:color="auto" w:fill="auto"/>
            <w:vAlign w:val="center"/>
          </w:tcPr>
          <w:p w14:paraId="6DB4848C" w14:textId="77777777" w:rsidR="002271F4" w:rsidRPr="004C0E3E" w:rsidRDefault="002271F4" w:rsidP="00F51648">
            <w:pPr>
              <w:pStyle w:val="DHHStabletext"/>
            </w:pPr>
            <w:r w:rsidRPr="004C0E3E">
              <w:t>59.9</w:t>
            </w:r>
          </w:p>
        </w:tc>
      </w:tr>
      <w:tr w:rsidR="002271F4" w14:paraId="59A0BB8A" w14:textId="77777777" w:rsidTr="00561DBE">
        <w:trPr>
          <w:trHeight w:val="67"/>
          <w:jc w:val="center"/>
        </w:trPr>
        <w:tc>
          <w:tcPr>
            <w:tcW w:w="3402" w:type="dxa"/>
            <w:shd w:val="clear" w:color="auto" w:fill="auto"/>
            <w:vAlign w:val="center"/>
          </w:tcPr>
          <w:p w14:paraId="64B9977D" w14:textId="77777777" w:rsidR="002271F4" w:rsidRDefault="002271F4" w:rsidP="00F51648">
            <w:pPr>
              <w:pStyle w:val="DHHStabletext"/>
            </w:pPr>
            <w:r>
              <w:t>(95% CI)</w:t>
            </w:r>
          </w:p>
        </w:tc>
        <w:tc>
          <w:tcPr>
            <w:tcW w:w="2380" w:type="dxa"/>
            <w:shd w:val="clear" w:color="auto" w:fill="auto"/>
            <w:vAlign w:val="center"/>
          </w:tcPr>
          <w:p w14:paraId="3EF5933E" w14:textId="4A3C1CBC" w:rsidR="002271F4" w:rsidRDefault="002271F4" w:rsidP="00F51648">
            <w:pPr>
              <w:pStyle w:val="DHHStabletext"/>
            </w:pPr>
            <w:r w:rsidRPr="004C0E3E">
              <w:rPr>
                <w:rFonts w:cs="Arial"/>
              </w:rPr>
              <w:t>(±</w:t>
            </w:r>
            <w:r w:rsidR="00702BEF">
              <w:rPr>
                <w:rFonts w:cs="Arial"/>
              </w:rPr>
              <w:t xml:space="preserve"> </w:t>
            </w:r>
            <w:r w:rsidRPr="004C0E3E">
              <w:rPr>
                <w:rFonts w:cs="Arial"/>
              </w:rPr>
              <w:t>2.3)</w:t>
            </w:r>
          </w:p>
        </w:tc>
        <w:tc>
          <w:tcPr>
            <w:tcW w:w="2380" w:type="dxa"/>
            <w:shd w:val="clear" w:color="auto" w:fill="auto"/>
            <w:vAlign w:val="center"/>
          </w:tcPr>
          <w:p w14:paraId="6E1E7C86" w14:textId="7F273C53" w:rsidR="002271F4" w:rsidRDefault="002271F4" w:rsidP="00F51648">
            <w:pPr>
              <w:pStyle w:val="DHHStabletext"/>
            </w:pPr>
            <w:r w:rsidRPr="004C0E3E">
              <w:rPr>
                <w:rFonts w:cs="Arial"/>
              </w:rPr>
              <w:t>(±</w:t>
            </w:r>
            <w:r w:rsidR="00702BEF">
              <w:rPr>
                <w:rFonts w:cs="Arial"/>
              </w:rPr>
              <w:t xml:space="preserve"> </w:t>
            </w:r>
            <w:r w:rsidRPr="004C0E3E">
              <w:rPr>
                <w:rFonts w:cs="Arial"/>
              </w:rPr>
              <w:t>2.3)</w:t>
            </w:r>
          </w:p>
        </w:tc>
        <w:tc>
          <w:tcPr>
            <w:tcW w:w="2380" w:type="dxa"/>
            <w:shd w:val="clear" w:color="auto" w:fill="auto"/>
            <w:vAlign w:val="center"/>
          </w:tcPr>
          <w:p w14:paraId="229C1A11" w14:textId="1F4228CD" w:rsidR="002271F4" w:rsidRDefault="002271F4" w:rsidP="00F51648">
            <w:pPr>
              <w:pStyle w:val="DHHStabletext"/>
            </w:pPr>
            <w:r w:rsidRPr="004C0E3E">
              <w:rPr>
                <w:rFonts w:cs="Arial"/>
              </w:rPr>
              <w:t>(±</w:t>
            </w:r>
            <w:r w:rsidR="00702BEF">
              <w:rPr>
                <w:rFonts w:cs="Arial"/>
              </w:rPr>
              <w:t xml:space="preserve"> </w:t>
            </w:r>
            <w:r w:rsidRPr="004C0E3E">
              <w:rPr>
                <w:rFonts w:cs="Arial"/>
              </w:rPr>
              <w:t>2.3)</w:t>
            </w:r>
          </w:p>
        </w:tc>
      </w:tr>
    </w:tbl>
    <w:p w14:paraId="564F0CBE" w14:textId="77777777" w:rsidR="00402917" w:rsidRDefault="00402917" w:rsidP="00561DBE">
      <w:pPr>
        <w:pStyle w:val="DHHStablefigurenote"/>
      </w:pPr>
      <w:r w:rsidRPr="00916498">
        <w:t xml:space="preserve">Source: unpublished Victorian Smoking and Health Survey, Cancer Council Victoria </w:t>
      </w:r>
      <w:r w:rsidRPr="009F01B1">
        <w:t>(2018)</w:t>
      </w:r>
    </w:p>
    <w:p w14:paraId="06479446" w14:textId="7E78D817" w:rsidR="004E1857" w:rsidRPr="004E2E13" w:rsidRDefault="004E1857" w:rsidP="00561DBE">
      <w:pPr>
        <w:pStyle w:val="DHHStablefigurenote"/>
      </w:pPr>
      <w:r w:rsidRPr="004E2E13">
        <w:t>Notes</w:t>
      </w:r>
      <w:r w:rsidR="00402917">
        <w:t>:</w:t>
      </w:r>
    </w:p>
    <w:p w14:paraId="030FED91" w14:textId="21A06EB1" w:rsidR="004E1857" w:rsidRPr="004E2E13" w:rsidRDefault="004E1857" w:rsidP="00561DBE">
      <w:pPr>
        <w:pStyle w:val="DHHStablefigurenote"/>
      </w:pPr>
      <w:r w:rsidRPr="004E2E13">
        <w:rPr>
          <w:rFonts w:cs="Arial"/>
        </w:rPr>
        <w:t>^</w:t>
      </w:r>
      <w:r w:rsidRPr="004E2E13">
        <w:t>The calculation of the quit ratio excluded those who did not state how long ago they had quit</w:t>
      </w:r>
      <w:r w:rsidR="00402917">
        <w:t>.</w:t>
      </w:r>
    </w:p>
    <w:p w14:paraId="151986A1" w14:textId="7BFECD76" w:rsidR="004E1857" w:rsidRPr="004E2E13" w:rsidRDefault="004E1857" w:rsidP="00561DBE">
      <w:pPr>
        <w:pStyle w:val="DHHStablefigurenote"/>
      </w:pPr>
      <w:r w:rsidRPr="004E2E13">
        <w:t>Number of Victorian ever smokers = 1</w:t>
      </w:r>
      <w:r w:rsidR="00702BEF">
        <w:t>,</w:t>
      </w:r>
      <w:r w:rsidRPr="004E2E13">
        <w:t>693</w:t>
      </w:r>
      <w:r w:rsidR="00702BEF">
        <w:t>–</w:t>
      </w:r>
      <w:r w:rsidRPr="004E2E13">
        <w:t>1</w:t>
      </w:r>
      <w:r w:rsidR="00702BEF">
        <w:t>,</w:t>
      </w:r>
      <w:r w:rsidRPr="004E2E13">
        <w:t>798</w:t>
      </w:r>
    </w:p>
    <w:p w14:paraId="56C49E3D" w14:textId="77777777" w:rsidR="00F6645C" w:rsidRDefault="00F6645C" w:rsidP="00F6645C">
      <w:pPr>
        <w:pStyle w:val="Heading4"/>
        <w:rPr>
          <w:lang w:eastAsia="en-AU"/>
        </w:rPr>
      </w:pPr>
      <w:r>
        <w:rPr>
          <w:lang w:eastAsia="en-AU"/>
        </w:rPr>
        <w:t>Measure assessment</w:t>
      </w:r>
    </w:p>
    <w:p w14:paraId="62791203" w14:textId="65E840E2" w:rsidR="00FC4EFD" w:rsidRDefault="00FC4EFD" w:rsidP="002321D7">
      <w:pPr>
        <w:autoSpaceDE w:val="0"/>
        <w:autoSpaceDN w:val="0"/>
        <w:adjustRightInd w:val="0"/>
        <w:spacing w:after="120" w:line="270" w:lineRule="atLeast"/>
        <w:rPr>
          <w:rFonts w:ascii="Arial" w:hAnsi="Arial" w:cs="Arial"/>
        </w:rPr>
      </w:pPr>
      <w:r w:rsidRPr="009F01B1">
        <w:rPr>
          <w:rFonts w:ascii="Arial" w:hAnsi="Arial" w:cs="Arial"/>
        </w:rPr>
        <w:t>Traffic light rating:</w:t>
      </w:r>
      <w:r w:rsidR="00F829F0" w:rsidRPr="009F01B1">
        <w:rPr>
          <w:rFonts w:ascii="Arial" w:hAnsi="Arial" w:cs="Arial"/>
        </w:rPr>
        <w:t xml:space="preserve"> </w:t>
      </w:r>
      <w:r w:rsidR="00F829F0" w:rsidRPr="00061321">
        <w:rPr>
          <w:rFonts w:ascii="Arial" w:hAnsi="Arial" w:cs="Arial"/>
          <w:b/>
          <w:color w:val="007B4B"/>
        </w:rPr>
        <w:t>Green</w:t>
      </w:r>
      <w:r w:rsidR="00061321">
        <w:rPr>
          <w:rFonts w:ascii="Arial" w:hAnsi="Arial" w:cs="Arial"/>
          <w:color w:val="007B4B"/>
        </w:rPr>
        <w:t xml:space="preserve"> (satisfactory result)</w:t>
      </w:r>
    </w:p>
    <w:p w14:paraId="0D71CE6D" w14:textId="4DAFA20A" w:rsidR="00F6645C" w:rsidRDefault="00F6645C" w:rsidP="002321D7">
      <w:pPr>
        <w:autoSpaceDE w:val="0"/>
        <w:autoSpaceDN w:val="0"/>
        <w:adjustRightInd w:val="0"/>
        <w:spacing w:after="120" w:line="270" w:lineRule="atLeast"/>
        <w:rPr>
          <w:rFonts w:ascii="Arial" w:hAnsi="Arial" w:cs="Arial"/>
        </w:rPr>
      </w:pPr>
      <w:r w:rsidRPr="009F01B1">
        <w:rPr>
          <w:rFonts w:ascii="Arial" w:hAnsi="Arial" w:cs="Arial"/>
        </w:rPr>
        <w:t>Overall trend</w:t>
      </w:r>
      <w:r w:rsidRPr="00843274">
        <w:rPr>
          <w:rFonts w:ascii="Arial" w:hAnsi="Arial" w:cs="Arial"/>
        </w:rPr>
        <w:t>: Moving in the right direction</w:t>
      </w:r>
    </w:p>
    <w:p w14:paraId="078B42CA" w14:textId="0211B2A3" w:rsidR="00F829F0" w:rsidRPr="00F829F0" w:rsidRDefault="00F6645C" w:rsidP="002321D7">
      <w:pPr>
        <w:pStyle w:val="DHHSbody"/>
        <w:rPr>
          <w:color w:val="000000"/>
          <w:sz w:val="24"/>
          <w:szCs w:val="24"/>
        </w:rPr>
      </w:pPr>
      <w:r w:rsidRPr="00F829F0">
        <w:rPr>
          <w:rFonts w:cs="Arial"/>
        </w:rPr>
        <w:t xml:space="preserve">Commentary: </w:t>
      </w:r>
      <w:r w:rsidR="00FC4EFD" w:rsidRPr="00F829F0">
        <w:rPr>
          <w:rFonts w:cs="Arial"/>
        </w:rPr>
        <w:t>The Victorian Smoking and Health Survey is a cross-sectional, annual telephone survey of approximately 4</w:t>
      </w:r>
      <w:r w:rsidR="002069B8">
        <w:rPr>
          <w:rFonts w:cs="Arial"/>
        </w:rPr>
        <w:t>,</w:t>
      </w:r>
      <w:r w:rsidR="00FC4EFD" w:rsidRPr="00F829F0">
        <w:rPr>
          <w:rFonts w:cs="Arial"/>
        </w:rPr>
        <w:t>000 randomly sampled English</w:t>
      </w:r>
      <w:r w:rsidR="002069B8">
        <w:rPr>
          <w:rFonts w:cs="Arial"/>
        </w:rPr>
        <w:t>-</w:t>
      </w:r>
      <w:r w:rsidR="00FC4EFD" w:rsidRPr="00F829F0">
        <w:rPr>
          <w:rFonts w:cs="Arial"/>
        </w:rPr>
        <w:t xml:space="preserve">speaking Victorian adults. The quit ratio is the proportion of ever smokers (that is, current or former smokers) who stated that they had </w:t>
      </w:r>
      <w:r w:rsidR="002069B8">
        <w:rPr>
          <w:rFonts w:cs="Arial"/>
        </w:rPr>
        <w:t>not smoked</w:t>
      </w:r>
      <w:r w:rsidR="00FC4EFD" w:rsidRPr="00F829F0">
        <w:rPr>
          <w:rFonts w:cs="Arial"/>
        </w:rPr>
        <w:t xml:space="preserve"> for at least one year at the time of the survey.</w:t>
      </w:r>
      <w:r w:rsidR="00F829F0" w:rsidRPr="00F829F0">
        <w:rPr>
          <w:rFonts w:cs="Arial"/>
        </w:rPr>
        <w:t xml:space="preserve"> </w:t>
      </w:r>
    </w:p>
    <w:p w14:paraId="55CD580A" w14:textId="0FA68FC0" w:rsidR="004B1A94" w:rsidRDefault="00720F02" w:rsidP="003E68C0">
      <w:pPr>
        <w:pStyle w:val="DHHSbody"/>
        <w:rPr>
          <w:rFonts w:cs="Arial"/>
        </w:rPr>
        <w:sectPr w:rsidR="004B1A94" w:rsidSect="00E2792D">
          <w:pgSz w:w="11906" w:h="16838"/>
          <w:pgMar w:top="1701" w:right="849" w:bottom="1134" w:left="426" w:header="454" w:footer="510" w:gutter="0"/>
          <w:cols w:space="720"/>
          <w:docGrid w:linePitch="360"/>
        </w:sectPr>
      </w:pPr>
      <w:r>
        <w:rPr>
          <w:rFonts w:cs="Arial"/>
        </w:rPr>
        <w:t xml:space="preserve">Figure 17.5 </w:t>
      </w:r>
      <w:r w:rsidR="00FF1AD0">
        <w:rPr>
          <w:rFonts w:cs="Arial"/>
        </w:rPr>
        <w:t xml:space="preserve">and Table 17.5 </w:t>
      </w:r>
      <w:r>
        <w:rPr>
          <w:rFonts w:cs="Arial"/>
        </w:rPr>
        <w:t>show that t</w:t>
      </w:r>
      <w:r w:rsidR="00F829F0" w:rsidRPr="00837127">
        <w:rPr>
          <w:rFonts w:cs="Arial"/>
        </w:rPr>
        <w:t>he quit ratio among Victorian ever smokers increased between 2015 and 2017 (up from 55.4 to 59.9</w:t>
      </w:r>
      <w:r w:rsidR="00BF0E37">
        <w:rPr>
          <w:rFonts w:cs="Arial"/>
        </w:rPr>
        <w:t xml:space="preserve"> per cent</w:t>
      </w:r>
      <w:r w:rsidR="00F829F0" w:rsidRPr="00837127">
        <w:rPr>
          <w:rFonts w:cs="Arial"/>
        </w:rPr>
        <w:t>)</w:t>
      </w:r>
      <w:r w:rsidR="004B1A94">
        <w:rPr>
          <w:rFonts w:cs="Arial"/>
        </w:rPr>
        <w:t>.</w:t>
      </w:r>
    </w:p>
    <w:p w14:paraId="52660DB7" w14:textId="7B0CF3AC" w:rsidR="007D6826" w:rsidRPr="007D6BCA" w:rsidRDefault="007D6826" w:rsidP="007D6BCA">
      <w:pPr>
        <w:pStyle w:val="Heading1"/>
        <w:rPr>
          <w:b/>
        </w:rPr>
      </w:pPr>
      <w:bookmarkStart w:id="1044" w:name="_Appendix_1:_Measures"/>
      <w:bookmarkStart w:id="1045" w:name="_Toc19008223"/>
      <w:bookmarkStart w:id="1046" w:name="_Toc33457085"/>
      <w:bookmarkStart w:id="1047" w:name="_Hlk536625422"/>
      <w:bookmarkEnd w:id="1044"/>
      <w:r w:rsidRPr="007D6BCA">
        <w:lastRenderedPageBreak/>
        <w:t>Appendix 1: Measures identified for future reporting</w:t>
      </w:r>
      <w:bookmarkEnd w:id="1045"/>
      <w:bookmarkEnd w:id="1046"/>
      <w:r w:rsidRPr="007D6BCA">
        <w:t xml:space="preserve"> </w:t>
      </w:r>
    </w:p>
    <w:p w14:paraId="33CB90F0" w14:textId="1CA110E6" w:rsidR="007D6826" w:rsidRDefault="007D6826" w:rsidP="00D37CC8">
      <w:pPr>
        <w:pStyle w:val="DHHSbody"/>
        <w:tabs>
          <w:tab w:val="left" w:pos="9923"/>
        </w:tabs>
        <w:spacing w:after="0" w:line="240" w:lineRule="auto"/>
        <w:ind w:right="-312"/>
        <w:rPr>
          <w:lang w:eastAsia="en-AU"/>
        </w:rPr>
      </w:pPr>
      <w:r>
        <w:rPr>
          <w:lang w:eastAsia="en-AU"/>
        </w:rPr>
        <w:t xml:space="preserve">This table lists measures identified for future reporting with next steps and </w:t>
      </w:r>
      <w:r w:rsidR="009F2CC0">
        <w:rPr>
          <w:lang w:eastAsia="en-AU"/>
        </w:rPr>
        <w:t xml:space="preserve">an </w:t>
      </w:r>
      <w:r>
        <w:rPr>
          <w:lang w:eastAsia="en-AU"/>
        </w:rPr>
        <w:t>indicative reporting</w:t>
      </w:r>
      <w:r w:rsidR="00D37CC8">
        <w:rPr>
          <w:lang w:eastAsia="en-AU"/>
        </w:rPr>
        <w:t xml:space="preserve"> </w:t>
      </w:r>
      <w:r>
        <w:rPr>
          <w:lang w:eastAsia="en-AU"/>
        </w:rPr>
        <w:t>schedule.</w:t>
      </w:r>
    </w:p>
    <w:p w14:paraId="238427C6" w14:textId="7970D9B5" w:rsidR="007D6826" w:rsidRDefault="00ED20D5" w:rsidP="00ED20D5">
      <w:pPr>
        <w:pStyle w:val="Heading5"/>
        <w:rPr>
          <w:rFonts w:cs="Arial"/>
          <w:lang w:eastAsia="en-AU"/>
        </w:rPr>
      </w:pPr>
      <w:r w:rsidRPr="00603D31">
        <w:t>Key result area: Improve survivorship quality of life</w:t>
      </w:r>
    </w:p>
    <w:tbl>
      <w:tblPr>
        <w:tblW w:w="14317" w:type="dxa"/>
        <w:tblBorders>
          <w:bottom w:val="single" w:sz="4" w:space="0" w:color="C00000"/>
          <w:insideH w:val="single" w:sz="4" w:space="0" w:color="C00000"/>
          <w:insideV w:val="single" w:sz="12" w:space="0" w:color="FFFFFF" w:themeColor="background1"/>
        </w:tblBorders>
        <w:shd w:val="clear" w:color="auto" w:fill="EDCDCF"/>
        <w:tblLook w:val="04A0" w:firstRow="1" w:lastRow="0" w:firstColumn="1" w:lastColumn="0" w:noHBand="0" w:noVBand="1"/>
      </w:tblPr>
      <w:tblGrid>
        <w:gridCol w:w="1843"/>
        <w:gridCol w:w="2977"/>
        <w:gridCol w:w="5812"/>
        <w:gridCol w:w="3685"/>
      </w:tblGrid>
      <w:tr w:rsidR="007D6826" w14:paraId="74A53223" w14:textId="77777777" w:rsidTr="004C0F3F">
        <w:trPr>
          <w:tblHeader/>
        </w:trPr>
        <w:tc>
          <w:tcPr>
            <w:tcW w:w="1843" w:type="dxa"/>
            <w:shd w:val="clear" w:color="auto" w:fill="EDCDCF"/>
          </w:tcPr>
          <w:p w14:paraId="1FF68F94" w14:textId="0FCCD39A" w:rsidR="007D6826" w:rsidRPr="00603D31" w:rsidRDefault="00206E9F" w:rsidP="007B6CCF">
            <w:pPr>
              <w:pStyle w:val="DHHStablecolhead"/>
            </w:pPr>
            <w:r>
              <w:t>Measure r</w:t>
            </w:r>
            <w:r w:rsidR="007D6826" w:rsidRPr="00603D31">
              <w:t xml:space="preserve">eference </w:t>
            </w:r>
            <w:r w:rsidR="00702BEF" w:rsidRPr="00603D31">
              <w:t>n</w:t>
            </w:r>
            <w:r w:rsidR="007D6826" w:rsidRPr="00603D31">
              <w:t>umber</w:t>
            </w:r>
          </w:p>
        </w:tc>
        <w:tc>
          <w:tcPr>
            <w:tcW w:w="2977" w:type="dxa"/>
            <w:shd w:val="clear" w:color="auto" w:fill="EDCDCF"/>
          </w:tcPr>
          <w:p w14:paraId="50EEE087" w14:textId="5937FD3C" w:rsidR="007D6826" w:rsidRPr="00603D31" w:rsidRDefault="007D6826" w:rsidP="007B6CCF">
            <w:pPr>
              <w:pStyle w:val="DHHStablecolhead"/>
            </w:pPr>
            <w:r w:rsidRPr="00603D31">
              <w:t xml:space="preserve">Name of </w:t>
            </w:r>
            <w:r w:rsidR="00702BEF" w:rsidRPr="00603D31">
              <w:t>m</w:t>
            </w:r>
            <w:r w:rsidRPr="00603D31">
              <w:t>easure</w:t>
            </w:r>
          </w:p>
        </w:tc>
        <w:tc>
          <w:tcPr>
            <w:tcW w:w="5812" w:type="dxa"/>
            <w:shd w:val="clear" w:color="auto" w:fill="EDCDCF"/>
          </w:tcPr>
          <w:p w14:paraId="77288AFC" w14:textId="29DE88EF" w:rsidR="007D6826" w:rsidRPr="00603D31" w:rsidRDefault="007D6826" w:rsidP="007B6CCF">
            <w:pPr>
              <w:pStyle w:val="DHHStablecolhead"/>
            </w:pPr>
            <w:r w:rsidRPr="00603D31">
              <w:t xml:space="preserve">Required </w:t>
            </w:r>
            <w:r w:rsidR="00702BEF" w:rsidRPr="00603D31">
              <w:t>n</w:t>
            </w:r>
            <w:r w:rsidRPr="00603D31">
              <w:t xml:space="preserve">ext </w:t>
            </w:r>
            <w:r w:rsidR="00702BEF" w:rsidRPr="00603D31">
              <w:t>s</w:t>
            </w:r>
            <w:r w:rsidRPr="00603D31">
              <w:t>teps</w:t>
            </w:r>
          </w:p>
        </w:tc>
        <w:tc>
          <w:tcPr>
            <w:tcW w:w="3685" w:type="dxa"/>
            <w:shd w:val="clear" w:color="auto" w:fill="EDCDCF"/>
          </w:tcPr>
          <w:p w14:paraId="6968CD9F" w14:textId="0DB6CEEF" w:rsidR="007D6826" w:rsidRPr="00603D31" w:rsidRDefault="007D6826" w:rsidP="007B6CCF">
            <w:pPr>
              <w:pStyle w:val="DHHStablecolhead"/>
            </w:pPr>
            <w:r w:rsidRPr="00603D31">
              <w:t xml:space="preserve">Indicative </w:t>
            </w:r>
            <w:r w:rsidR="00702BEF" w:rsidRPr="00603D31">
              <w:t>r</w:t>
            </w:r>
            <w:r w:rsidRPr="00603D31">
              <w:t xml:space="preserve">eporting </w:t>
            </w:r>
            <w:r w:rsidR="00702BEF" w:rsidRPr="00603D31">
              <w:t>s</w:t>
            </w:r>
            <w:r w:rsidRPr="00603D31">
              <w:t>chedule</w:t>
            </w:r>
          </w:p>
        </w:tc>
      </w:tr>
      <w:tr w:rsidR="007D6826" w14:paraId="7CBC236B" w14:textId="77777777" w:rsidTr="004C0F3F">
        <w:tc>
          <w:tcPr>
            <w:tcW w:w="1843" w:type="dxa"/>
            <w:shd w:val="clear" w:color="auto" w:fill="FFFFFF" w:themeFill="background1"/>
          </w:tcPr>
          <w:p w14:paraId="28658BD6" w14:textId="77777777" w:rsidR="007D6826" w:rsidRDefault="007D6826" w:rsidP="00E1278E">
            <w:pPr>
              <w:pStyle w:val="DHHStabletext"/>
            </w:pPr>
            <w:r>
              <w:t>3.1</w:t>
            </w:r>
          </w:p>
        </w:tc>
        <w:tc>
          <w:tcPr>
            <w:tcW w:w="2977" w:type="dxa"/>
            <w:shd w:val="clear" w:color="auto" w:fill="FFFFFF" w:themeFill="background1"/>
          </w:tcPr>
          <w:p w14:paraId="5AB262CA" w14:textId="77777777" w:rsidR="007D6826" w:rsidRDefault="007D6826" w:rsidP="00E1278E">
            <w:pPr>
              <w:pStyle w:val="DHHStabletext"/>
            </w:pPr>
            <w:r>
              <w:t>Quality of life post active therapy</w:t>
            </w:r>
            <w:r w:rsidR="00AA6688">
              <w:rPr>
                <w:rStyle w:val="FootnoteReference"/>
                <w:lang w:eastAsia="en-AU"/>
              </w:rPr>
              <w:footnoteReference w:id="184"/>
            </w:r>
          </w:p>
        </w:tc>
        <w:tc>
          <w:tcPr>
            <w:tcW w:w="5812" w:type="dxa"/>
            <w:shd w:val="clear" w:color="auto" w:fill="FFFFFF" w:themeFill="background1"/>
          </w:tcPr>
          <w:p w14:paraId="0884B541" w14:textId="163B932C" w:rsidR="007D6826" w:rsidRDefault="007D6C4A" w:rsidP="00E1278E">
            <w:pPr>
              <w:pStyle w:val="DHHStabletext"/>
            </w:pPr>
            <w:r>
              <w:t xml:space="preserve">An </w:t>
            </w:r>
            <w:r w:rsidR="00A64F8A" w:rsidRPr="003D76F0">
              <w:t xml:space="preserve">evaluation </w:t>
            </w:r>
            <w:r w:rsidR="00D059FE">
              <w:t>g</w:t>
            </w:r>
            <w:r w:rsidR="003D775F">
              <w:t>ot</w:t>
            </w:r>
            <w:r>
              <w:t xml:space="preserve"> </w:t>
            </w:r>
            <w:r w:rsidR="00A64F8A">
              <w:t>underway</w:t>
            </w:r>
            <w:r w:rsidR="00D059FE">
              <w:t xml:space="preserve"> in January 2019 </w:t>
            </w:r>
            <w:r w:rsidR="00841278">
              <w:t>to</w:t>
            </w:r>
            <w:r w:rsidR="00A64F8A">
              <w:t xml:space="preserve"> </w:t>
            </w:r>
            <w:r w:rsidR="00A64F8A" w:rsidRPr="003D76F0">
              <w:t>explor</w:t>
            </w:r>
            <w:r w:rsidR="00841278">
              <w:t>e</w:t>
            </w:r>
            <w:r w:rsidR="00A64F8A" w:rsidRPr="003D76F0">
              <w:t xml:space="preserve"> the achievements of </w:t>
            </w:r>
            <w:r w:rsidR="00A64F8A">
              <w:t>Phase II of the Victorian Cancer Survivorship Program</w:t>
            </w:r>
            <w:r>
              <w:t>.</w:t>
            </w:r>
            <w:r w:rsidR="00952FC7">
              <w:t xml:space="preserve"> </w:t>
            </w:r>
            <w:r>
              <w:t xml:space="preserve">A key objective of this evaluation </w:t>
            </w:r>
            <w:r w:rsidR="004702E4">
              <w:t>is</w:t>
            </w:r>
            <w:r>
              <w:t xml:space="preserve"> to</w:t>
            </w:r>
            <w:r w:rsidR="00E65EA1">
              <w:t xml:space="preserve"> develop a measure definition</w:t>
            </w:r>
            <w:r w:rsidR="00841278">
              <w:t>.</w:t>
            </w:r>
          </w:p>
        </w:tc>
        <w:tc>
          <w:tcPr>
            <w:tcW w:w="3685" w:type="dxa"/>
            <w:shd w:val="clear" w:color="auto" w:fill="FFFFFF" w:themeFill="background1"/>
          </w:tcPr>
          <w:p w14:paraId="662A383B" w14:textId="0566235E" w:rsidR="007D6826" w:rsidRDefault="00AA6688" w:rsidP="00E1278E">
            <w:pPr>
              <w:pStyle w:val="DHHStabletext"/>
            </w:pPr>
            <w:r>
              <w:t>Interim report</w:t>
            </w:r>
            <w:r w:rsidR="00841278">
              <w:t>,</w:t>
            </w:r>
            <w:r>
              <w:t xml:space="preserve"> which </w:t>
            </w:r>
            <w:r w:rsidR="00166CDB">
              <w:t xml:space="preserve">is expected to </w:t>
            </w:r>
            <w:r>
              <w:t xml:space="preserve">include a recommendation </w:t>
            </w:r>
            <w:r w:rsidR="00897733">
              <w:t xml:space="preserve">to determine what the </w:t>
            </w:r>
            <w:r>
              <w:t>measure</w:t>
            </w:r>
            <w:r w:rsidR="00897733">
              <w:t xml:space="preserve"> should be</w:t>
            </w:r>
            <w:r w:rsidR="00D4765C">
              <w:t xml:space="preserve">. </w:t>
            </w:r>
            <w:r w:rsidR="00907874">
              <w:t xml:space="preserve">Once </w:t>
            </w:r>
            <w:r w:rsidR="00BA495D">
              <w:t xml:space="preserve">a </w:t>
            </w:r>
            <w:r w:rsidR="00907874">
              <w:t>measure is developed</w:t>
            </w:r>
            <w:r w:rsidR="00841278">
              <w:t>,</w:t>
            </w:r>
            <w:r w:rsidR="00907874">
              <w:t xml:space="preserve"> </w:t>
            </w:r>
            <w:r w:rsidR="00051D53">
              <w:t>it is proposed that relevant data</w:t>
            </w:r>
            <w:r w:rsidR="00D4765C">
              <w:t xml:space="preserve"> will be presented in a future report</w:t>
            </w:r>
            <w:r w:rsidR="00B72147">
              <w:t>.</w:t>
            </w:r>
          </w:p>
        </w:tc>
      </w:tr>
    </w:tbl>
    <w:p w14:paraId="39A00741" w14:textId="4B4322C0" w:rsidR="00ED20D5" w:rsidRDefault="00ED20D5" w:rsidP="00ED20D5">
      <w:pPr>
        <w:pStyle w:val="Heading5"/>
      </w:pPr>
      <w:r w:rsidRPr="00603D31">
        <w:t>Key result area: Increase healthier eating and active living</w:t>
      </w:r>
    </w:p>
    <w:tbl>
      <w:tblPr>
        <w:tblW w:w="14317" w:type="dxa"/>
        <w:tblBorders>
          <w:top w:val="single" w:sz="12" w:space="0" w:color="FFFFFF" w:themeColor="background1"/>
          <w:insideH w:val="single" w:sz="12" w:space="0" w:color="FFFFFF" w:themeColor="background1"/>
          <w:insideV w:val="single" w:sz="12" w:space="0" w:color="FFFFFF" w:themeColor="background1"/>
        </w:tblBorders>
        <w:shd w:val="clear" w:color="auto" w:fill="EDCDCF"/>
        <w:tblLook w:val="04A0" w:firstRow="1" w:lastRow="0" w:firstColumn="1" w:lastColumn="0" w:noHBand="0" w:noVBand="1"/>
      </w:tblPr>
      <w:tblGrid>
        <w:gridCol w:w="1843"/>
        <w:gridCol w:w="2977"/>
        <w:gridCol w:w="5812"/>
        <w:gridCol w:w="3685"/>
      </w:tblGrid>
      <w:tr w:rsidR="00ED20D5" w14:paraId="7FC63937" w14:textId="77777777" w:rsidTr="00846861">
        <w:tc>
          <w:tcPr>
            <w:tcW w:w="1843" w:type="dxa"/>
            <w:tcBorders>
              <w:bottom w:val="single" w:sz="4" w:space="0" w:color="C00000"/>
            </w:tcBorders>
            <w:shd w:val="clear" w:color="auto" w:fill="EDCDCF"/>
          </w:tcPr>
          <w:p w14:paraId="58411605" w14:textId="4E6316B7" w:rsidR="00ED20D5" w:rsidRDefault="00206E9F" w:rsidP="007B6CCF">
            <w:pPr>
              <w:pStyle w:val="DHHStablecolhead"/>
            </w:pPr>
            <w:r>
              <w:t>Measure r</w:t>
            </w:r>
            <w:r w:rsidR="00ED20D5" w:rsidRPr="00603D31">
              <w:t>eference number</w:t>
            </w:r>
          </w:p>
        </w:tc>
        <w:tc>
          <w:tcPr>
            <w:tcW w:w="2977" w:type="dxa"/>
            <w:tcBorders>
              <w:bottom w:val="single" w:sz="4" w:space="0" w:color="C00000"/>
            </w:tcBorders>
            <w:shd w:val="clear" w:color="auto" w:fill="EDCDCF"/>
          </w:tcPr>
          <w:p w14:paraId="53F6A631" w14:textId="32B9F77B" w:rsidR="00ED20D5" w:rsidRDefault="00ED20D5" w:rsidP="007B6CCF">
            <w:pPr>
              <w:pStyle w:val="DHHStablecolhead"/>
            </w:pPr>
            <w:r w:rsidRPr="00603D31">
              <w:t>Name of measure</w:t>
            </w:r>
          </w:p>
        </w:tc>
        <w:tc>
          <w:tcPr>
            <w:tcW w:w="5812" w:type="dxa"/>
            <w:tcBorders>
              <w:bottom w:val="single" w:sz="4" w:space="0" w:color="C00000"/>
            </w:tcBorders>
            <w:shd w:val="clear" w:color="auto" w:fill="EDCDCF"/>
          </w:tcPr>
          <w:p w14:paraId="3852809D" w14:textId="2357E7A7" w:rsidR="00ED20D5" w:rsidRDefault="00ED20D5" w:rsidP="007B6CCF">
            <w:pPr>
              <w:pStyle w:val="DHHStablecolhead"/>
            </w:pPr>
            <w:r w:rsidRPr="00603D31">
              <w:t>Required next steps</w:t>
            </w:r>
          </w:p>
        </w:tc>
        <w:tc>
          <w:tcPr>
            <w:tcW w:w="3685" w:type="dxa"/>
            <w:tcBorders>
              <w:bottom w:val="single" w:sz="4" w:space="0" w:color="C00000"/>
            </w:tcBorders>
            <w:shd w:val="clear" w:color="auto" w:fill="EDCDCF"/>
          </w:tcPr>
          <w:p w14:paraId="501CE691" w14:textId="7E5EAD75" w:rsidR="00ED20D5" w:rsidRDefault="00ED20D5" w:rsidP="007B6CCF">
            <w:pPr>
              <w:pStyle w:val="DHHStablecolhead"/>
            </w:pPr>
            <w:r w:rsidRPr="00603D31">
              <w:t>Indicative reporting schedule</w:t>
            </w:r>
          </w:p>
        </w:tc>
      </w:tr>
      <w:tr w:rsidR="009B1762" w14:paraId="11FE8B38" w14:textId="77777777" w:rsidTr="00846861">
        <w:tc>
          <w:tcPr>
            <w:tcW w:w="1843" w:type="dxa"/>
            <w:tcBorders>
              <w:top w:val="single" w:sz="4" w:space="0" w:color="C00000"/>
              <w:bottom w:val="single" w:sz="4" w:space="0" w:color="C00000"/>
            </w:tcBorders>
            <w:shd w:val="clear" w:color="auto" w:fill="FFFFFF" w:themeFill="background1"/>
          </w:tcPr>
          <w:p w14:paraId="18D6509B" w14:textId="77777777" w:rsidR="009B1762" w:rsidRDefault="009B1762" w:rsidP="00E1278E">
            <w:pPr>
              <w:pStyle w:val="DHHStabletext"/>
            </w:pPr>
            <w:r>
              <w:t>7.7</w:t>
            </w:r>
          </w:p>
        </w:tc>
        <w:tc>
          <w:tcPr>
            <w:tcW w:w="2977" w:type="dxa"/>
            <w:tcBorders>
              <w:top w:val="single" w:sz="4" w:space="0" w:color="C00000"/>
              <w:bottom w:val="single" w:sz="4" w:space="0" w:color="C00000"/>
            </w:tcBorders>
            <w:shd w:val="clear" w:color="auto" w:fill="FFFFFF" w:themeFill="background1"/>
          </w:tcPr>
          <w:p w14:paraId="70DF1084" w14:textId="77777777" w:rsidR="009B1762" w:rsidRDefault="009B1762" w:rsidP="00E1278E">
            <w:pPr>
              <w:pStyle w:val="DHHStabletext"/>
            </w:pPr>
            <w:r>
              <w:t>Mean number of times that adults eat red meat</w:t>
            </w:r>
          </w:p>
        </w:tc>
        <w:tc>
          <w:tcPr>
            <w:tcW w:w="5812" w:type="dxa"/>
            <w:tcBorders>
              <w:top w:val="single" w:sz="4" w:space="0" w:color="C00000"/>
              <w:bottom w:val="single" w:sz="4" w:space="0" w:color="C00000"/>
            </w:tcBorders>
            <w:shd w:val="clear" w:color="auto" w:fill="FFFFFF" w:themeFill="background1"/>
          </w:tcPr>
          <w:p w14:paraId="3889795C" w14:textId="20CD4F2B" w:rsidR="009B1762" w:rsidRDefault="0046746C" w:rsidP="00E1278E">
            <w:pPr>
              <w:pStyle w:val="DHHStabletext"/>
            </w:pPr>
            <w:r>
              <w:t>T</w:t>
            </w:r>
            <w:r w:rsidR="009B1762">
              <w:t>he Commonwealth Department of Health</w:t>
            </w:r>
            <w:r w:rsidR="00841278">
              <w:t xml:space="preserve"> has ask</w:t>
            </w:r>
            <w:r>
              <w:t>ed</w:t>
            </w:r>
            <w:r w:rsidR="00841278">
              <w:t xml:space="preserve"> the</w:t>
            </w:r>
            <w:r w:rsidR="009B1762">
              <w:t xml:space="preserve"> </w:t>
            </w:r>
            <w:r>
              <w:t xml:space="preserve">Australian Bureau of Statistics </w:t>
            </w:r>
            <w:r w:rsidR="009B1762">
              <w:t xml:space="preserve">to include </w:t>
            </w:r>
            <w:r w:rsidR="00841278">
              <w:t xml:space="preserve">a </w:t>
            </w:r>
            <w:r w:rsidR="009B1762">
              <w:t>nutritional component in the next Australian Health Survey (2021</w:t>
            </w:r>
            <w:r w:rsidR="00CA6D80">
              <w:t>–</w:t>
            </w:r>
            <w:r w:rsidR="009B1762">
              <w:t>23).</w:t>
            </w:r>
            <w:r w:rsidR="00952FC7">
              <w:t xml:space="preserve"> </w:t>
            </w:r>
            <w:r w:rsidR="009B1762">
              <w:t>Red and processed meat consumption will be part of this survey.</w:t>
            </w:r>
            <w:r w:rsidR="00952FC7">
              <w:t xml:space="preserve"> </w:t>
            </w:r>
            <w:r w:rsidR="009B1762">
              <w:t>The department has recommended that it waits for this survey</w:t>
            </w:r>
            <w:r w:rsidR="00841278">
              <w:t>,</w:t>
            </w:r>
            <w:r w:rsidR="009B1762">
              <w:t xml:space="preserve"> which will inform th</w:t>
            </w:r>
            <w:r w:rsidR="00234BC5">
              <w:t>e</w:t>
            </w:r>
            <w:r w:rsidR="009B1762">
              <w:t xml:space="preserve"> third state cancer plan</w:t>
            </w:r>
            <w:r w:rsidR="00841278">
              <w:t>.</w:t>
            </w:r>
          </w:p>
        </w:tc>
        <w:tc>
          <w:tcPr>
            <w:tcW w:w="3685" w:type="dxa"/>
            <w:tcBorders>
              <w:top w:val="single" w:sz="4" w:space="0" w:color="C00000"/>
              <w:bottom w:val="single" w:sz="4" w:space="0" w:color="C00000"/>
            </w:tcBorders>
            <w:shd w:val="clear" w:color="auto" w:fill="FFFFFF" w:themeFill="background1"/>
          </w:tcPr>
          <w:p w14:paraId="0D019D5C" w14:textId="77777777" w:rsidR="009B1762" w:rsidRDefault="00E65EA1" w:rsidP="00E1278E">
            <w:pPr>
              <w:pStyle w:val="DHHStabletext"/>
            </w:pPr>
            <w:r>
              <w:t>Future report</w:t>
            </w:r>
          </w:p>
        </w:tc>
      </w:tr>
      <w:tr w:rsidR="009B1762" w14:paraId="6D03614A" w14:textId="77777777" w:rsidTr="00846861">
        <w:tc>
          <w:tcPr>
            <w:tcW w:w="1843" w:type="dxa"/>
            <w:tcBorders>
              <w:top w:val="single" w:sz="4" w:space="0" w:color="C00000"/>
              <w:bottom w:val="single" w:sz="4" w:space="0" w:color="C00000"/>
            </w:tcBorders>
            <w:shd w:val="clear" w:color="auto" w:fill="FFFFFF" w:themeFill="background1"/>
          </w:tcPr>
          <w:p w14:paraId="6D2FB10B" w14:textId="77777777" w:rsidR="009B1762" w:rsidRDefault="009B1762" w:rsidP="00E1278E">
            <w:pPr>
              <w:pStyle w:val="DHHStabletext"/>
            </w:pPr>
            <w:r>
              <w:t>7.8</w:t>
            </w:r>
          </w:p>
        </w:tc>
        <w:tc>
          <w:tcPr>
            <w:tcW w:w="2977" w:type="dxa"/>
            <w:tcBorders>
              <w:top w:val="single" w:sz="4" w:space="0" w:color="C00000"/>
              <w:bottom w:val="single" w:sz="4" w:space="0" w:color="C00000"/>
            </w:tcBorders>
            <w:shd w:val="clear" w:color="auto" w:fill="FFFFFF" w:themeFill="background1"/>
          </w:tcPr>
          <w:p w14:paraId="59A7DAB2" w14:textId="77777777" w:rsidR="009B1762" w:rsidRDefault="009B1762" w:rsidP="00E1278E">
            <w:pPr>
              <w:pStyle w:val="DHHStabletext"/>
            </w:pPr>
            <w:r>
              <w:t>Mean number of times that adults eat processed meat</w:t>
            </w:r>
          </w:p>
        </w:tc>
        <w:tc>
          <w:tcPr>
            <w:tcW w:w="5812" w:type="dxa"/>
            <w:tcBorders>
              <w:top w:val="single" w:sz="4" w:space="0" w:color="C00000"/>
              <w:bottom w:val="single" w:sz="4" w:space="0" w:color="C00000"/>
            </w:tcBorders>
            <w:shd w:val="clear" w:color="auto" w:fill="FFFFFF" w:themeFill="background1"/>
          </w:tcPr>
          <w:p w14:paraId="177DC77E" w14:textId="364AEE0E" w:rsidR="009B1762" w:rsidRDefault="00CB463B" w:rsidP="00E1278E">
            <w:pPr>
              <w:pStyle w:val="DHHStabletext"/>
            </w:pPr>
            <w:r>
              <w:t>Same as above for Measure 7.7</w:t>
            </w:r>
          </w:p>
        </w:tc>
        <w:tc>
          <w:tcPr>
            <w:tcW w:w="3685" w:type="dxa"/>
            <w:tcBorders>
              <w:top w:val="single" w:sz="4" w:space="0" w:color="C00000"/>
              <w:bottom w:val="single" w:sz="4" w:space="0" w:color="C00000"/>
            </w:tcBorders>
            <w:shd w:val="clear" w:color="auto" w:fill="FFFFFF" w:themeFill="background1"/>
          </w:tcPr>
          <w:p w14:paraId="4F5AE4AB" w14:textId="77777777" w:rsidR="009B1762" w:rsidRDefault="00E65EA1" w:rsidP="00E1278E">
            <w:pPr>
              <w:pStyle w:val="DHHStabletext"/>
            </w:pPr>
            <w:r>
              <w:t>Future report</w:t>
            </w:r>
          </w:p>
        </w:tc>
      </w:tr>
    </w:tbl>
    <w:p w14:paraId="48BB3CD3" w14:textId="77777777" w:rsidR="00BE2384" w:rsidRDefault="00BE2384">
      <w:pPr>
        <w:rPr>
          <w:rFonts w:ascii="Arial" w:eastAsia="MS Mincho" w:hAnsi="Arial"/>
          <w:b/>
          <w:bCs/>
          <w:color w:val="AF272F"/>
          <w:lang w:eastAsia="en-US"/>
        </w:rPr>
      </w:pPr>
      <w:r>
        <w:br w:type="page"/>
      </w:r>
    </w:p>
    <w:p w14:paraId="6B4895D1" w14:textId="2504EB15" w:rsidR="00A35D2E" w:rsidRDefault="00A35D2E" w:rsidP="00A35D2E">
      <w:pPr>
        <w:pStyle w:val="Heading5"/>
      </w:pPr>
      <w:r w:rsidRPr="00603D31">
        <w:lastRenderedPageBreak/>
        <w:t>Key result area: Increase early-stage diagnosis</w:t>
      </w:r>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843"/>
        <w:gridCol w:w="2972"/>
        <w:gridCol w:w="6095"/>
        <w:gridCol w:w="3407"/>
      </w:tblGrid>
      <w:tr w:rsidR="00A35D2E" w14:paraId="67533EA6" w14:textId="77777777" w:rsidTr="00A53875">
        <w:tc>
          <w:tcPr>
            <w:tcW w:w="1843" w:type="dxa"/>
            <w:tcBorders>
              <w:top w:val="nil"/>
              <w:left w:val="single" w:sz="4" w:space="0" w:color="FFFFFF" w:themeColor="background1"/>
              <w:right w:val="single" w:sz="4" w:space="0" w:color="FFFFFF" w:themeColor="background1"/>
            </w:tcBorders>
            <w:shd w:val="clear" w:color="auto" w:fill="EDCDCF"/>
          </w:tcPr>
          <w:p w14:paraId="7BFBC732" w14:textId="3B6019E5" w:rsidR="00A35D2E" w:rsidRPr="002A6B82" w:rsidRDefault="00206E9F" w:rsidP="007B6CCF">
            <w:pPr>
              <w:pStyle w:val="DHHStablecolhead"/>
            </w:pPr>
            <w:r>
              <w:t>Measure r</w:t>
            </w:r>
            <w:r w:rsidR="00A35D2E" w:rsidRPr="00603D31">
              <w:t>eference number</w:t>
            </w:r>
          </w:p>
        </w:tc>
        <w:tc>
          <w:tcPr>
            <w:tcW w:w="2972" w:type="dxa"/>
            <w:tcBorders>
              <w:top w:val="nil"/>
              <w:left w:val="single" w:sz="4" w:space="0" w:color="FFFFFF" w:themeColor="background1"/>
              <w:right w:val="single" w:sz="4" w:space="0" w:color="FFFFFF" w:themeColor="background1"/>
            </w:tcBorders>
            <w:shd w:val="clear" w:color="auto" w:fill="EDCDCF"/>
          </w:tcPr>
          <w:p w14:paraId="0515C746" w14:textId="7505F898" w:rsidR="00A35D2E" w:rsidRPr="002A6B82" w:rsidRDefault="00A35D2E" w:rsidP="007B6CCF">
            <w:pPr>
              <w:pStyle w:val="DHHStablecolhead"/>
            </w:pPr>
            <w:r w:rsidRPr="00603D31">
              <w:t>Name of measure</w:t>
            </w:r>
          </w:p>
        </w:tc>
        <w:tc>
          <w:tcPr>
            <w:tcW w:w="6095" w:type="dxa"/>
            <w:tcBorders>
              <w:top w:val="nil"/>
              <w:left w:val="single" w:sz="4" w:space="0" w:color="FFFFFF" w:themeColor="background1"/>
              <w:right w:val="single" w:sz="4" w:space="0" w:color="FFFFFF" w:themeColor="background1"/>
            </w:tcBorders>
            <w:shd w:val="clear" w:color="auto" w:fill="EDCDCF"/>
          </w:tcPr>
          <w:p w14:paraId="2F8A7085" w14:textId="011EE160" w:rsidR="00A35D2E" w:rsidRDefault="00A35D2E" w:rsidP="007B6CCF">
            <w:pPr>
              <w:pStyle w:val="DHHStablecolhead"/>
            </w:pPr>
            <w:r w:rsidRPr="00603D31">
              <w:t>Required next steps</w:t>
            </w:r>
          </w:p>
        </w:tc>
        <w:tc>
          <w:tcPr>
            <w:tcW w:w="3407" w:type="dxa"/>
            <w:tcBorders>
              <w:top w:val="nil"/>
              <w:left w:val="single" w:sz="4" w:space="0" w:color="FFFFFF" w:themeColor="background1"/>
            </w:tcBorders>
            <w:shd w:val="clear" w:color="auto" w:fill="EDCDCF"/>
          </w:tcPr>
          <w:p w14:paraId="6D0B589C" w14:textId="18B8C09F" w:rsidR="00A35D2E" w:rsidRDefault="00A35D2E" w:rsidP="007B6CCF">
            <w:pPr>
              <w:pStyle w:val="DHHStablecolhead"/>
            </w:pPr>
            <w:r w:rsidRPr="00603D31">
              <w:t>Indicative reporting schedule</w:t>
            </w:r>
          </w:p>
        </w:tc>
      </w:tr>
      <w:tr w:rsidR="00687D02" w14:paraId="5DAF22E4" w14:textId="77777777" w:rsidTr="00A53875">
        <w:tc>
          <w:tcPr>
            <w:tcW w:w="1843" w:type="dxa"/>
            <w:shd w:val="clear" w:color="auto" w:fill="auto"/>
          </w:tcPr>
          <w:p w14:paraId="28D0C5B8" w14:textId="77777777" w:rsidR="00687D02" w:rsidRPr="002A6B82" w:rsidRDefault="00687D02" w:rsidP="00E1278E">
            <w:pPr>
              <w:pStyle w:val="DHHStabletext"/>
            </w:pPr>
            <w:r w:rsidRPr="002A6B82">
              <w:t>11.1</w:t>
            </w:r>
          </w:p>
        </w:tc>
        <w:tc>
          <w:tcPr>
            <w:tcW w:w="2972" w:type="dxa"/>
            <w:shd w:val="clear" w:color="auto" w:fill="auto"/>
          </w:tcPr>
          <w:p w14:paraId="6C3DFBE2" w14:textId="7AA43C03" w:rsidR="00687D02" w:rsidRPr="002A6B82" w:rsidRDefault="00687D02" w:rsidP="00E1278E">
            <w:pPr>
              <w:pStyle w:val="DHHStabletext"/>
            </w:pPr>
            <w:r w:rsidRPr="002A6B82">
              <w:t>Proportion</w:t>
            </w:r>
            <w:r>
              <w:t xml:space="preserve"> of all cancers diagnosed at stages 1 </w:t>
            </w:r>
            <w:r w:rsidR="00EF5F4D">
              <w:t>or</w:t>
            </w:r>
            <w:r>
              <w:t xml:space="preserve"> 2</w:t>
            </w:r>
          </w:p>
        </w:tc>
        <w:tc>
          <w:tcPr>
            <w:tcW w:w="6095" w:type="dxa"/>
            <w:shd w:val="clear" w:color="auto" w:fill="auto"/>
          </w:tcPr>
          <w:p w14:paraId="20F4F75A" w14:textId="428E774D" w:rsidR="00687D02" w:rsidRPr="00687D02" w:rsidRDefault="00687D02" w:rsidP="00E1278E">
            <w:pPr>
              <w:pStyle w:val="DHHStabletext"/>
            </w:pPr>
            <w:r>
              <w:t xml:space="preserve">Currently staging is not extracted </w:t>
            </w:r>
            <w:r w:rsidR="005C297A">
              <w:t xml:space="preserve">from pathology reports </w:t>
            </w:r>
            <w:r>
              <w:t>for all tumour streams such as cervi</w:t>
            </w:r>
            <w:r w:rsidR="00AF57E5">
              <w:t>cal</w:t>
            </w:r>
            <w:r>
              <w:t xml:space="preserve"> and lung cancers. </w:t>
            </w:r>
            <w:r w:rsidRPr="00687D02">
              <w:t>The Victorian</w:t>
            </w:r>
            <w:r>
              <w:t xml:space="preserve"> Cancer Registry</w:t>
            </w:r>
            <w:r w:rsidR="00534428">
              <w:t xml:space="preserve"> (VCR)</w:t>
            </w:r>
            <w:r>
              <w:t xml:space="preserve"> is due to implement Abrevio, a </w:t>
            </w:r>
            <w:r>
              <w:rPr>
                <w:rStyle w:val="ilfuvd"/>
                <w:rFonts w:cs="Arial"/>
                <w:color w:val="222222"/>
              </w:rPr>
              <w:t>cancer document consolidation system that converts information embedded in various clinical documents, including pathology reports, into usable data.</w:t>
            </w:r>
            <w:r w:rsidR="00952FC7">
              <w:rPr>
                <w:rStyle w:val="ilfuvd"/>
                <w:rFonts w:cs="Arial"/>
                <w:color w:val="222222"/>
              </w:rPr>
              <w:t xml:space="preserve"> </w:t>
            </w:r>
            <w:r w:rsidR="00534428">
              <w:rPr>
                <w:rStyle w:val="ilfuvd"/>
                <w:rFonts w:cs="Arial"/>
                <w:color w:val="222222"/>
              </w:rPr>
              <w:t xml:space="preserve">This </w:t>
            </w:r>
            <w:r w:rsidR="005C297A">
              <w:rPr>
                <w:rStyle w:val="ilfuvd"/>
                <w:rFonts w:cs="Arial"/>
                <w:color w:val="222222"/>
              </w:rPr>
              <w:t xml:space="preserve">system </w:t>
            </w:r>
            <w:r w:rsidR="00534428">
              <w:rPr>
                <w:rStyle w:val="ilfuvd"/>
                <w:rFonts w:cs="Arial"/>
                <w:color w:val="222222"/>
              </w:rPr>
              <w:t xml:space="preserve">will enable </w:t>
            </w:r>
            <w:r w:rsidR="0046746C">
              <w:rPr>
                <w:rStyle w:val="ilfuvd"/>
                <w:rFonts w:cs="Arial"/>
                <w:color w:val="222222"/>
              </w:rPr>
              <w:t xml:space="preserve">the Victorian Cancer Registry </w:t>
            </w:r>
            <w:r w:rsidR="005C297A">
              <w:rPr>
                <w:rStyle w:val="ilfuvd"/>
                <w:rFonts w:cs="Arial"/>
                <w:color w:val="222222"/>
              </w:rPr>
              <w:t>to extract all staging information specific to cervix and lung cancers from pathology reports.</w:t>
            </w:r>
          </w:p>
        </w:tc>
        <w:tc>
          <w:tcPr>
            <w:tcW w:w="3407" w:type="dxa"/>
            <w:shd w:val="clear" w:color="auto" w:fill="auto"/>
          </w:tcPr>
          <w:p w14:paraId="70C2010C" w14:textId="77777777" w:rsidR="00687D02" w:rsidRPr="00687D02" w:rsidRDefault="00687D02" w:rsidP="00E1278E">
            <w:pPr>
              <w:pStyle w:val="DHHStabletext"/>
            </w:pPr>
            <w:r>
              <w:t>Future report</w:t>
            </w:r>
          </w:p>
        </w:tc>
      </w:tr>
      <w:tr w:rsidR="00687D02" w14:paraId="6C9F9B61" w14:textId="77777777" w:rsidTr="00A53875">
        <w:tc>
          <w:tcPr>
            <w:tcW w:w="1843" w:type="dxa"/>
            <w:shd w:val="clear" w:color="auto" w:fill="auto"/>
          </w:tcPr>
          <w:p w14:paraId="22DA76A5" w14:textId="77777777" w:rsidR="00687D02" w:rsidRPr="002A6B82" w:rsidRDefault="00687D02" w:rsidP="00E1278E">
            <w:pPr>
              <w:pStyle w:val="DHHStabletext"/>
            </w:pPr>
            <w:r w:rsidRPr="002A6B82">
              <w:t>11</w:t>
            </w:r>
            <w:r>
              <w:t>.4</w:t>
            </w:r>
          </w:p>
        </w:tc>
        <w:tc>
          <w:tcPr>
            <w:tcW w:w="2972" w:type="dxa"/>
            <w:shd w:val="clear" w:color="auto" w:fill="auto"/>
          </w:tcPr>
          <w:p w14:paraId="32066E69" w14:textId="3BCD5940" w:rsidR="00687D02" w:rsidRPr="002A6B82" w:rsidRDefault="00687D02" w:rsidP="00E1278E">
            <w:pPr>
              <w:pStyle w:val="DHHStabletext"/>
            </w:pPr>
            <w:r>
              <w:t>Proportion of cervi</w:t>
            </w:r>
            <w:r w:rsidR="00EF5F4D">
              <w:t>cal</w:t>
            </w:r>
            <w:r>
              <w:t xml:space="preserve"> cancers diagnosed at stages 1 </w:t>
            </w:r>
            <w:r w:rsidR="00EF5F4D">
              <w:t>or</w:t>
            </w:r>
            <w:r>
              <w:t xml:space="preserve"> 2</w:t>
            </w:r>
          </w:p>
        </w:tc>
        <w:tc>
          <w:tcPr>
            <w:tcW w:w="6095" w:type="dxa"/>
            <w:shd w:val="clear" w:color="auto" w:fill="auto"/>
          </w:tcPr>
          <w:p w14:paraId="3BC67D26" w14:textId="005D01CE" w:rsidR="00687D02" w:rsidRPr="00687D02" w:rsidRDefault="00CB463B" w:rsidP="00E1278E">
            <w:pPr>
              <w:pStyle w:val="DHHStabletext"/>
            </w:pPr>
            <w:r>
              <w:t>Same as above for Measure 11.1.</w:t>
            </w:r>
          </w:p>
        </w:tc>
        <w:tc>
          <w:tcPr>
            <w:tcW w:w="3407" w:type="dxa"/>
            <w:shd w:val="clear" w:color="auto" w:fill="auto"/>
          </w:tcPr>
          <w:p w14:paraId="48BBEDD3" w14:textId="77777777" w:rsidR="00687D02" w:rsidRPr="00687D02" w:rsidRDefault="00687D02" w:rsidP="00E1278E">
            <w:pPr>
              <w:pStyle w:val="DHHStabletext"/>
            </w:pPr>
            <w:r>
              <w:t>Future report</w:t>
            </w:r>
          </w:p>
        </w:tc>
      </w:tr>
      <w:tr w:rsidR="00687D02" w14:paraId="58E54EB5" w14:textId="77777777" w:rsidTr="00A53875">
        <w:tc>
          <w:tcPr>
            <w:tcW w:w="1843" w:type="dxa"/>
            <w:shd w:val="clear" w:color="auto" w:fill="auto"/>
          </w:tcPr>
          <w:p w14:paraId="4218CF60" w14:textId="77777777" w:rsidR="00687D02" w:rsidRPr="002A6B82" w:rsidRDefault="00687D02" w:rsidP="00E1278E">
            <w:pPr>
              <w:pStyle w:val="DHHStabletext"/>
            </w:pPr>
            <w:r>
              <w:t>11.5</w:t>
            </w:r>
          </w:p>
        </w:tc>
        <w:tc>
          <w:tcPr>
            <w:tcW w:w="2972" w:type="dxa"/>
            <w:shd w:val="clear" w:color="auto" w:fill="auto"/>
          </w:tcPr>
          <w:p w14:paraId="4CD86885" w14:textId="2B38E94F" w:rsidR="00687D02" w:rsidRPr="002A6B82" w:rsidRDefault="00687D02" w:rsidP="00E1278E">
            <w:pPr>
              <w:pStyle w:val="DHHStabletext"/>
            </w:pPr>
            <w:r>
              <w:t xml:space="preserve">Proportion of lung cancers diagnosed at stages 1 </w:t>
            </w:r>
            <w:r w:rsidR="00EF5F4D">
              <w:t>or</w:t>
            </w:r>
            <w:r>
              <w:t xml:space="preserve"> 2</w:t>
            </w:r>
          </w:p>
        </w:tc>
        <w:tc>
          <w:tcPr>
            <w:tcW w:w="6095" w:type="dxa"/>
            <w:shd w:val="clear" w:color="auto" w:fill="auto"/>
          </w:tcPr>
          <w:p w14:paraId="252E9D92" w14:textId="536A27F2" w:rsidR="00687D02" w:rsidRPr="00687D02" w:rsidRDefault="00CB463B" w:rsidP="00E1278E">
            <w:pPr>
              <w:pStyle w:val="DHHStabletext"/>
            </w:pPr>
            <w:r>
              <w:t>Same as above for Measure 11.1.</w:t>
            </w:r>
          </w:p>
        </w:tc>
        <w:tc>
          <w:tcPr>
            <w:tcW w:w="3407" w:type="dxa"/>
            <w:shd w:val="clear" w:color="auto" w:fill="auto"/>
          </w:tcPr>
          <w:p w14:paraId="085FA90F" w14:textId="77777777" w:rsidR="00687D02" w:rsidRPr="00687D02" w:rsidRDefault="00687D02" w:rsidP="00E1278E">
            <w:pPr>
              <w:pStyle w:val="DHHStabletext"/>
            </w:pPr>
            <w:r>
              <w:t>Future report</w:t>
            </w:r>
          </w:p>
        </w:tc>
      </w:tr>
    </w:tbl>
    <w:p w14:paraId="0EE401C4" w14:textId="7C088173" w:rsidR="009F18EA" w:rsidRDefault="009F18EA" w:rsidP="009F18EA">
      <w:pPr>
        <w:pStyle w:val="Heading5"/>
      </w:pPr>
      <w:r w:rsidRPr="00603D31">
        <w:t>Key result area: Increase adherence to optimal care pathways</w:t>
      </w:r>
    </w:p>
    <w:tbl>
      <w:tblPr>
        <w:tblW w:w="14317" w:type="dxa"/>
        <w:tblBorders>
          <w:top w:val="single" w:sz="12" w:space="0" w:color="FFFFFF" w:themeColor="background1"/>
          <w:insideH w:val="single" w:sz="12" w:space="0" w:color="FFFFFF" w:themeColor="background1"/>
          <w:insideV w:val="single" w:sz="12" w:space="0" w:color="FFFFFF" w:themeColor="background1"/>
        </w:tblBorders>
        <w:shd w:val="clear" w:color="auto" w:fill="EDCDCF"/>
        <w:tblLook w:val="04A0" w:firstRow="1" w:lastRow="0" w:firstColumn="1" w:lastColumn="0" w:noHBand="0" w:noVBand="1"/>
      </w:tblPr>
      <w:tblGrid>
        <w:gridCol w:w="1303"/>
        <w:gridCol w:w="3800"/>
        <w:gridCol w:w="5812"/>
        <w:gridCol w:w="3402"/>
      </w:tblGrid>
      <w:tr w:rsidR="009F18EA" w14:paraId="472C3DEB" w14:textId="77777777" w:rsidTr="00A53875">
        <w:tc>
          <w:tcPr>
            <w:tcW w:w="1303" w:type="dxa"/>
            <w:tcBorders>
              <w:bottom w:val="single" w:sz="4" w:space="0" w:color="C00000"/>
            </w:tcBorders>
            <w:shd w:val="clear" w:color="auto" w:fill="EDCDCF"/>
          </w:tcPr>
          <w:p w14:paraId="1DA8CF7A" w14:textId="32F70A87" w:rsidR="009F18EA" w:rsidRDefault="00206E9F" w:rsidP="007B6CCF">
            <w:pPr>
              <w:pStyle w:val="DHHStablecolhead"/>
            </w:pPr>
            <w:r>
              <w:t>Measure r</w:t>
            </w:r>
            <w:r w:rsidR="009F18EA" w:rsidRPr="00603D31">
              <w:t>eference number</w:t>
            </w:r>
          </w:p>
        </w:tc>
        <w:tc>
          <w:tcPr>
            <w:tcW w:w="3800" w:type="dxa"/>
            <w:tcBorders>
              <w:bottom w:val="single" w:sz="4" w:space="0" w:color="C00000"/>
            </w:tcBorders>
            <w:shd w:val="clear" w:color="auto" w:fill="EDCDCF"/>
          </w:tcPr>
          <w:p w14:paraId="702C498B" w14:textId="56118E2A" w:rsidR="009F18EA" w:rsidRDefault="009F18EA" w:rsidP="007B6CCF">
            <w:pPr>
              <w:pStyle w:val="DHHStablecolhead"/>
            </w:pPr>
            <w:r w:rsidRPr="00603D31">
              <w:t>Name of measure</w:t>
            </w:r>
          </w:p>
        </w:tc>
        <w:tc>
          <w:tcPr>
            <w:tcW w:w="5812" w:type="dxa"/>
            <w:tcBorders>
              <w:bottom w:val="single" w:sz="4" w:space="0" w:color="C00000"/>
            </w:tcBorders>
            <w:shd w:val="clear" w:color="auto" w:fill="EDCDCF"/>
          </w:tcPr>
          <w:p w14:paraId="6E0E4B9C" w14:textId="7A87B7A6" w:rsidR="009F18EA" w:rsidRPr="00BC51BA" w:rsidRDefault="009F18EA" w:rsidP="007B6CCF">
            <w:pPr>
              <w:pStyle w:val="DHHStablecolhead"/>
            </w:pPr>
            <w:r w:rsidRPr="00603D31">
              <w:t>Required next steps</w:t>
            </w:r>
          </w:p>
        </w:tc>
        <w:tc>
          <w:tcPr>
            <w:tcW w:w="3402" w:type="dxa"/>
            <w:tcBorders>
              <w:bottom w:val="single" w:sz="4" w:space="0" w:color="C00000"/>
            </w:tcBorders>
            <w:shd w:val="clear" w:color="auto" w:fill="EDCDCF"/>
          </w:tcPr>
          <w:p w14:paraId="35779217" w14:textId="439D45B4" w:rsidR="009F18EA" w:rsidRPr="00A00A5F" w:rsidRDefault="009F18EA" w:rsidP="007B6CCF">
            <w:pPr>
              <w:pStyle w:val="DHHStablecolhead"/>
            </w:pPr>
            <w:r w:rsidRPr="00603D31">
              <w:t>Indicative reporting schedule</w:t>
            </w:r>
          </w:p>
        </w:tc>
      </w:tr>
      <w:tr w:rsidR="007F267D" w14:paraId="674C8F0B" w14:textId="77777777" w:rsidTr="00A53875">
        <w:tc>
          <w:tcPr>
            <w:tcW w:w="1303" w:type="dxa"/>
            <w:tcBorders>
              <w:top w:val="single" w:sz="4" w:space="0" w:color="C00000"/>
              <w:bottom w:val="single" w:sz="4" w:space="0" w:color="C00000"/>
            </w:tcBorders>
            <w:shd w:val="clear" w:color="auto" w:fill="auto"/>
          </w:tcPr>
          <w:p w14:paraId="3E059270" w14:textId="7D2EF770" w:rsidR="007F267D" w:rsidRDefault="007F267D" w:rsidP="00E1278E">
            <w:pPr>
              <w:pStyle w:val="DHHStabletext"/>
            </w:pPr>
            <w:r>
              <w:t>12.2</w:t>
            </w:r>
          </w:p>
        </w:tc>
        <w:tc>
          <w:tcPr>
            <w:tcW w:w="3800" w:type="dxa"/>
            <w:tcBorders>
              <w:top w:val="single" w:sz="4" w:space="0" w:color="C00000"/>
              <w:bottom w:val="single" w:sz="4" w:space="0" w:color="C00000"/>
            </w:tcBorders>
            <w:shd w:val="clear" w:color="auto" w:fill="auto"/>
          </w:tcPr>
          <w:p w14:paraId="76CFB78A" w14:textId="77777777" w:rsidR="007F267D" w:rsidRPr="007F7A9E" w:rsidRDefault="007F267D" w:rsidP="00E1278E">
            <w:pPr>
              <w:pStyle w:val="DHHStabletext"/>
            </w:pPr>
            <w:r>
              <w:t>Proportion of patients receiving PET prior to primary treatment where appropriate</w:t>
            </w:r>
          </w:p>
        </w:tc>
        <w:tc>
          <w:tcPr>
            <w:tcW w:w="5812" w:type="dxa"/>
            <w:tcBorders>
              <w:top w:val="single" w:sz="4" w:space="0" w:color="C00000"/>
              <w:bottom w:val="single" w:sz="4" w:space="0" w:color="C00000"/>
            </w:tcBorders>
            <w:shd w:val="clear" w:color="auto" w:fill="auto"/>
          </w:tcPr>
          <w:p w14:paraId="19C115B5" w14:textId="53D8A701" w:rsidR="007F267D" w:rsidRPr="00BC51BA" w:rsidRDefault="007F267D" w:rsidP="00E1278E">
            <w:pPr>
              <w:pStyle w:val="DHHStabletext"/>
            </w:pPr>
            <w:r w:rsidRPr="00BC51BA">
              <w:t xml:space="preserve">There </w:t>
            </w:r>
            <w:r w:rsidR="00AF57E5">
              <w:t>are</w:t>
            </w:r>
            <w:r w:rsidRPr="00BC51BA">
              <w:t xml:space="preserve"> currently no Medical Benefits Scheme (MBS) data available for the cancer cohort</w:t>
            </w:r>
            <w:r w:rsidR="0046746C">
              <w:t>,</w:t>
            </w:r>
            <w:r w:rsidRPr="00BC51BA">
              <w:t xml:space="preserve"> but it </w:t>
            </w:r>
            <w:r w:rsidR="00CF6CB9">
              <w:t xml:space="preserve">is expected this </w:t>
            </w:r>
            <w:r w:rsidRPr="00BC51BA">
              <w:t>will be available in the future.</w:t>
            </w:r>
          </w:p>
          <w:p w14:paraId="1F6A7BE0" w14:textId="77777777" w:rsidR="007F267D" w:rsidRPr="00C54C4B" w:rsidRDefault="007F267D" w:rsidP="00E1278E">
            <w:pPr>
              <w:pStyle w:val="DHHStabletext"/>
              <w:rPr>
                <w:highlight w:val="yellow"/>
              </w:rPr>
            </w:pPr>
          </w:p>
        </w:tc>
        <w:tc>
          <w:tcPr>
            <w:tcW w:w="3402" w:type="dxa"/>
            <w:tcBorders>
              <w:top w:val="single" w:sz="4" w:space="0" w:color="C00000"/>
              <w:bottom w:val="single" w:sz="4" w:space="0" w:color="C00000"/>
            </w:tcBorders>
            <w:shd w:val="clear" w:color="auto" w:fill="auto"/>
          </w:tcPr>
          <w:p w14:paraId="531EFFEA" w14:textId="77777777" w:rsidR="007F267D" w:rsidRPr="00C54C4B" w:rsidRDefault="007F267D" w:rsidP="00E1278E">
            <w:pPr>
              <w:pStyle w:val="DHHStabletext"/>
              <w:rPr>
                <w:highlight w:val="yellow"/>
              </w:rPr>
            </w:pPr>
            <w:r w:rsidRPr="00A00A5F">
              <w:t>Future report</w:t>
            </w:r>
          </w:p>
        </w:tc>
      </w:tr>
      <w:tr w:rsidR="007F267D" w14:paraId="2E921B3D" w14:textId="77777777" w:rsidTr="00A53875">
        <w:tc>
          <w:tcPr>
            <w:tcW w:w="1303" w:type="dxa"/>
            <w:tcBorders>
              <w:top w:val="single" w:sz="4" w:space="0" w:color="C00000"/>
              <w:bottom w:val="single" w:sz="4" w:space="0" w:color="C00000"/>
            </w:tcBorders>
            <w:shd w:val="clear" w:color="auto" w:fill="auto"/>
          </w:tcPr>
          <w:p w14:paraId="7F188D6E" w14:textId="77777777" w:rsidR="007F267D" w:rsidRDefault="007F267D" w:rsidP="00E1278E">
            <w:pPr>
              <w:pStyle w:val="DHHStabletext"/>
            </w:pPr>
            <w:r>
              <w:t>12.3</w:t>
            </w:r>
          </w:p>
        </w:tc>
        <w:tc>
          <w:tcPr>
            <w:tcW w:w="3800" w:type="dxa"/>
            <w:tcBorders>
              <w:top w:val="single" w:sz="4" w:space="0" w:color="C00000"/>
              <w:bottom w:val="single" w:sz="4" w:space="0" w:color="C00000"/>
            </w:tcBorders>
            <w:shd w:val="clear" w:color="auto" w:fill="auto"/>
          </w:tcPr>
          <w:p w14:paraId="6BF6BF80" w14:textId="77777777" w:rsidR="007F267D" w:rsidRDefault="007F267D" w:rsidP="00E1278E">
            <w:pPr>
              <w:pStyle w:val="DHHStabletext"/>
            </w:pPr>
            <w:r>
              <w:t>Proportion of patients receiving molecular diagnostics prior to primary treatment where appropriate</w:t>
            </w:r>
          </w:p>
        </w:tc>
        <w:tc>
          <w:tcPr>
            <w:tcW w:w="5812" w:type="dxa"/>
            <w:tcBorders>
              <w:top w:val="single" w:sz="4" w:space="0" w:color="C00000"/>
              <w:bottom w:val="single" w:sz="4" w:space="0" w:color="C00000"/>
            </w:tcBorders>
            <w:shd w:val="clear" w:color="auto" w:fill="auto"/>
          </w:tcPr>
          <w:p w14:paraId="741D8C28" w14:textId="60E90E44" w:rsidR="007F267D" w:rsidRPr="00BC51BA" w:rsidRDefault="00CB463B" w:rsidP="00E1278E">
            <w:pPr>
              <w:pStyle w:val="DHHStabletext"/>
            </w:pPr>
            <w:r>
              <w:t>Same as above for Measure 12.2.</w:t>
            </w:r>
          </w:p>
        </w:tc>
        <w:tc>
          <w:tcPr>
            <w:tcW w:w="3402" w:type="dxa"/>
            <w:tcBorders>
              <w:top w:val="single" w:sz="4" w:space="0" w:color="C00000"/>
              <w:bottom w:val="single" w:sz="4" w:space="0" w:color="C00000"/>
            </w:tcBorders>
            <w:shd w:val="clear" w:color="auto" w:fill="auto"/>
          </w:tcPr>
          <w:p w14:paraId="2C96C1B6" w14:textId="37D0E020" w:rsidR="007F267D" w:rsidRPr="00A00A5F" w:rsidRDefault="00CB463B" w:rsidP="00E1278E">
            <w:pPr>
              <w:pStyle w:val="DHHStabletext"/>
            </w:pPr>
            <w:r w:rsidRPr="00A00A5F">
              <w:t>Future report</w:t>
            </w:r>
          </w:p>
        </w:tc>
      </w:tr>
      <w:tr w:rsidR="007F267D" w14:paraId="3F46B3FF" w14:textId="77777777" w:rsidTr="00A53875">
        <w:tc>
          <w:tcPr>
            <w:tcW w:w="1303" w:type="dxa"/>
            <w:tcBorders>
              <w:top w:val="single" w:sz="4" w:space="0" w:color="C00000"/>
              <w:bottom w:val="single" w:sz="4" w:space="0" w:color="C00000"/>
            </w:tcBorders>
            <w:shd w:val="clear" w:color="auto" w:fill="auto"/>
          </w:tcPr>
          <w:p w14:paraId="362BCEE0" w14:textId="77777777" w:rsidR="007F267D" w:rsidRDefault="007F267D" w:rsidP="00E1278E">
            <w:pPr>
              <w:pStyle w:val="DHHStabletext"/>
            </w:pPr>
            <w:r>
              <w:t>12.7</w:t>
            </w:r>
          </w:p>
        </w:tc>
        <w:tc>
          <w:tcPr>
            <w:tcW w:w="3800" w:type="dxa"/>
            <w:tcBorders>
              <w:top w:val="single" w:sz="4" w:space="0" w:color="C00000"/>
              <w:bottom w:val="single" w:sz="4" w:space="0" w:color="C00000"/>
            </w:tcBorders>
            <w:shd w:val="clear" w:color="auto" w:fill="auto"/>
          </w:tcPr>
          <w:p w14:paraId="49AC2770" w14:textId="77777777" w:rsidR="007F267D" w:rsidRDefault="007F267D" w:rsidP="00E1278E">
            <w:pPr>
              <w:pStyle w:val="DHHStabletext"/>
            </w:pPr>
            <w:r>
              <w:t>Proportion of patients aged less than 40 years referred to fertility preservation treatment as part of their primary treatment</w:t>
            </w:r>
          </w:p>
        </w:tc>
        <w:tc>
          <w:tcPr>
            <w:tcW w:w="5812" w:type="dxa"/>
            <w:tcBorders>
              <w:top w:val="single" w:sz="4" w:space="0" w:color="C00000"/>
              <w:bottom w:val="single" w:sz="4" w:space="0" w:color="C00000"/>
            </w:tcBorders>
            <w:shd w:val="clear" w:color="auto" w:fill="auto"/>
          </w:tcPr>
          <w:p w14:paraId="6C71D923" w14:textId="2757C4EF" w:rsidR="007F267D" w:rsidRPr="00BC51BA" w:rsidRDefault="00CB463B" w:rsidP="00E1278E">
            <w:pPr>
              <w:pStyle w:val="DHHStabletext"/>
            </w:pPr>
            <w:r>
              <w:t>Same as above for Measure 12.2.</w:t>
            </w:r>
          </w:p>
        </w:tc>
        <w:tc>
          <w:tcPr>
            <w:tcW w:w="3402" w:type="dxa"/>
            <w:tcBorders>
              <w:top w:val="single" w:sz="4" w:space="0" w:color="C00000"/>
              <w:bottom w:val="single" w:sz="4" w:space="0" w:color="C00000"/>
            </w:tcBorders>
            <w:shd w:val="clear" w:color="auto" w:fill="auto"/>
          </w:tcPr>
          <w:p w14:paraId="66A411AB" w14:textId="63330A7B" w:rsidR="007F267D" w:rsidRPr="00A00A5F" w:rsidRDefault="00CB463B" w:rsidP="00E1278E">
            <w:pPr>
              <w:pStyle w:val="DHHStabletext"/>
            </w:pPr>
            <w:r w:rsidRPr="00A00A5F">
              <w:t>Future report</w:t>
            </w:r>
          </w:p>
        </w:tc>
      </w:tr>
      <w:tr w:rsidR="0066291D" w14:paraId="7B16B3F7" w14:textId="77777777" w:rsidTr="00A53875">
        <w:tc>
          <w:tcPr>
            <w:tcW w:w="1303" w:type="dxa"/>
            <w:tcBorders>
              <w:top w:val="single" w:sz="4" w:space="0" w:color="C00000"/>
              <w:bottom w:val="single" w:sz="4" w:space="0" w:color="C00000"/>
            </w:tcBorders>
            <w:shd w:val="clear" w:color="auto" w:fill="auto"/>
          </w:tcPr>
          <w:p w14:paraId="1674268A" w14:textId="77777777" w:rsidR="0066291D" w:rsidRPr="00D67FE9" w:rsidRDefault="0066291D" w:rsidP="00E1278E">
            <w:pPr>
              <w:pStyle w:val="DHHStabletext"/>
            </w:pPr>
            <w:r w:rsidRPr="00D67FE9">
              <w:t>12.11</w:t>
            </w:r>
          </w:p>
        </w:tc>
        <w:tc>
          <w:tcPr>
            <w:tcW w:w="3800" w:type="dxa"/>
            <w:tcBorders>
              <w:top w:val="single" w:sz="4" w:space="0" w:color="C00000"/>
              <w:bottom w:val="single" w:sz="4" w:space="0" w:color="C00000"/>
            </w:tcBorders>
            <w:shd w:val="clear" w:color="auto" w:fill="auto"/>
          </w:tcPr>
          <w:p w14:paraId="00F73B00" w14:textId="77777777" w:rsidR="0066291D" w:rsidRPr="00D67FE9" w:rsidRDefault="0066291D" w:rsidP="00E1278E">
            <w:pPr>
              <w:pStyle w:val="DHHStabletext"/>
            </w:pPr>
            <w:r w:rsidRPr="00D67FE9">
              <w:t>Proportion of patients with local recurrence or primary tumour within two years</w:t>
            </w:r>
            <w:r w:rsidR="00A8632B" w:rsidRPr="00D67FE9">
              <w:t xml:space="preserve"> of surgical resection or curative radiotherapy of a primary tumour</w:t>
            </w:r>
          </w:p>
        </w:tc>
        <w:tc>
          <w:tcPr>
            <w:tcW w:w="5812" w:type="dxa"/>
            <w:tcBorders>
              <w:top w:val="single" w:sz="4" w:space="0" w:color="C00000"/>
              <w:bottom w:val="single" w:sz="4" w:space="0" w:color="C00000"/>
            </w:tcBorders>
            <w:shd w:val="clear" w:color="auto" w:fill="auto"/>
          </w:tcPr>
          <w:p w14:paraId="279F31B0" w14:textId="6476727B" w:rsidR="00D67FE9" w:rsidRPr="00D67FE9" w:rsidRDefault="00D67FE9" w:rsidP="00E1278E">
            <w:pPr>
              <w:pStyle w:val="DHHStabletext"/>
            </w:pPr>
            <w:r w:rsidRPr="00D67FE9">
              <w:t xml:space="preserve">Although date of recurrence is currently </w:t>
            </w:r>
            <w:r>
              <w:t>un</w:t>
            </w:r>
            <w:r w:rsidRPr="00D67FE9">
              <w:t>available, it could probably be derived from the currently available linked data (VCR, VAED, VINAH).</w:t>
            </w:r>
            <w:r w:rsidR="00F90C56">
              <w:t xml:space="preserve"> </w:t>
            </w:r>
            <w:r w:rsidR="00F90C56" w:rsidRPr="00D67FE9">
              <w:t xml:space="preserve">This </w:t>
            </w:r>
            <w:r w:rsidR="00F90C56">
              <w:t>requires a</w:t>
            </w:r>
            <w:r w:rsidR="00222342">
              <w:t xml:space="preserve">n </w:t>
            </w:r>
            <w:r w:rsidR="00F90C56">
              <w:t>extensive</w:t>
            </w:r>
            <w:r w:rsidR="00222342">
              <w:t xml:space="preserve"> </w:t>
            </w:r>
            <w:r w:rsidR="00F90C56" w:rsidRPr="00D67FE9">
              <w:t xml:space="preserve">validation </w:t>
            </w:r>
            <w:r w:rsidR="00F90C56">
              <w:t xml:space="preserve">process </w:t>
            </w:r>
            <w:r w:rsidR="00F90C56" w:rsidRPr="00D67FE9">
              <w:t>before it c</w:t>
            </w:r>
            <w:r w:rsidR="00F90C56">
              <w:t>an</w:t>
            </w:r>
            <w:r w:rsidR="00F90C56" w:rsidRPr="00D67FE9">
              <w:t xml:space="preserve"> be used to</w:t>
            </w:r>
            <w:r w:rsidR="00F90C56">
              <w:t xml:space="preserve"> report against this measure in the future.</w:t>
            </w:r>
          </w:p>
        </w:tc>
        <w:tc>
          <w:tcPr>
            <w:tcW w:w="3402" w:type="dxa"/>
            <w:tcBorders>
              <w:top w:val="single" w:sz="4" w:space="0" w:color="C00000"/>
              <w:bottom w:val="single" w:sz="4" w:space="0" w:color="C00000"/>
            </w:tcBorders>
            <w:shd w:val="clear" w:color="auto" w:fill="auto"/>
          </w:tcPr>
          <w:p w14:paraId="0A9E1342" w14:textId="51009C68" w:rsidR="0046746C" w:rsidRDefault="00D67FE9" w:rsidP="00E1278E">
            <w:pPr>
              <w:pStyle w:val="DHHStabletext"/>
            </w:pPr>
            <w:r>
              <w:t xml:space="preserve">To be determined </w:t>
            </w:r>
          </w:p>
          <w:p w14:paraId="2141F9BE" w14:textId="214C63D1" w:rsidR="0066291D" w:rsidRPr="007F267D" w:rsidRDefault="00E863D5" w:rsidP="00E1278E">
            <w:pPr>
              <w:pStyle w:val="DHHStabletext"/>
              <w:rPr>
                <w:highlight w:val="yellow"/>
              </w:rPr>
            </w:pPr>
            <w:r w:rsidRPr="00D67FE9">
              <w:t>Future report</w:t>
            </w:r>
          </w:p>
        </w:tc>
      </w:tr>
    </w:tbl>
    <w:p w14:paraId="6029849E" w14:textId="7FE65E9C" w:rsidR="00BC6977" w:rsidRDefault="00BC6977" w:rsidP="00BC6977">
      <w:pPr>
        <w:pStyle w:val="Heading5"/>
      </w:pPr>
      <w:r w:rsidRPr="00BC6977">
        <w:lastRenderedPageBreak/>
        <w:t>Key result area: Increase one- and five-year survival</w:t>
      </w:r>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303"/>
        <w:gridCol w:w="3512"/>
        <w:gridCol w:w="5675"/>
        <w:gridCol w:w="3827"/>
      </w:tblGrid>
      <w:tr w:rsidR="00BC6977" w14:paraId="74F31DE9" w14:textId="77777777" w:rsidTr="004C0F3F">
        <w:tc>
          <w:tcPr>
            <w:tcW w:w="1303" w:type="dxa"/>
            <w:tcBorders>
              <w:top w:val="nil"/>
              <w:left w:val="single" w:sz="4" w:space="0" w:color="FFFFFF" w:themeColor="background1"/>
              <w:right w:val="single" w:sz="4" w:space="0" w:color="FFFFFF" w:themeColor="background1"/>
            </w:tcBorders>
            <w:shd w:val="clear" w:color="auto" w:fill="EDCDCF"/>
          </w:tcPr>
          <w:p w14:paraId="59C9857F" w14:textId="0ED34C09" w:rsidR="00BC6977" w:rsidRDefault="00206E9F" w:rsidP="007B6CCF">
            <w:pPr>
              <w:pStyle w:val="DHHStablecolhead"/>
            </w:pPr>
            <w:r>
              <w:t>Measure r</w:t>
            </w:r>
            <w:r w:rsidR="00BC6977" w:rsidRPr="00603D31">
              <w:t>eference number</w:t>
            </w:r>
          </w:p>
        </w:tc>
        <w:tc>
          <w:tcPr>
            <w:tcW w:w="3512" w:type="dxa"/>
            <w:tcBorders>
              <w:top w:val="nil"/>
              <w:left w:val="single" w:sz="4" w:space="0" w:color="FFFFFF" w:themeColor="background1"/>
              <w:right w:val="single" w:sz="4" w:space="0" w:color="FFFFFF" w:themeColor="background1"/>
            </w:tcBorders>
            <w:shd w:val="clear" w:color="auto" w:fill="EDCDCF"/>
          </w:tcPr>
          <w:p w14:paraId="23132E55" w14:textId="29502FED" w:rsidR="00BC6977" w:rsidRDefault="00BC6977" w:rsidP="007B6CCF">
            <w:pPr>
              <w:pStyle w:val="DHHStablecolhead"/>
            </w:pPr>
            <w:r w:rsidRPr="00603D31">
              <w:t>Name of measure</w:t>
            </w:r>
          </w:p>
        </w:tc>
        <w:tc>
          <w:tcPr>
            <w:tcW w:w="5675" w:type="dxa"/>
            <w:tcBorders>
              <w:top w:val="nil"/>
              <w:left w:val="single" w:sz="4" w:space="0" w:color="FFFFFF" w:themeColor="background1"/>
              <w:right w:val="single" w:sz="4" w:space="0" w:color="FFFFFF" w:themeColor="background1"/>
            </w:tcBorders>
            <w:shd w:val="clear" w:color="auto" w:fill="EDCDCF"/>
          </w:tcPr>
          <w:p w14:paraId="31E53A83" w14:textId="044B688C" w:rsidR="00BC6977" w:rsidRDefault="00BC6977" w:rsidP="007B6CCF">
            <w:pPr>
              <w:pStyle w:val="DHHStablecolhead"/>
            </w:pPr>
            <w:r w:rsidRPr="00603D31">
              <w:t>Required next steps</w:t>
            </w:r>
          </w:p>
        </w:tc>
        <w:tc>
          <w:tcPr>
            <w:tcW w:w="3827" w:type="dxa"/>
            <w:tcBorders>
              <w:top w:val="nil"/>
              <w:left w:val="single" w:sz="4" w:space="0" w:color="FFFFFF" w:themeColor="background1"/>
            </w:tcBorders>
            <w:shd w:val="clear" w:color="auto" w:fill="EDCDCF"/>
          </w:tcPr>
          <w:p w14:paraId="42027FF1" w14:textId="5BF68758" w:rsidR="00BC6977" w:rsidRDefault="00BC6977" w:rsidP="007B6CCF">
            <w:pPr>
              <w:pStyle w:val="DHHStablecolhead"/>
            </w:pPr>
            <w:r w:rsidRPr="00603D31">
              <w:t>Indicative reporting schedule</w:t>
            </w:r>
          </w:p>
        </w:tc>
      </w:tr>
      <w:tr w:rsidR="000F33A3" w14:paraId="1019BCB4" w14:textId="77777777" w:rsidTr="00BE2384">
        <w:tc>
          <w:tcPr>
            <w:tcW w:w="1303" w:type="dxa"/>
            <w:shd w:val="clear" w:color="auto" w:fill="FFFFFF" w:themeFill="background1"/>
          </w:tcPr>
          <w:p w14:paraId="7549ECE3" w14:textId="77777777" w:rsidR="000F33A3" w:rsidRPr="00D67FE9" w:rsidRDefault="000E2112" w:rsidP="00E1278E">
            <w:pPr>
              <w:pStyle w:val="DHHStabletext"/>
            </w:pPr>
            <w:r>
              <w:t>13.17</w:t>
            </w:r>
          </w:p>
        </w:tc>
        <w:tc>
          <w:tcPr>
            <w:tcW w:w="3512" w:type="dxa"/>
            <w:shd w:val="clear" w:color="auto" w:fill="FFFFFF" w:themeFill="background1"/>
          </w:tcPr>
          <w:p w14:paraId="3011A77E" w14:textId="77777777" w:rsidR="000F33A3" w:rsidRPr="00D67FE9" w:rsidRDefault="000E2112" w:rsidP="00E1278E">
            <w:pPr>
              <w:pStyle w:val="DHHStabletext"/>
            </w:pPr>
            <w:bookmarkStart w:id="1048" w:name="_Hlk2085436"/>
            <w:r>
              <w:t>Five-year survival from all cancers diagnosed at stages 1 and 2</w:t>
            </w:r>
            <w:bookmarkEnd w:id="1048"/>
          </w:p>
        </w:tc>
        <w:tc>
          <w:tcPr>
            <w:tcW w:w="5675" w:type="dxa"/>
            <w:shd w:val="clear" w:color="auto" w:fill="FFFFFF" w:themeFill="background1"/>
          </w:tcPr>
          <w:p w14:paraId="30535D53" w14:textId="7228EDD1" w:rsidR="000F33A3" w:rsidRPr="00D67FE9" w:rsidRDefault="000E2112" w:rsidP="00E1278E">
            <w:pPr>
              <w:pStyle w:val="DHHStabletext"/>
            </w:pPr>
            <w:bookmarkStart w:id="1049" w:name="_Hlk2085666"/>
            <w:r>
              <w:t xml:space="preserve">Data as it relates to registry-derived </w:t>
            </w:r>
            <w:r w:rsidR="00BD603F">
              <w:t xml:space="preserve">(RD) </w:t>
            </w:r>
            <w:r>
              <w:t>stage is currently only available for some cancer tumour streams</w:t>
            </w:r>
            <w:r w:rsidR="0046746C">
              <w:t>,</w:t>
            </w:r>
            <w:r>
              <w:t xml:space="preserve"> namely breast, colorectal and prostate.</w:t>
            </w:r>
            <w:r w:rsidR="00952FC7">
              <w:t xml:space="preserve"> </w:t>
            </w:r>
            <w:r w:rsidR="00BD603F">
              <w:t>It is expected that the RD stage will be available for additional cancers in the future so that this measure</w:t>
            </w:r>
            <w:r w:rsidR="0046746C">
              <w:t>,</w:t>
            </w:r>
            <w:r w:rsidR="00BD603F">
              <w:t xml:space="preserve"> which specifi</w:t>
            </w:r>
            <w:r w:rsidR="0049310F">
              <w:t>e</w:t>
            </w:r>
            <w:r w:rsidR="00BD603F">
              <w:t xml:space="preserve">s ‘all’ cancers </w:t>
            </w:r>
            <w:r w:rsidR="00134FEC">
              <w:t>at stages 1 and 2</w:t>
            </w:r>
            <w:r w:rsidR="0046746C">
              <w:t>,</w:t>
            </w:r>
            <w:r w:rsidR="00134FEC">
              <w:t xml:space="preserve"> </w:t>
            </w:r>
            <w:r w:rsidR="00BD603F">
              <w:t>can be reported on.</w:t>
            </w:r>
            <w:bookmarkEnd w:id="1049"/>
          </w:p>
        </w:tc>
        <w:tc>
          <w:tcPr>
            <w:tcW w:w="3827" w:type="dxa"/>
            <w:shd w:val="clear" w:color="auto" w:fill="FFFFFF" w:themeFill="background1"/>
          </w:tcPr>
          <w:p w14:paraId="092FF6BF" w14:textId="77777777" w:rsidR="000F33A3" w:rsidRDefault="000E2112" w:rsidP="00E1278E">
            <w:pPr>
              <w:pStyle w:val="DHHStabletext"/>
            </w:pPr>
            <w:r>
              <w:t>Future report</w:t>
            </w:r>
          </w:p>
        </w:tc>
      </w:tr>
      <w:tr w:rsidR="000F33A3" w14:paraId="255A48D2" w14:textId="77777777" w:rsidTr="00BE2384">
        <w:tc>
          <w:tcPr>
            <w:tcW w:w="1303" w:type="dxa"/>
            <w:shd w:val="clear" w:color="auto" w:fill="FFFFFF" w:themeFill="background1"/>
          </w:tcPr>
          <w:p w14:paraId="46690B86" w14:textId="77777777" w:rsidR="000F33A3" w:rsidRPr="00D67FE9" w:rsidRDefault="000E2112" w:rsidP="00E1278E">
            <w:pPr>
              <w:pStyle w:val="DHHStabletext"/>
            </w:pPr>
            <w:r>
              <w:t>13.18</w:t>
            </w:r>
          </w:p>
        </w:tc>
        <w:tc>
          <w:tcPr>
            <w:tcW w:w="3512" w:type="dxa"/>
            <w:shd w:val="clear" w:color="auto" w:fill="FFFFFF" w:themeFill="background1"/>
          </w:tcPr>
          <w:p w14:paraId="46EBEE1E" w14:textId="77777777" w:rsidR="000F33A3" w:rsidRPr="00D67FE9" w:rsidRDefault="000E2112" w:rsidP="00E1278E">
            <w:pPr>
              <w:pStyle w:val="DHHStabletext"/>
            </w:pPr>
            <w:r>
              <w:t>Five-year survival from all cancers diagnosed at stages 3 and 4</w:t>
            </w:r>
          </w:p>
        </w:tc>
        <w:tc>
          <w:tcPr>
            <w:tcW w:w="5675" w:type="dxa"/>
            <w:shd w:val="clear" w:color="auto" w:fill="FFFFFF" w:themeFill="background1"/>
          </w:tcPr>
          <w:p w14:paraId="641AD7F4" w14:textId="1DD8B197" w:rsidR="000F33A3" w:rsidRPr="00D67FE9" w:rsidRDefault="00BD603F" w:rsidP="00E1278E">
            <w:pPr>
              <w:pStyle w:val="DHHStabletext"/>
            </w:pPr>
            <w:r>
              <w:t>Data as it relates to RD stage is currently only available for some cancer tumour streams</w:t>
            </w:r>
            <w:r w:rsidR="0046746C">
              <w:t>,</w:t>
            </w:r>
            <w:r>
              <w:t xml:space="preserve"> namely breast, colorectal and prostate.</w:t>
            </w:r>
            <w:r w:rsidR="00952FC7">
              <w:t xml:space="preserve"> </w:t>
            </w:r>
            <w:r>
              <w:t>It is expected that the RD stage will be available for additional cancers in the future so that this measure</w:t>
            </w:r>
            <w:r w:rsidR="0046746C">
              <w:t>,</w:t>
            </w:r>
            <w:r>
              <w:t xml:space="preserve"> which specifi</w:t>
            </w:r>
            <w:r w:rsidR="0049310F">
              <w:t>e</w:t>
            </w:r>
            <w:r>
              <w:t>s ‘all’ cancers</w:t>
            </w:r>
            <w:r w:rsidR="00134FEC">
              <w:t xml:space="preserve"> at stages 3 and 4</w:t>
            </w:r>
            <w:r w:rsidR="0046746C">
              <w:t>,</w:t>
            </w:r>
            <w:r>
              <w:t xml:space="preserve"> can be reported on.</w:t>
            </w:r>
          </w:p>
        </w:tc>
        <w:tc>
          <w:tcPr>
            <w:tcW w:w="3827" w:type="dxa"/>
            <w:shd w:val="clear" w:color="auto" w:fill="FFFFFF" w:themeFill="background1"/>
          </w:tcPr>
          <w:p w14:paraId="74DB8A6C" w14:textId="77777777" w:rsidR="000F33A3" w:rsidRDefault="000E2112" w:rsidP="00E1278E">
            <w:pPr>
              <w:pStyle w:val="DHHStabletext"/>
            </w:pPr>
            <w:r>
              <w:t>Future report</w:t>
            </w:r>
          </w:p>
        </w:tc>
      </w:tr>
    </w:tbl>
    <w:p w14:paraId="3302B1C9" w14:textId="610C82F3" w:rsidR="009F18EA" w:rsidRDefault="009F18EA" w:rsidP="009F18EA">
      <w:pPr>
        <w:pStyle w:val="Heading5"/>
      </w:pPr>
      <w:r w:rsidRPr="00603D31">
        <w:t>Key result area: Improve quality of life</w:t>
      </w:r>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303"/>
        <w:gridCol w:w="3659"/>
        <w:gridCol w:w="5528"/>
        <w:gridCol w:w="3827"/>
      </w:tblGrid>
      <w:tr w:rsidR="00BC6977" w14:paraId="47A285C1" w14:textId="77777777" w:rsidTr="004C0F3F">
        <w:tc>
          <w:tcPr>
            <w:tcW w:w="1303" w:type="dxa"/>
            <w:tcBorders>
              <w:top w:val="nil"/>
              <w:right w:val="single" w:sz="4" w:space="0" w:color="FFFFFF" w:themeColor="background1"/>
            </w:tcBorders>
            <w:shd w:val="clear" w:color="auto" w:fill="EDCDCF"/>
          </w:tcPr>
          <w:p w14:paraId="7D4BB721" w14:textId="081ABA7D" w:rsidR="00BC6977" w:rsidRDefault="00206E9F" w:rsidP="007B6CCF">
            <w:pPr>
              <w:pStyle w:val="DHHStablecolhead"/>
            </w:pPr>
            <w:r>
              <w:t>Measure r</w:t>
            </w:r>
            <w:r w:rsidR="00BC6977" w:rsidRPr="00603D31">
              <w:t>eference number</w:t>
            </w:r>
          </w:p>
        </w:tc>
        <w:tc>
          <w:tcPr>
            <w:tcW w:w="3659" w:type="dxa"/>
            <w:tcBorders>
              <w:top w:val="nil"/>
              <w:left w:val="single" w:sz="4" w:space="0" w:color="FFFFFF" w:themeColor="background1"/>
              <w:right w:val="single" w:sz="4" w:space="0" w:color="FFFFFF" w:themeColor="background1"/>
            </w:tcBorders>
            <w:shd w:val="clear" w:color="auto" w:fill="EDCDCF"/>
          </w:tcPr>
          <w:p w14:paraId="5CBD756E" w14:textId="60BBBDB1" w:rsidR="00BC6977" w:rsidRDefault="00BC6977" w:rsidP="007B6CCF">
            <w:pPr>
              <w:pStyle w:val="DHHStablecolhead"/>
            </w:pPr>
            <w:r w:rsidRPr="00603D31">
              <w:t>Name of measure</w:t>
            </w:r>
          </w:p>
        </w:tc>
        <w:tc>
          <w:tcPr>
            <w:tcW w:w="5528" w:type="dxa"/>
            <w:tcBorders>
              <w:top w:val="nil"/>
              <w:left w:val="single" w:sz="4" w:space="0" w:color="FFFFFF" w:themeColor="background1"/>
              <w:right w:val="single" w:sz="4" w:space="0" w:color="FFFFFF" w:themeColor="background1"/>
            </w:tcBorders>
            <w:shd w:val="clear" w:color="auto" w:fill="EDCDCF"/>
          </w:tcPr>
          <w:p w14:paraId="6B4EF452" w14:textId="1D69168E" w:rsidR="00BC6977" w:rsidRDefault="00BC6977" w:rsidP="007B6CCF">
            <w:pPr>
              <w:pStyle w:val="DHHStablecolhead"/>
            </w:pPr>
            <w:r w:rsidRPr="00603D31">
              <w:t>Required next steps</w:t>
            </w:r>
          </w:p>
        </w:tc>
        <w:tc>
          <w:tcPr>
            <w:tcW w:w="3827" w:type="dxa"/>
            <w:tcBorders>
              <w:top w:val="nil"/>
              <w:left w:val="single" w:sz="4" w:space="0" w:color="FFFFFF" w:themeColor="background1"/>
            </w:tcBorders>
            <w:shd w:val="clear" w:color="auto" w:fill="EDCDCF"/>
          </w:tcPr>
          <w:p w14:paraId="4EFFD531" w14:textId="63930499" w:rsidR="00BC6977" w:rsidRDefault="00BC6977" w:rsidP="007B6CCF">
            <w:pPr>
              <w:pStyle w:val="DHHStablecolhead"/>
            </w:pPr>
            <w:r w:rsidRPr="00603D31">
              <w:t>Indicative reporting schedule</w:t>
            </w:r>
          </w:p>
        </w:tc>
      </w:tr>
      <w:tr w:rsidR="007D6826" w14:paraId="396FBD70" w14:textId="77777777" w:rsidTr="006808A3">
        <w:tc>
          <w:tcPr>
            <w:tcW w:w="1303" w:type="dxa"/>
            <w:shd w:val="clear" w:color="auto" w:fill="FFFFFF" w:themeFill="background1"/>
          </w:tcPr>
          <w:p w14:paraId="04984B79" w14:textId="77777777" w:rsidR="007D6826" w:rsidRDefault="005D0142" w:rsidP="00E1278E">
            <w:pPr>
              <w:pStyle w:val="DHHStabletext"/>
            </w:pPr>
            <w:r>
              <w:t>14.1</w:t>
            </w:r>
          </w:p>
        </w:tc>
        <w:tc>
          <w:tcPr>
            <w:tcW w:w="3659" w:type="dxa"/>
            <w:shd w:val="clear" w:color="auto" w:fill="FFFFFF" w:themeFill="background1"/>
          </w:tcPr>
          <w:p w14:paraId="61941BB3" w14:textId="77777777" w:rsidR="007D6826" w:rsidRDefault="009663CF" w:rsidP="00E1278E">
            <w:pPr>
              <w:pStyle w:val="DHHStabletext"/>
            </w:pPr>
            <w:r>
              <w:t>Health-related quality of life following primary treatment</w:t>
            </w:r>
          </w:p>
        </w:tc>
        <w:tc>
          <w:tcPr>
            <w:tcW w:w="5528" w:type="dxa"/>
            <w:shd w:val="clear" w:color="auto" w:fill="FFFFFF" w:themeFill="background1"/>
          </w:tcPr>
          <w:p w14:paraId="09F78B74" w14:textId="68A7DA9E" w:rsidR="007D6826" w:rsidRDefault="00835B67" w:rsidP="00E1278E">
            <w:pPr>
              <w:pStyle w:val="DHHStabletext"/>
            </w:pPr>
            <w:r>
              <w:t>There is a population-wide dataset available based on supportive care screening (N</w:t>
            </w:r>
            <w:r w:rsidR="00AF57E5">
              <w:t>ational Comprehensive Cancer Network</w:t>
            </w:r>
            <w:r>
              <w:t xml:space="preserve"> distress monitor)</w:t>
            </w:r>
            <w:r w:rsidR="00E110DF">
              <w:t>.</w:t>
            </w:r>
            <w:r w:rsidR="00952FC7">
              <w:t xml:space="preserve"> </w:t>
            </w:r>
            <w:r w:rsidR="00E110DF">
              <w:t>This was</w:t>
            </w:r>
            <w:r w:rsidR="00B911D7">
              <w:t xml:space="preserve"> undertaken</w:t>
            </w:r>
            <w:r w:rsidR="00E110DF">
              <w:t xml:space="preserve"> in 2017.</w:t>
            </w:r>
            <w:r w:rsidR="00952FC7">
              <w:t xml:space="preserve"> </w:t>
            </w:r>
            <w:r w:rsidR="00E110DF">
              <w:t>It is unclear what the local data may look like</w:t>
            </w:r>
            <w:r w:rsidR="0046746C">
              <w:t>,</w:t>
            </w:r>
            <w:r w:rsidR="00E110DF">
              <w:t xml:space="preserve"> which would necessitate the development of a </w:t>
            </w:r>
            <w:r w:rsidR="00CF6CB9">
              <w:t>statewide specific</w:t>
            </w:r>
            <w:r w:rsidR="0046746C">
              <w:t xml:space="preserve"> p</w:t>
            </w:r>
            <w:r w:rsidR="0046746C" w:rsidRPr="0046746C">
              <w:t>atient-reported outcome measure</w:t>
            </w:r>
            <w:r w:rsidR="00CF6CB9">
              <w:t xml:space="preserve"> </w:t>
            </w:r>
            <w:r w:rsidR="0046746C">
              <w:t>(</w:t>
            </w:r>
            <w:r w:rsidR="00E110DF">
              <w:t>PROM</w:t>
            </w:r>
            <w:r w:rsidR="0046746C">
              <w:t>)</w:t>
            </w:r>
            <w:r w:rsidR="00E110DF">
              <w:t>.</w:t>
            </w:r>
          </w:p>
        </w:tc>
        <w:tc>
          <w:tcPr>
            <w:tcW w:w="3827" w:type="dxa"/>
            <w:shd w:val="clear" w:color="auto" w:fill="FFFFFF" w:themeFill="background1"/>
          </w:tcPr>
          <w:p w14:paraId="78ADAA6B" w14:textId="77777777" w:rsidR="007D6826" w:rsidRDefault="00E110DF" w:rsidP="00E1278E">
            <w:pPr>
              <w:pStyle w:val="DHHStabletext"/>
            </w:pPr>
            <w:r>
              <w:t>To be determined</w:t>
            </w:r>
          </w:p>
        </w:tc>
      </w:tr>
    </w:tbl>
    <w:p w14:paraId="343FC1B9" w14:textId="1554AC18" w:rsidR="00BC6977" w:rsidRDefault="00BC6977" w:rsidP="00BC6977">
      <w:pPr>
        <w:pStyle w:val="Heading5"/>
      </w:pPr>
      <w:r w:rsidRPr="00603D31">
        <w:t>Key result area: Improve patient experience of healthcare</w:t>
      </w:r>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303"/>
        <w:gridCol w:w="3659"/>
        <w:gridCol w:w="5528"/>
        <w:gridCol w:w="3827"/>
      </w:tblGrid>
      <w:tr w:rsidR="00BC6977" w14:paraId="0B607F00" w14:textId="77777777" w:rsidTr="004C0F3F">
        <w:trPr>
          <w:tblHeader/>
        </w:trPr>
        <w:tc>
          <w:tcPr>
            <w:tcW w:w="1303" w:type="dxa"/>
            <w:tcBorders>
              <w:top w:val="nil"/>
              <w:right w:val="single" w:sz="4" w:space="0" w:color="FFFFFF" w:themeColor="background1"/>
            </w:tcBorders>
            <w:shd w:val="clear" w:color="auto" w:fill="EDCDCF"/>
          </w:tcPr>
          <w:p w14:paraId="46126F08" w14:textId="3CDB7EB5" w:rsidR="00BC6977" w:rsidRDefault="00206E9F" w:rsidP="00780CAB">
            <w:pPr>
              <w:pStyle w:val="DHHStablecolhead"/>
            </w:pPr>
            <w:r>
              <w:t>Measure r</w:t>
            </w:r>
            <w:r w:rsidR="00BC6977" w:rsidRPr="00603D31">
              <w:t>eference number</w:t>
            </w:r>
          </w:p>
        </w:tc>
        <w:tc>
          <w:tcPr>
            <w:tcW w:w="3659" w:type="dxa"/>
            <w:tcBorders>
              <w:top w:val="nil"/>
              <w:left w:val="single" w:sz="4" w:space="0" w:color="FFFFFF" w:themeColor="background1"/>
              <w:right w:val="single" w:sz="4" w:space="0" w:color="FFFFFF" w:themeColor="background1"/>
            </w:tcBorders>
            <w:shd w:val="clear" w:color="auto" w:fill="EDCDCF"/>
          </w:tcPr>
          <w:p w14:paraId="4C3A52A2" w14:textId="7710F417" w:rsidR="00BC6977" w:rsidRPr="003215ED" w:rsidRDefault="00BC6977" w:rsidP="00780CAB">
            <w:pPr>
              <w:pStyle w:val="DHHStablecolhead"/>
            </w:pPr>
            <w:r w:rsidRPr="00603D31">
              <w:t>Name of measure</w:t>
            </w:r>
          </w:p>
        </w:tc>
        <w:tc>
          <w:tcPr>
            <w:tcW w:w="5528" w:type="dxa"/>
            <w:tcBorders>
              <w:top w:val="nil"/>
              <w:left w:val="single" w:sz="4" w:space="0" w:color="FFFFFF" w:themeColor="background1"/>
              <w:right w:val="single" w:sz="4" w:space="0" w:color="FFFFFF" w:themeColor="background1"/>
            </w:tcBorders>
            <w:shd w:val="clear" w:color="auto" w:fill="EDCDCF"/>
          </w:tcPr>
          <w:p w14:paraId="7480EAB0" w14:textId="60711B6D" w:rsidR="00BC6977" w:rsidRDefault="00BC6977" w:rsidP="00780CAB">
            <w:pPr>
              <w:pStyle w:val="DHHStablecolhead"/>
            </w:pPr>
            <w:r w:rsidRPr="00603D31">
              <w:t>Required next steps</w:t>
            </w:r>
          </w:p>
        </w:tc>
        <w:tc>
          <w:tcPr>
            <w:tcW w:w="3827" w:type="dxa"/>
            <w:tcBorders>
              <w:top w:val="nil"/>
              <w:left w:val="single" w:sz="4" w:space="0" w:color="FFFFFF" w:themeColor="background1"/>
            </w:tcBorders>
            <w:shd w:val="clear" w:color="auto" w:fill="EDCDCF"/>
          </w:tcPr>
          <w:p w14:paraId="10B859FA" w14:textId="6E361536" w:rsidR="00BC6977" w:rsidRDefault="00BC6977" w:rsidP="00780CAB">
            <w:pPr>
              <w:pStyle w:val="DHHStablecolhead"/>
            </w:pPr>
            <w:r w:rsidRPr="00603D31">
              <w:t>Indicative reporting schedule</w:t>
            </w:r>
          </w:p>
        </w:tc>
      </w:tr>
      <w:tr w:rsidR="00CF094A" w14:paraId="4582E1B2" w14:textId="77777777" w:rsidTr="006808A3">
        <w:tc>
          <w:tcPr>
            <w:tcW w:w="1303" w:type="dxa"/>
            <w:shd w:val="clear" w:color="auto" w:fill="FFFFFF" w:themeFill="background1"/>
          </w:tcPr>
          <w:p w14:paraId="26B16FF6" w14:textId="77777777" w:rsidR="00CF094A" w:rsidRDefault="00CF094A" w:rsidP="00E1278E">
            <w:pPr>
              <w:pStyle w:val="DHHStabletext"/>
            </w:pPr>
            <w:r>
              <w:t>15.2</w:t>
            </w:r>
          </w:p>
        </w:tc>
        <w:tc>
          <w:tcPr>
            <w:tcW w:w="3659" w:type="dxa"/>
            <w:shd w:val="clear" w:color="auto" w:fill="FFFFFF" w:themeFill="background1"/>
          </w:tcPr>
          <w:p w14:paraId="0020F156" w14:textId="77777777" w:rsidR="00CF094A" w:rsidRDefault="00CF094A" w:rsidP="00E1278E">
            <w:pPr>
              <w:pStyle w:val="DHHStabletext"/>
            </w:pPr>
            <w:r w:rsidRPr="003215ED">
              <w:t>Proportion of children and adolescents admitted to hospital due to cancer who report positive healthcare experience</w:t>
            </w:r>
          </w:p>
        </w:tc>
        <w:tc>
          <w:tcPr>
            <w:tcW w:w="5528" w:type="dxa"/>
            <w:shd w:val="clear" w:color="auto" w:fill="FFFFFF" w:themeFill="background1"/>
          </w:tcPr>
          <w:p w14:paraId="0AD70FDE" w14:textId="1D21B950" w:rsidR="00CF094A" w:rsidRDefault="00D64B5D" w:rsidP="00E1278E">
            <w:pPr>
              <w:pStyle w:val="DHHStabletext"/>
            </w:pPr>
            <w:r>
              <w:t>The r</w:t>
            </w:r>
            <w:r w:rsidR="00CF094A" w:rsidRPr="00AB372D">
              <w:t xml:space="preserve">esources </w:t>
            </w:r>
            <w:r w:rsidR="0046084D">
              <w:t xml:space="preserve">needed </w:t>
            </w:r>
            <w:r w:rsidR="00CF094A" w:rsidRPr="00AB372D">
              <w:t xml:space="preserve">to resolve these outstanding measures in the future are yet </w:t>
            </w:r>
            <w:r w:rsidR="00CF094A">
              <w:t>to be confirmed. The</w:t>
            </w:r>
            <w:r w:rsidR="00CF094A" w:rsidRPr="00AB372D">
              <w:t xml:space="preserve"> measures are yet to be determined.</w:t>
            </w:r>
          </w:p>
        </w:tc>
        <w:tc>
          <w:tcPr>
            <w:tcW w:w="3827" w:type="dxa"/>
            <w:shd w:val="clear" w:color="auto" w:fill="FFFFFF" w:themeFill="background1"/>
          </w:tcPr>
          <w:p w14:paraId="77885DC9" w14:textId="77777777" w:rsidR="00CF094A" w:rsidRDefault="00E851C9" w:rsidP="00E1278E">
            <w:pPr>
              <w:pStyle w:val="DHHStabletext"/>
            </w:pPr>
            <w:r>
              <w:t>To be determined</w:t>
            </w:r>
          </w:p>
        </w:tc>
      </w:tr>
      <w:tr w:rsidR="00CF094A" w14:paraId="50CCA686" w14:textId="77777777" w:rsidTr="006808A3">
        <w:tc>
          <w:tcPr>
            <w:tcW w:w="1303" w:type="dxa"/>
            <w:shd w:val="clear" w:color="auto" w:fill="FFFFFF" w:themeFill="background1"/>
          </w:tcPr>
          <w:p w14:paraId="491933C5" w14:textId="77777777" w:rsidR="00CF094A" w:rsidRDefault="00CF094A" w:rsidP="00E1278E">
            <w:pPr>
              <w:pStyle w:val="DHHStabletext"/>
            </w:pPr>
            <w:r>
              <w:t>15.3</w:t>
            </w:r>
          </w:p>
        </w:tc>
        <w:tc>
          <w:tcPr>
            <w:tcW w:w="3659" w:type="dxa"/>
            <w:shd w:val="clear" w:color="auto" w:fill="FFFFFF" w:themeFill="background1"/>
          </w:tcPr>
          <w:p w14:paraId="66E3D8B1" w14:textId="77777777" w:rsidR="00CF094A" w:rsidRDefault="00CF094A" w:rsidP="00E1278E">
            <w:pPr>
              <w:pStyle w:val="DHHStabletext"/>
            </w:pPr>
            <w:r w:rsidRPr="008D57F1">
              <w:t>Proportion of adults admitted to public hospitals due to cancer who report positive transition from care index score</w:t>
            </w:r>
          </w:p>
        </w:tc>
        <w:tc>
          <w:tcPr>
            <w:tcW w:w="5528" w:type="dxa"/>
            <w:shd w:val="clear" w:color="auto" w:fill="FFFFFF" w:themeFill="background1"/>
          </w:tcPr>
          <w:p w14:paraId="4DFCED1F" w14:textId="00F2D66F" w:rsidR="00CF094A" w:rsidRDefault="00CB463B" w:rsidP="00E1278E">
            <w:pPr>
              <w:pStyle w:val="DHHStabletext"/>
            </w:pPr>
            <w:r>
              <w:t>Same as above for Measure 15.2.</w:t>
            </w:r>
          </w:p>
        </w:tc>
        <w:tc>
          <w:tcPr>
            <w:tcW w:w="3827" w:type="dxa"/>
            <w:shd w:val="clear" w:color="auto" w:fill="FFFFFF" w:themeFill="background1"/>
          </w:tcPr>
          <w:p w14:paraId="7B218A89" w14:textId="77777777" w:rsidR="00CF094A" w:rsidRDefault="00BC51BA" w:rsidP="00E1278E">
            <w:pPr>
              <w:pStyle w:val="DHHStabletext"/>
            </w:pPr>
            <w:r>
              <w:t>To be determined</w:t>
            </w:r>
          </w:p>
        </w:tc>
      </w:tr>
      <w:tr w:rsidR="004B4E3A" w14:paraId="3C26FE33" w14:textId="77777777" w:rsidTr="006808A3">
        <w:tc>
          <w:tcPr>
            <w:tcW w:w="1303" w:type="dxa"/>
            <w:shd w:val="clear" w:color="auto" w:fill="FFFFFF" w:themeFill="background1"/>
          </w:tcPr>
          <w:p w14:paraId="561D4D27" w14:textId="77777777" w:rsidR="004B4E3A" w:rsidRDefault="003D33AF" w:rsidP="00E1278E">
            <w:pPr>
              <w:pStyle w:val="DHHStabletext"/>
            </w:pPr>
            <w:r>
              <w:lastRenderedPageBreak/>
              <w:t>15.4</w:t>
            </w:r>
          </w:p>
        </w:tc>
        <w:tc>
          <w:tcPr>
            <w:tcW w:w="3659" w:type="dxa"/>
            <w:shd w:val="clear" w:color="auto" w:fill="FFFFFF" w:themeFill="background1"/>
          </w:tcPr>
          <w:p w14:paraId="3D25AF47" w14:textId="77777777" w:rsidR="004B4E3A" w:rsidRDefault="004B4E3A" w:rsidP="00E1278E">
            <w:pPr>
              <w:pStyle w:val="DHHStabletext"/>
            </w:pPr>
            <w:r>
              <w:t xml:space="preserve">Proportion of adults </w:t>
            </w:r>
            <w:r w:rsidR="003D33AF">
              <w:t>attending emergency departments due to cancer who report positive overall healthcare experience</w:t>
            </w:r>
          </w:p>
        </w:tc>
        <w:tc>
          <w:tcPr>
            <w:tcW w:w="5528" w:type="dxa"/>
            <w:shd w:val="clear" w:color="auto" w:fill="FFFFFF" w:themeFill="background1"/>
          </w:tcPr>
          <w:p w14:paraId="69C21606" w14:textId="0D7B2B51" w:rsidR="004B4E3A" w:rsidRPr="00183B00" w:rsidRDefault="000E2E8A" w:rsidP="00E1278E">
            <w:pPr>
              <w:pStyle w:val="DHHStabletext"/>
            </w:pPr>
            <w:r>
              <w:t>It is proposed that one ad</w:t>
            </w:r>
            <w:r w:rsidR="00183B00">
              <w:t>ditional question will be added</w:t>
            </w:r>
            <w:r>
              <w:t xml:space="preserve"> to the </w:t>
            </w:r>
            <w:r w:rsidR="00CB0C47">
              <w:t>e</w:t>
            </w:r>
            <w:r>
              <w:t xml:space="preserve">mergency </w:t>
            </w:r>
            <w:r w:rsidR="00CB0C47">
              <w:t>d</w:t>
            </w:r>
            <w:r>
              <w:t xml:space="preserve">epartment </w:t>
            </w:r>
            <w:r w:rsidR="00D64B5D">
              <w:t>section</w:t>
            </w:r>
            <w:r>
              <w:t xml:space="preserve"> of</w:t>
            </w:r>
            <w:r w:rsidR="00183B00">
              <w:t xml:space="preserve"> the next</w:t>
            </w:r>
            <w:r>
              <w:t xml:space="preserve"> </w:t>
            </w:r>
            <w:r w:rsidRPr="003E68C0">
              <w:rPr>
                <w:iCs/>
              </w:rPr>
              <w:t>Experiences of Care Survey – Patient Experiences of Care Survey</w:t>
            </w:r>
            <w:r w:rsidR="00183B00" w:rsidRPr="00CA2AD7">
              <w:rPr>
                <w:iCs/>
              </w:rPr>
              <w:t>.</w:t>
            </w:r>
            <w:r w:rsidR="00952FC7">
              <w:t xml:space="preserve"> </w:t>
            </w:r>
            <w:r w:rsidR="00183B00">
              <w:t>This data will become available from 2020.</w:t>
            </w:r>
          </w:p>
        </w:tc>
        <w:tc>
          <w:tcPr>
            <w:tcW w:w="3827" w:type="dxa"/>
            <w:shd w:val="clear" w:color="auto" w:fill="FFFFFF" w:themeFill="background1"/>
          </w:tcPr>
          <w:p w14:paraId="55D3DF36" w14:textId="77777777" w:rsidR="004B4E3A" w:rsidRDefault="004B4E3A" w:rsidP="00E1278E">
            <w:pPr>
              <w:pStyle w:val="DHHStabletext"/>
            </w:pPr>
            <w:r>
              <w:t>Future report</w:t>
            </w:r>
          </w:p>
        </w:tc>
      </w:tr>
      <w:tr w:rsidR="00BD127C" w14:paraId="496BEAE6" w14:textId="77777777" w:rsidTr="006808A3">
        <w:tc>
          <w:tcPr>
            <w:tcW w:w="1303" w:type="dxa"/>
            <w:shd w:val="clear" w:color="auto" w:fill="FFFFFF" w:themeFill="background1"/>
          </w:tcPr>
          <w:p w14:paraId="3EF2AD5D" w14:textId="77777777" w:rsidR="00BD127C" w:rsidRDefault="00BD127C" w:rsidP="00E1278E">
            <w:pPr>
              <w:pStyle w:val="DHHStabletext"/>
            </w:pPr>
            <w:r>
              <w:t>15.5</w:t>
            </w:r>
          </w:p>
        </w:tc>
        <w:tc>
          <w:tcPr>
            <w:tcW w:w="3659" w:type="dxa"/>
            <w:shd w:val="clear" w:color="auto" w:fill="FFFFFF" w:themeFill="background1"/>
          </w:tcPr>
          <w:p w14:paraId="7EF1A385" w14:textId="06DF6E2D" w:rsidR="00BD127C" w:rsidRDefault="00BD127C" w:rsidP="00E1278E">
            <w:pPr>
              <w:pStyle w:val="DHHStabletext"/>
            </w:pPr>
            <w:r w:rsidRPr="008D57F1">
              <w:t xml:space="preserve">Proportion of </w:t>
            </w:r>
            <w:r>
              <w:t>people</w:t>
            </w:r>
            <w:r w:rsidRPr="008D57F1">
              <w:t xml:space="preserve"> attending hospital outpatients due to cancer who report positive healthcare experience</w:t>
            </w:r>
          </w:p>
        </w:tc>
        <w:tc>
          <w:tcPr>
            <w:tcW w:w="5528" w:type="dxa"/>
            <w:shd w:val="clear" w:color="auto" w:fill="FFFFFF" w:themeFill="background1"/>
          </w:tcPr>
          <w:p w14:paraId="171B243F" w14:textId="42530B25" w:rsidR="00BD127C" w:rsidRDefault="00D64B5D" w:rsidP="00E1278E">
            <w:pPr>
              <w:pStyle w:val="DHHStabletext"/>
            </w:pPr>
            <w:r>
              <w:t>The r</w:t>
            </w:r>
            <w:r w:rsidR="00BD127C" w:rsidRPr="00AB372D">
              <w:t>esources</w:t>
            </w:r>
            <w:r w:rsidR="0046084D">
              <w:t xml:space="preserve"> needed</w:t>
            </w:r>
            <w:r w:rsidR="00BD127C" w:rsidRPr="00AB372D">
              <w:t xml:space="preserve"> to resolve these outstanding measures in the future are yet </w:t>
            </w:r>
            <w:r w:rsidR="00BD127C">
              <w:t>to be confirmed. The</w:t>
            </w:r>
            <w:r w:rsidR="00BD127C" w:rsidRPr="00AB372D">
              <w:t xml:space="preserve"> measures are yet to be determined.</w:t>
            </w:r>
          </w:p>
        </w:tc>
        <w:tc>
          <w:tcPr>
            <w:tcW w:w="3827" w:type="dxa"/>
            <w:shd w:val="clear" w:color="auto" w:fill="FFFFFF" w:themeFill="background1"/>
          </w:tcPr>
          <w:p w14:paraId="074A5357" w14:textId="77777777" w:rsidR="00BD127C" w:rsidRDefault="00BD127C" w:rsidP="00E1278E">
            <w:pPr>
              <w:pStyle w:val="DHHStabletext"/>
            </w:pPr>
            <w:r>
              <w:t>To be determined</w:t>
            </w:r>
          </w:p>
        </w:tc>
      </w:tr>
      <w:tr w:rsidR="00BD127C" w14:paraId="295D50EF" w14:textId="77777777" w:rsidTr="006808A3">
        <w:tc>
          <w:tcPr>
            <w:tcW w:w="1303" w:type="dxa"/>
            <w:shd w:val="clear" w:color="auto" w:fill="FFFFFF" w:themeFill="background1"/>
          </w:tcPr>
          <w:p w14:paraId="4C1F5F88" w14:textId="77777777" w:rsidR="00BD127C" w:rsidRDefault="00BD127C" w:rsidP="00E1278E">
            <w:pPr>
              <w:pStyle w:val="DHHStabletext"/>
            </w:pPr>
            <w:r>
              <w:t>15.6</w:t>
            </w:r>
          </w:p>
        </w:tc>
        <w:tc>
          <w:tcPr>
            <w:tcW w:w="3659" w:type="dxa"/>
            <w:shd w:val="clear" w:color="auto" w:fill="FFFFFF" w:themeFill="background1"/>
          </w:tcPr>
          <w:p w14:paraId="6AA0C669" w14:textId="77777777" w:rsidR="00BD127C" w:rsidRDefault="00BD127C" w:rsidP="00E1278E">
            <w:pPr>
              <w:pStyle w:val="DHHStabletext"/>
            </w:pPr>
            <w:r w:rsidRPr="008D57F1">
              <w:t xml:space="preserve">Proportion of </w:t>
            </w:r>
            <w:r>
              <w:t>people</w:t>
            </w:r>
            <w:r w:rsidRPr="008D57F1">
              <w:t xml:space="preserve"> attending primary care due to cancer who report positive healthcare experience</w:t>
            </w:r>
          </w:p>
        </w:tc>
        <w:tc>
          <w:tcPr>
            <w:tcW w:w="5528" w:type="dxa"/>
            <w:shd w:val="clear" w:color="auto" w:fill="FFFFFF" w:themeFill="background1"/>
          </w:tcPr>
          <w:p w14:paraId="34E89A77" w14:textId="7BE35889" w:rsidR="00BD127C" w:rsidRDefault="00206E9F" w:rsidP="00E1278E">
            <w:pPr>
              <w:pStyle w:val="DHHStabletext"/>
            </w:pPr>
            <w:r>
              <w:t>Same as above for Measure 15.5.</w:t>
            </w:r>
          </w:p>
        </w:tc>
        <w:tc>
          <w:tcPr>
            <w:tcW w:w="3827" w:type="dxa"/>
            <w:shd w:val="clear" w:color="auto" w:fill="FFFFFF" w:themeFill="background1"/>
          </w:tcPr>
          <w:p w14:paraId="5A7A856B" w14:textId="64695A8D" w:rsidR="00BD127C" w:rsidRDefault="00206E9F" w:rsidP="00E1278E">
            <w:pPr>
              <w:pStyle w:val="DHHStabletext"/>
            </w:pPr>
            <w:r>
              <w:t>To be determined</w:t>
            </w:r>
          </w:p>
        </w:tc>
      </w:tr>
    </w:tbl>
    <w:p w14:paraId="540E88AE" w14:textId="46B2C5A1" w:rsidR="00BC6977" w:rsidRDefault="00BC6977" w:rsidP="00BC6977">
      <w:pPr>
        <w:pStyle w:val="Heading5"/>
      </w:pPr>
      <w:r w:rsidRPr="00603D31">
        <w:t>Key result area: Innovations and improved evidence of best practice</w:t>
      </w:r>
    </w:p>
    <w:tbl>
      <w:tblPr>
        <w:tblW w:w="14317" w:type="dxa"/>
        <w:tblBorders>
          <w:top w:val="single" w:sz="4" w:space="0" w:color="C00000"/>
          <w:bottom w:val="single" w:sz="4" w:space="0" w:color="C00000"/>
          <w:insideH w:val="single" w:sz="4" w:space="0" w:color="C00000"/>
        </w:tblBorders>
        <w:shd w:val="clear" w:color="auto" w:fill="EDCDCF"/>
        <w:tblLook w:val="04A0" w:firstRow="1" w:lastRow="0" w:firstColumn="1" w:lastColumn="0" w:noHBand="0" w:noVBand="1"/>
      </w:tblPr>
      <w:tblGrid>
        <w:gridCol w:w="1303"/>
        <w:gridCol w:w="3659"/>
        <w:gridCol w:w="5528"/>
        <w:gridCol w:w="3827"/>
      </w:tblGrid>
      <w:tr w:rsidR="00BC6977" w:rsidRPr="00331CAB" w14:paraId="42457600" w14:textId="77777777" w:rsidTr="004C0F3F">
        <w:tc>
          <w:tcPr>
            <w:tcW w:w="1303" w:type="dxa"/>
            <w:tcBorders>
              <w:top w:val="nil"/>
              <w:right w:val="single" w:sz="4" w:space="0" w:color="FFFFFF" w:themeColor="background1"/>
            </w:tcBorders>
            <w:shd w:val="clear" w:color="auto" w:fill="EDCDCF"/>
          </w:tcPr>
          <w:bookmarkEnd w:id="1047"/>
          <w:p w14:paraId="3CF566D8" w14:textId="4B7A9755" w:rsidR="00BC6977" w:rsidRPr="00A64E7A" w:rsidRDefault="00206E9F" w:rsidP="00780CAB">
            <w:pPr>
              <w:pStyle w:val="DHHStablecolhead"/>
            </w:pPr>
            <w:r>
              <w:t>Measure r</w:t>
            </w:r>
            <w:r w:rsidR="00BC6977" w:rsidRPr="00603D31">
              <w:t>eference number</w:t>
            </w:r>
          </w:p>
        </w:tc>
        <w:tc>
          <w:tcPr>
            <w:tcW w:w="3659" w:type="dxa"/>
            <w:tcBorders>
              <w:top w:val="nil"/>
              <w:left w:val="single" w:sz="4" w:space="0" w:color="FFFFFF" w:themeColor="background1"/>
              <w:right w:val="single" w:sz="4" w:space="0" w:color="FFFFFF" w:themeColor="background1"/>
            </w:tcBorders>
            <w:shd w:val="clear" w:color="auto" w:fill="EDCDCF"/>
          </w:tcPr>
          <w:p w14:paraId="2D774D47" w14:textId="41AC7E12" w:rsidR="00BC6977" w:rsidRPr="00A64E7A" w:rsidRDefault="00BC6977" w:rsidP="00780CAB">
            <w:pPr>
              <w:pStyle w:val="DHHStablecolhead"/>
            </w:pPr>
            <w:r w:rsidRPr="00603D31">
              <w:t>Name of measure</w:t>
            </w:r>
          </w:p>
        </w:tc>
        <w:tc>
          <w:tcPr>
            <w:tcW w:w="5528" w:type="dxa"/>
            <w:tcBorders>
              <w:top w:val="nil"/>
              <w:left w:val="single" w:sz="4" w:space="0" w:color="FFFFFF" w:themeColor="background1"/>
              <w:right w:val="single" w:sz="4" w:space="0" w:color="FFFFFF" w:themeColor="background1"/>
            </w:tcBorders>
            <w:shd w:val="clear" w:color="auto" w:fill="EDCDCF"/>
          </w:tcPr>
          <w:p w14:paraId="54DC6A58" w14:textId="116D5CCC" w:rsidR="00BC6977" w:rsidRPr="00A64E7A" w:rsidRDefault="00BC6977" w:rsidP="00780CAB">
            <w:pPr>
              <w:pStyle w:val="DHHStablecolhead"/>
            </w:pPr>
            <w:r w:rsidRPr="00603D31">
              <w:t>Required next steps</w:t>
            </w:r>
          </w:p>
        </w:tc>
        <w:tc>
          <w:tcPr>
            <w:tcW w:w="3827" w:type="dxa"/>
            <w:tcBorders>
              <w:top w:val="nil"/>
              <w:left w:val="single" w:sz="4" w:space="0" w:color="FFFFFF" w:themeColor="background1"/>
            </w:tcBorders>
            <w:shd w:val="clear" w:color="auto" w:fill="EDCDCF"/>
          </w:tcPr>
          <w:p w14:paraId="26E88BBC" w14:textId="2B8DB2EF" w:rsidR="00BC6977" w:rsidRPr="00A64E7A" w:rsidRDefault="00BC6977" w:rsidP="00780CAB">
            <w:pPr>
              <w:pStyle w:val="DHHStablecolhead"/>
            </w:pPr>
            <w:r w:rsidRPr="00603D31">
              <w:t>Indicative reporting schedule</w:t>
            </w:r>
          </w:p>
        </w:tc>
      </w:tr>
      <w:tr w:rsidR="00A64E7A" w:rsidRPr="00331CAB" w14:paraId="53D3E4ED" w14:textId="77777777" w:rsidTr="006808A3">
        <w:tc>
          <w:tcPr>
            <w:tcW w:w="1303" w:type="dxa"/>
            <w:shd w:val="clear" w:color="auto" w:fill="FFFFFF" w:themeFill="background1"/>
          </w:tcPr>
          <w:p w14:paraId="26AF3B2F" w14:textId="5722016F" w:rsidR="00A64E7A" w:rsidRPr="00A64E7A" w:rsidRDefault="00A64E7A" w:rsidP="00E1278E">
            <w:pPr>
              <w:pStyle w:val="DHHStabletext"/>
            </w:pPr>
            <w:r w:rsidRPr="00A64E7A">
              <w:t>17.4</w:t>
            </w:r>
          </w:p>
        </w:tc>
        <w:tc>
          <w:tcPr>
            <w:tcW w:w="3659" w:type="dxa"/>
            <w:shd w:val="clear" w:color="auto" w:fill="FFFFFF" w:themeFill="background1"/>
          </w:tcPr>
          <w:p w14:paraId="0833EC75" w14:textId="5A6A2BDA" w:rsidR="00A64E7A" w:rsidRPr="00A64E7A" w:rsidRDefault="00A64E7A" w:rsidP="00E1278E">
            <w:pPr>
              <w:pStyle w:val="DHHStabletext"/>
            </w:pPr>
            <w:r w:rsidRPr="00A64E7A">
              <w:t>Proportion of eligible patients who receive medication within 12 months of listing on the Pharmaceutical Benefits Scheme (PBS)</w:t>
            </w:r>
          </w:p>
        </w:tc>
        <w:tc>
          <w:tcPr>
            <w:tcW w:w="5528" w:type="dxa"/>
            <w:shd w:val="clear" w:color="auto" w:fill="FFFFFF" w:themeFill="background1"/>
          </w:tcPr>
          <w:p w14:paraId="4B02EDB7" w14:textId="36D85F34" w:rsidR="00A64E7A" w:rsidRPr="00A64E7A" w:rsidRDefault="00A64E7A" w:rsidP="00E1278E">
            <w:pPr>
              <w:pStyle w:val="DHHStabletext"/>
            </w:pPr>
            <w:r w:rsidRPr="00A64E7A">
              <w:t xml:space="preserve">Substantial work is required to identify data criteria </w:t>
            </w:r>
            <w:r w:rsidR="00D64B5D">
              <w:t>(</w:t>
            </w:r>
            <w:r w:rsidRPr="00A64E7A">
              <w:rPr>
                <w:rFonts w:cs="Calibri"/>
              </w:rPr>
              <w:t>the most appropriate medication</w:t>
            </w:r>
            <w:r w:rsidR="00D64B5D">
              <w:rPr>
                <w:rFonts w:cs="Calibri"/>
              </w:rPr>
              <w:t>)</w:t>
            </w:r>
            <w:r w:rsidRPr="00A64E7A">
              <w:rPr>
                <w:rFonts w:cs="Calibri"/>
              </w:rPr>
              <w:t xml:space="preserve"> and</w:t>
            </w:r>
            <w:r w:rsidR="00D64B5D">
              <w:rPr>
                <w:rFonts w:cs="Calibri"/>
              </w:rPr>
              <w:t>,</w:t>
            </w:r>
            <w:r w:rsidRPr="00A64E7A">
              <w:rPr>
                <w:rFonts w:cs="Calibri"/>
              </w:rPr>
              <w:t xml:space="preserve"> </w:t>
            </w:r>
            <w:r w:rsidR="00222342">
              <w:rPr>
                <w:rFonts w:cs="Calibri"/>
              </w:rPr>
              <w:t xml:space="preserve">obtain </w:t>
            </w:r>
            <w:r w:rsidRPr="00A64E7A">
              <w:rPr>
                <w:rFonts w:cs="Calibri"/>
              </w:rPr>
              <w:t>PBS data.</w:t>
            </w:r>
          </w:p>
        </w:tc>
        <w:tc>
          <w:tcPr>
            <w:tcW w:w="3827" w:type="dxa"/>
            <w:shd w:val="clear" w:color="auto" w:fill="FFFFFF" w:themeFill="background1"/>
          </w:tcPr>
          <w:p w14:paraId="4A665B93" w14:textId="77777777" w:rsidR="00A64E7A" w:rsidRPr="00A64E7A" w:rsidRDefault="00A64E7A" w:rsidP="00E1278E">
            <w:pPr>
              <w:pStyle w:val="DHHStabletext"/>
            </w:pPr>
            <w:r w:rsidRPr="00A64E7A">
              <w:t>Future report</w:t>
            </w:r>
          </w:p>
        </w:tc>
      </w:tr>
    </w:tbl>
    <w:p w14:paraId="114B956B" w14:textId="7FE6849A" w:rsidR="00D20D63" w:rsidRPr="00924827" w:rsidRDefault="00D20D63" w:rsidP="000702FC">
      <w:bookmarkStart w:id="1050" w:name="_Appendix_2:_Datasets"/>
      <w:bookmarkEnd w:id="1050"/>
      <w:r>
        <w:br w:type="page"/>
      </w:r>
    </w:p>
    <w:p w14:paraId="35514C5A" w14:textId="77777777" w:rsidR="00C554CE" w:rsidRDefault="00C554CE" w:rsidP="007D6BCA">
      <w:pPr>
        <w:pStyle w:val="Heading1"/>
        <w:sectPr w:rsidR="00C554CE" w:rsidSect="00543F64">
          <w:pgSz w:w="16838" w:h="11906" w:orient="landscape"/>
          <w:pgMar w:top="426" w:right="1103" w:bottom="707" w:left="1134" w:header="454" w:footer="510" w:gutter="0"/>
          <w:cols w:space="720"/>
          <w:docGrid w:linePitch="360"/>
        </w:sectPr>
      </w:pPr>
      <w:bookmarkStart w:id="1051" w:name="_Toc518553908"/>
    </w:p>
    <w:p w14:paraId="5F3C69D1" w14:textId="5FA4189E" w:rsidR="00D20D63" w:rsidRPr="006019B3" w:rsidRDefault="00D20D63" w:rsidP="007D6BCA">
      <w:pPr>
        <w:pStyle w:val="Heading1"/>
      </w:pPr>
      <w:bookmarkStart w:id="1052" w:name="_Toc19008245"/>
      <w:bookmarkStart w:id="1053" w:name="_Toc33457086"/>
      <w:r w:rsidRPr="006019B3">
        <w:lastRenderedPageBreak/>
        <w:t>Abbreviations</w:t>
      </w:r>
      <w:bookmarkEnd w:id="1051"/>
      <w:bookmarkEnd w:id="1052"/>
      <w:bookmarkEnd w:id="1053"/>
    </w:p>
    <w:tbl>
      <w:tblPr>
        <w:tblStyle w:val="PlainTable21"/>
        <w:tblW w:w="0" w:type="auto"/>
        <w:tblLook w:val="04A0" w:firstRow="1" w:lastRow="0" w:firstColumn="1" w:lastColumn="0" w:noHBand="0" w:noVBand="1"/>
      </w:tblPr>
      <w:tblGrid>
        <w:gridCol w:w="1439"/>
        <w:gridCol w:w="7628"/>
      </w:tblGrid>
      <w:tr w:rsidR="00D20D63" w:rsidRPr="002D5B2E" w14:paraId="79295F0A" w14:textId="77777777" w:rsidTr="00D20D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2BB46A9E" w14:textId="77777777" w:rsidR="00D20D63" w:rsidRPr="002D5B2E" w:rsidRDefault="00D20D63" w:rsidP="00D20D63">
            <w:pPr>
              <w:pStyle w:val="DHHStabletext"/>
            </w:pPr>
            <w:r w:rsidRPr="002D5B2E">
              <w:t xml:space="preserve">ABS </w:t>
            </w:r>
          </w:p>
        </w:tc>
        <w:tc>
          <w:tcPr>
            <w:tcW w:w="7628" w:type="dxa"/>
          </w:tcPr>
          <w:p w14:paraId="436AF442" w14:textId="77777777" w:rsidR="00D20D63" w:rsidRPr="00B15B70" w:rsidRDefault="00D20D63" w:rsidP="00D20D63">
            <w:pPr>
              <w:pStyle w:val="DHHStabletext"/>
              <w:cnfStyle w:val="100000000000" w:firstRow="1" w:lastRow="0" w:firstColumn="0" w:lastColumn="0" w:oddVBand="0" w:evenVBand="0" w:oddHBand="0" w:evenHBand="0" w:firstRowFirstColumn="0" w:firstRowLastColumn="0" w:lastRowFirstColumn="0" w:lastRowLastColumn="0"/>
              <w:rPr>
                <w:b w:val="0"/>
              </w:rPr>
            </w:pPr>
            <w:r w:rsidRPr="00B15B70">
              <w:rPr>
                <w:b w:val="0"/>
              </w:rPr>
              <w:t xml:space="preserve">Australian Bureau of Statistics </w:t>
            </w:r>
          </w:p>
        </w:tc>
      </w:tr>
      <w:tr w:rsidR="00D20D63" w:rsidRPr="002D5B2E" w14:paraId="79A5B50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3300562" w14:textId="77777777" w:rsidR="00D20D63" w:rsidRPr="002D5B2E" w:rsidRDefault="00D20D63" w:rsidP="00D20D63">
            <w:pPr>
              <w:pStyle w:val="DHHStabletext"/>
            </w:pPr>
            <w:r w:rsidRPr="002D5B2E">
              <w:t>AIHW</w:t>
            </w:r>
          </w:p>
        </w:tc>
        <w:tc>
          <w:tcPr>
            <w:tcW w:w="7628" w:type="dxa"/>
          </w:tcPr>
          <w:p w14:paraId="244B5918" w14:textId="77777777"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rsidRPr="002D5B2E">
              <w:t>Australian Institute of Health and Welfare</w:t>
            </w:r>
          </w:p>
        </w:tc>
      </w:tr>
      <w:tr w:rsidR="00873EEC" w:rsidRPr="002D5B2E" w14:paraId="616F490E"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00C929D8" w14:textId="47B8EA49" w:rsidR="00873EEC" w:rsidRPr="002D5B2E" w:rsidRDefault="00873EEC" w:rsidP="00D20D63">
            <w:pPr>
              <w:pStyle w:val="DHHStabletext"/>
            </w:pPr>
            <w:r>
              <w:t>AML</w:t>
            </w:r>
          </w:p>
        </w:tc>
        <w:tc>
          <w:tcPr>
            <w:tcW w:w="7628" w:type="dxa"/>
          </w:tcPr>
          <w:p w14:paraId="4056EA82" w14:textId="7455696A" w:rsidR="00873EEC" w:rsidRPr="002D5B2E" w:rsidRDefault="00873EEC" w:rsidP="00D20D63">
            <w:pPr>
              <w:pStyle w:val="DHHStabletext"/>
              <w:cnfStyle w:val="000000000000" w:firstRow="0" w:lastRow="0" w:firstColumn="0" w:lastColumn="0" w:oddVBand="0" w:evenVBand="0" w:oddHBand="0" w:evenHBand="0" w:firstRowFirstColumn="0" w:firstRowLastColumn="0" w:lastRowFirstColumn="0" w:lastRowLastColumn="0"/>
            </w:pPr>
            <w:r>
              <w:t>acute myeloid leukemia</w:t>
            </w:r>
          </w:p>
        </w:tc>
      </w:tr>
      <w:tr w:rsidR="00D20D63" w:rsidRPr="002D5B2E" w14:paraId="260E266E"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E6D6131" w14:textId="77777777" w:rsidR="00D20D63" w:rsidRPr="002D5B2E" w:rsidRDefault="00D20D63" w:rsidP="00D20D63">
            <w:pPr>
              <w:pStyle w:val="DHHStabletext"/>
            </w:pPr>
            <w:r w:rsidRPr="002D5B2E">
              <w:t>BMI</w:t>
            </w:r>
          </w:p>
        </w:tc>
        <w:tc>
          <w:tcPr>
            <w:tcW w:w="7628" w:type="dxa"/>
          </w:tcPr>
          <w:p w14:paraId="55367AB4" w14:textId="39393C7C" w:rsidR="00D20D63" w:rsidRPr="002D5B2E" w:rsidRDefault="00873EEC" w:rsidP="00D20D63">
            <w:pPr>
              <w:pStyle w:val="DHHStabletext"/>
              <w:cnfStyle w:val="000000100000" w:firstRow="0" w:lastRow="0" w:firstColumn="0" w:lastColumn="0" w:oddVBand="0" w:evenVBand="0" w:oddHBand="1" w:evenHBand="0" w:firstRowFirstColumn="0" w:firstRowLastColumn="0" w:lastRowFirstColumn="0" w:lastRowLastColumn="0"/>
            </w:pPr>
            <w:r>
              <w:t>b</w:t>
            </w:r>
            <w:r w:rsidR="00D20D63" w:rsidRPr="002D5B2E">
              <w:t>ody mass index</w:t>
            </w:r>
          </w:p>
        </w:tc>
      </w:tr>
      <w:tr w:rsidR="00D20D63" w:rsidRPr="002D5B2E" w14:paraId="49F010FF"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07E5180A" w14:textId="77777777" w:rsidR="00D20D63" w:rsidRPr="002D5B2E" w:rsidRDefault="00D20D63" w:rsidP="00D20D63">
            <w:pPr>
              <w:pStyle w:val="DHHStabletext"/>
            </w:pPr>
            <w:r>
              <w:t>BSWRICS</w:t>
            </w:r>
          </w:p>
        </w:tc>
        <w:tc>
          <w:tcPr>
            <w:tcW w:w="7628" w:type="dxa"/>
          </w:tcPr>
          <w:p w14:paraId="7AD7F572" w14:textId="77777777"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657B9B">
              <w:rPr>
                <w:lang w:eastAsia="en-AU"/>
              </w:rPr>
              <w:t>Bar</w:t>
            </w:r>
            <w:r w:rsidRPr="00A34B54">
              <w:rPr>
                <w:lang w:eastAsia="en-AU"/>
              </w:rPr>
              <w:t>won South Western Regional I</w:t>
            </w:r>
            <w:r>
              <w:rPr>
                <w:lang w:eastAsia="en-AU"/>
              </w:rPr>
              <w:t>ntegrated Cancer Service</w:t>
            </w:r>
          </w:p>
        </w:tc>
      </w:tr>
      <w:tr w:rsidR="00873EEC" w:rsidRPr="002D5B2E" w14:paraId="0AF25B29"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B3AF8B5" w14:textId="5F968CE8" w:rsidR="00873EEC" w:rsidRDefault="00873EEC" w:rsidP="00D20D63">
            <w:pPr>
              <w:pStyle w:val="DHHStabletext"/>
            </w:pPr>
            <w:r>
              <w:t>CRC</w:t>
            </w:r>
          </w:p>
        </w:tc>
        <w:tc>
          <w:tcPr>
            <w:tcW w:w="7628" w:type="dxa"/>
          </w:tcPr>
          <w:p w14:paraId="306417D0" w14:textId="447F843C" w:rsidR="00873EEC" w:rsidRPr="00657B9B" w:rsidRDefault="00873EEC" w:rsidP="00D20D63">
            <w:pPr>
              <w:pStyle w:val="DHHStabletext"/>
              <w:cnfStyle w:val="000000100000" w:firstRow="0" w:lastRow="0" w:firstColumn="0" w:lastColumn="0" w:oddVBand="0" w:evenVBand="0" w:oddHBand="1" w:evenHBand="0" w:firstRowFirstColumn="0" w:firstRowLastColumn="0" w:lastRowFirstColumn="0" w:lastRowLastColumn="0"/>
              <w:rPr>
                <w:lang w:eastAsia="en-AU"/>
              </w:rPr>
            </w:pPr>
            <w:r>
              <w:rPr>
                <w:lang w:eastAsia="en-AU"/>
              </w:rPr>
              <w:t>colorectal cancer</w:t>
            </w:r>
          </w:p>
        </w:tc>
      </w:tr>
      <w:tr w:rsidR="00D20D63" w:rsidRPr="002D5B2E" w14:paraId="6E679D7A"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9C8E6C6" w14:textId="77777777" w:rsidR="00D20D63" w:rsidRPr="002D5B2E" w:rsidRDefault="00D20D63" w:rsidP="00D20D63">
            <w:pPr>
              <w:pStyle w:val="DHHStabletext"/>
            </w:pPr>
            <w:r>
              <w:t>CVDL</w:t>
            </w:r>
          </w:p>
        </w:tc>
        <w:tc>
          <w:tcPr>
            <w:tcW w:w="7628" w:type="dxa"/>
          </w:tcPr>
          <w:p w14:paraId="4B49EF21" w14:textId="63D22AED"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t xml:space="preserve">Centre for Victorian Data Linkage, Department of Health and Human Services </w:t>
            </w:r>
          </w:p>
        </w:tc>
      </w:tr>
      <w:tr w:rsidR="00D20D63" w:rsidRPr="002D5B2E" w14:paraId="0FA75218"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18113F05" w14:textId="77777777" w:rsidR="00D20D63" w:rsidRPr="002D5B2E" w:rsidRDefault="00D20D63" w:rsidP="00D20D63">
            <w:pPr>
              <w:pStyle w:val="DHHStabletext"/>
            </w:pPr>
            <w:r>
              <w:t>DCO</w:t>
            </w:r>
          </w:p>
        </w:tc>
        <w:tc>
          <w:tcPr>
            <w:tcW w:w="7628" w:type="dxa"/>
          </w:tcPr>
          <w:p w14:paraId="68AB534B" w14:textId="10C5A3B0"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death certificate only</w:t>
            </w:r>
          </w:p>
        </w:tc>
      </w:tr>
      <w:tr w:rsidR="00D20D63" w:rsidRPr="002D5B2E" w14:paraId="71AC482A"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21052123" w14:textId="77777777" w:rsidR="00D20D63" w:rsidRPr="002D5B2E" w:rsidRDefault="00D20D63" w:rsidP="00D20D63">
            <w:pPr>
              <w:pStyle w:val="DHHStabletext"/>
            </w:pPr>
            <w:r w:rsidRPr="002D5B2E">
              <w:t>DET</w:t>
            </w:r>
          </w:p>
        </w:tc>
        <w:tc>
          <w:tcPr>
            <w:tcW w:w="7628" w:type="dxa"/>
          </w:tcPr>
          <w:p w14:paraId="5CD4FAF4"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2D5B2E">
              <w:t>Department of Education and Training (Victorian Government)</w:t>
            </w:r>
          </w:p>
        </w:tc>
      </w:tr>
      <w:tr w:rsidR="00D20D63" w:rsidRPr="002D5B2E" w14:paraId="26296156"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75BA1D67" w14:textId="77777777" w:rsidR="00D20D63" w:rsidRDefault="00D20D63" w:rsidP="00D20D63">
            <w:pPr>
              <w:pStyle w:val="DHHStabletext"/>
            </w:pPr>
            <w:r>
              <w:t>ERP</w:t>
            </w:r>
          </w:p>
        </w:tc>
        <w:tc>
          <w:tcPr>
            <w:tcW w:w="7628" w:type="dxa"/>
          </w:tcPr>
          <w:p w14:paraId="0006F674" w14:textId="77777777" w:rsidR="00D20D63" w:rsidRPr="00084840"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rPr>
            </w:pPr>
            <w:r w:rsidRPr="00084840">
              <w:rPr>
                <w:rStyle w:val="Emphasis"/>
                <w:b w:val="0"/>
              </w:rPr>
              <w:t>Estimated Resident Population</w:t>
            </w:r>
          </w:p>
        </w:tc>
      </w:tr>
      <w:tr w:rsidR="00D20D63" w:rsidRPr="002D5B2E" w14:paraId="07D8A4AD"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C87E5A1" w14:textId="77777777" w:rsidR="00D20D63" w:rsidRPr="002D5B2E" w:rsidRDefault="00D20D63" w:rsidP="00D20D63">
            <w:pPr>
              <w:pStyle w:val="DHHStabletext"/>
            </w:pPr>
            <w:r>
              <w:t>GICS</w:t>
            </w:r>
          </w:p>
        </w:tc>
        <w:tc>
          <w:tcPr>
            <w:tcW w:w="7628" w:type="dxa"/>
          </w:tcPr>
          <w:p w14:paraId="24811A3F" w14:textId="1645A4CF" w:rsidR="00D20D63" w:rsidRPr="005607BE" w:rsidRDefault="00110FC6" w:rsidP="00D20D63">
            <w:pPr>
              <w:pStyle w:val="DHHStabletext"/>
              <w:cnfStyle w:val="000000000000" w:firstRow="0" w:lastRow="0" w:firstColumn="0" w:lastColumn="0" w:oddVBand="0" w:evenVBand="0" w:oddHBand="0" w:evenHBand="0" w:firstRowFirstColumn="0" w:firstRowLastColumn="0" w:lastRowFirstColumn="0" w:lastRowLastColumn="0"/>
              <w:rPr>
                <w:rStyle w:val="Emphasis"/>
                <w:b w:val="0"/>
              </w:rPr>
            </w:pPr>
            <w:r>
              <w:rPr>
                <w:rStyle w:val="Emphasis"/>
                <w:b w:val="0"/>
              </w:rPr>
              <w:t>Grampians Integrated Cancer Service</w:t>
            </w:r>
          </w:p>
        </w:tc>
      </w:tr>
      <w:tr w:rsidR="00D20D63" w:rsidRPr="002D5B2E" w14:paraId="7377AA24"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1D3246C2" w14:textId="77777777" w:rsidR="00D20D63" w:rsidRPr="002D5B2E" w:rsidRDefault="00D20D63" w:rsidP="00D20D63">
            <w:pPr>
              <w:pStyle w:val="DHHStabletext"/>
            </w:pPr>
            <w:r>
              <w:t>GRICS</w:t>
            </w:r>
          </w:p>
        </w:tc>
        <w:tc>
          <w:tcPr>
            <w:tcW w:w="7628" w:type="dxa"/>
          </w:tcPr>
          <w:p w14:paraId="2CD14603" w14:textId="1415AF4C" w:rsidR="00D20D63" w:rsidRDefault="00110FC6"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rPr>
            </w:pPr>
            <w:r w:rsidRPr="005607BE">
              <w:rPr>
                <w:rStyle w:val="Emphasis"/>
                <w:b w:val="0"/>
              </w:rPr>
              <w:t xml:space="preserve">Gippsland Regional </w:t>
            </w:r>
            <w:r>
              <w:rPr>
                <w:rStyle w:val="Emphasis"/>
                <w:b w:val="0"/>
              </w:rPr>
              <w:t>Integrated Cancer</w:t>
            </w:r>
            <w:r w:rsidR="009D1534">
              <w:rPr>
                <w:rStyle w:val="Emphasis"/>
                <w:b w:val="0"/>
              </w:rPr>
              <w:t xml:space="preserve"> </w:t>
            </w:r>
            <w:r w:rsidR="009D1534" w:rsidRPr="009D1534">
              <w:rPr>
                <w:rStyle w:val="Emphasis"/>
                <w:b w:val="0"/>
                <w:bCs w:val="0"/>
              </w:rPr>
              <w:t>Service</w:t>
            </w:r>
            <w:bookmarkStart w:id="1054" w:name="_GoBack"/>
            <w:bookmarkEnd w:id="1054"/>
          </w:p>
        </w:tc>
      </w:tr>
      <w:tr w:rsidR="00616E82" w:rsidRPr="002D5B2E" w14:paraId="4F989B8E"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3EA553C0" w14:textId="5B975CDB" w:rsidR="00616E82" w:rsidRPr="002D5B2E" w:rsidRDefault="00616E82" w:rsidP="00D20D63">
            <w:pPr>
              <w:pStyle w:val="DHHStabletext"/>
            </w:pPr>
            <w:r>
              <w:t>HBV</w:t>
            </w:r>
          </w:p>
        </w:tc>
        <w:tc>
          <w:tcPr>
            <w:tcW w:w="7628" w:type="dxa"/>
          </w:tcPr>
          <w:p w14:paraId="678AB6ED" w14:textId="4FC7FC57" w:rsidR="00616E82" w:rsidRDefault="00616E82" w:rsidP="00D20D63">
            <w:pPr>
              <w:pStyle w:val="DHHStabletext"/>
              <w:cnfStyle w:val="000000000000" w:firstRow="0" w:lastRow="0" w:firstColumn="0" w:lastColumn="0" w:oddVBand="0" w:evenVBand="0" w:oddHBand="0" w:evenHBand="0" w:firstRowFirstColumn="0" w:firstRowLastColumn="0" w:lastRowFirstColumn="0" w:lastRowLastColumn="0"/>
              <w:rPr>
                <w:rStyle w:val="Emphasis"/>
                <w:b w:val="0"/>
              </w:rPr>
            </w:pPr>
            <w:r>
              <w:rPr>
                <w:rStyle w:val="Emphasis"/>
                <w:b w:val="0"/>
              </w:rPr>
              <w:t>hepatitis B</w:t>
            </w:r>
          </w:p>
        </w:tc>
      </w:tr>
      <w:tr w:rsidR="00616E82" w:rsidRPr="002D5B2E" w14:paraId="0FC5BBD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5C8472D3" w14:textId="5E4EE3DD" w:rsidR="00616E82" w:rsidRPr="002D5B2E" w:rsidRDefault="00616E82" w:rsidP="00D20D63">
            <w:pPr>
              <w:pStyle w:val="DHHStabletext"/>
            </w:pPr>
            <w:r>
              <w:t>HCV</w:t>
            </w:r>
          </w:p>
        </w:tc>
        <w:tc>
          <w:tcPr>
            <w:tcW w:w="7628" w:type="dxa"/>
          </w:tcPr>
          <w:p w14:paraId="6035ECAE" w14:textId="706D3976" w:rsidR="00616E82" w:rsidRDefault="00616E82"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rPr>
            </w:pPr>
            <w:r>
              <w:rPr>
                <w:rStyle w:val="Emphasis"/>
                <w:b w:val="0"/>
              </w:rPr>
              <w:t>hepatitis C</w:t>
            </w:r>
          </w:p>
        </w:tc>
      </w:tr>
      <w:tr w:rsidR="00D20D63" w:rsidRPr="002D5B2E" w14:paraId="78F76491"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50C72B1A" w14:textId="77777777" w:rsidR="00D20D63" w:rsidRPr="002D5B2E" w:rsidRDefault="00D20D63" w:rsidP="00D20D63">
            <w:pPr>
              <w:pStyle w:val="DHHStabletext"/>
            </w:pPr>
            <w:r w:rsidRPr="002D5B2E">
              <w:t>HPV</w:t>
            </w:r>
          </w:p>
        </w:tc>
        <w:tc>
          <w:tcPr>
            <w:tcW w:w="7628" w:type="dxa"/>
          </w:tcPr>
          <w:p w14:paraId="03CD6063" w14:textId="331D6AFE" w:rsidR="00D20D63" w:rsidRPr="00E82CFE" w:rsidRDefault="00D20D63" w:rsidP="00D20D63">
            <w:pPr>
              <w:pStyle w:val="DHHStabletext"/>
              <w:cnfStyle w:val="000000000000" w:firstRow="0" w:lastRow="0" w:firstColumn="0" w:lastColumn="0" w:oddVBand="0" w:evenVBand="0" w:oddHBand="0" w:evenHBand="0" w:firstRowFirstColumn="0" w:firstRowLastColumn="0" w:lastRowFirstColumn="0" w:lastRowLastColumn="0"/>
              <w:rPr>
                <w:rStyle w:val="Emphasis"/>
                <w:b w:val="0"/>
                <w:i/>
                <w:iCs/>
              </w:rPr>
            </w:pPr>
            <w:r>
              <w:rPr>
                <w:rStyle w:val="Emphasis"/>
                <w:b w:val="0"/>
              </w:rPr>
              <w:t>h</w:t>
            </w:r>
            <w:r w:rsidRPr="00E82CFE">
              <w:rPr>
                <w:rStyle w:val="Emphasis"/>
                <w:b w:val="0"/>
              </w:rPr>
              <w:t>uman papillomavirus</w:t>
            </w:r>
          </w:p>
        </w:tc>
      </w:tr>
      <w:tr w:rsidR="00D20D63" w:rsidRPr="002D5B2E" w14:paraId="5B28157F"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5DA0E21" w14:textId="77777777" w:rsidR="00D20D63" w:rsidRPr="002D5B2E" w:rsidRDefault="00D20D63" w:rsidP="00D20D63">
            <w:pPr>
              <w:pStyle w:val="DHHStabletext"/>
            </w:pPr>
            <w:r>
              <w:t>HRICS</w:t>
            </w:r>
          </w:p>
        </w:tc>
        <w:tc>
          <w:tcPr>
            <w:tcW w:w="7628" w:type="dxa"/>
          </w:tcPr>
          <w:p w14:paraId="595CE0C7" w14:textId="77777777" w:rsidR="00D20D63" w:rsidRPr="00E82CFE"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rPr>
            </w:pPr>
            <w:r>
              <w:rPr>
                <w:rStyle w:val="Emphasis"/>
                <w:b w:val="0"/>
              </w:rPr>
              <w:t>Hume Regional Integrated Cancer Service</w:t>
            </w:r>
          </w:p>
        </w:tc>
      </w:tr>
      <w:tr w:rsidR="00B802EB" w:rsidRPr="002D5B2E" w14:paraId="7D759F6E"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7CEEA74E" w14:textId="2AB342E4" w:rsidR="00B802EB" w:rsidRPr="002D5B2E" w:rsidRDefault="00B802EB" w:rsidP="00D20D63">
            <w:pPr>
              <w:pStyle w:val="DHHStabletext"/>
            </w:pPr>
            <w:r>
              <w:t>IARC</w:t>
            </w:r>
          </w:p>
        </w:tc>
        <w:tc>
          <w:tcPr>
            <w:tcW w:w="7628" w:type="dxa"/>
          </w:tcPr>
          <w:p w14:paraId="6A9551F2" w14:textId="3A19E844" w:rsidR="00B802EB" w:rsidRPr="00E82CFE" w:rsidRDefault="00B802EB" w:rsidP="00D20D63">
            <w:pPr>
              <w:pStyle w:val="DHHStabletext"/>
              <w:cnfStyle w:val="000000000000" w:firstRow="0" w:lastRow="0" w:firstColumn="0" w:lastColumn="0" w:oddVBand="0" w:evenVBand="0" w:oddHBand="0" w:evenHBand="0" w:firstRowFirstColumn="0" w:firstRowLastColumn="0" w:lastRowFirstColumn="0" w:lastRowLastColumn="0"/>
              <w:rPr>
                <w:rStyle w:val="Emphasis"/>
                <w:b w:val="0"/>
              </w:rPr>
            </w:pPr>
            <w:r w:rsidRPr="00C91D37">
              <w:rPr>
                <w:lang w:eastAsia="en-AU"/>
              </w:rPr>
              <w:t>International Agency for Cancer Research</w:t>
            </w:r>
          </w:p>
        </w:tc>
      </w:tr>
      <w:tr w:rsidR="00D20D63" w:rsidRPr="002D5B2E" w14:paraId="1BB9319D"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2BCD95DC" w14:textId="77777777" w:rsidR="00D20D63" w:rsidRPr="002D5B2E" w:rsidRDefault="00D20D63" w:rsidP="00D20D63">
            <w:pPr>
              <w:pStyle w:val="DHHStabletext"/>
            </w:pPr>
            <w:r w:rsidRPr="002D5B2E">
              <w:t>ICD</w:t>
            </w:r>
          </w:p>
        </w:tc>
        <w:tc>
          <w:tcPr>
            <w:tcW w:w="7628" w:type="dxa"/>
          </w:tcPr>
          <w:p w14:paraId="08FAE1E8" w14:textId="77777777" w:rsidR="00D20D63" w:rsidRPr="00E82CFE"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i/>
                <w:iCs/>
              </w:rPr>
            </w:pPr>
            <w:r w:rsidRPr="00E82CFE">
              <w:rPr>
                <w:rStyle w:val="Emphasis"/>
                <w:b w:val="0"/>
              </w:rPr>
              <w:t>International Classification of Diseases</w:t>
            </w:r>
          </w:p>
        </w:tc>
      </w:tr>
      <w:tr w:rsidR="00D20D63" w:rsidRPr="002D5B2E" w14:paraId="1B63AAE0"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2AB10D95" w14:textId="77777777" w:rsidR="00D20D63" w:rsidRPr="002D5B2E" w:rsidRDefault="00D20D63" w:rsidP="00D20D63">
            <w:pPr>
              <w:pStyle w:val="DHHStabletext"/>
            </w:pPr>
            <w:r w:rsidRPr="002D5B2E">
              <w:t>ICS</w:t>
            </w:r>
          </w:p>
        </w:tc>
        <w:tc>
          <w:tcPr>
            <w:tcW w:w="7628" w:type="dxa"/>
          </w:tcPr>
          <w:p w14:paraId="6562D3C9" w14:textId="74FFCA9F" w:rsidR="00D20D63" w:rsidRPr="00E82CFE" w:rsidRDefault="00D20D63" w:rsidP="00D20D63">
            <w:pPr>
              <w:pStyle w:val="DHHStabletext"/>
              <w:cnfStyle w:val="000000000000" w:firstRow="0" w:lastRow="0" w:firstColumn="0" w:lastColumn="0" w:oddVBand="0" w:evenVBand="0" w:oddHBand="0" w:evenHBand="0" w:firstRowFirstColumn="0" w:firstRowLastColumn="0" w:lastRowFirstColumn="0" w:lastRowLastColumn="0"/>
              <w:rPr>
                <w:rStyle w:val="Emphasis"/>
                <w:b w:val="0"/>
                <w:i/>
              </w:rPr>
            </w:pPr>
            <w:r w:rsidRPr="00E82CFE">
              <w:rPr>
                <w:rStyle w:val="Emphasis"/>
                <w:b w:val="0"/>
              </w:rPr>
              <w:t>Integrated Cancer Service</w:t>
            </w:r>
          </w:p>
        </w:tc>
      </w:tr>
      <w:tr w:rsidR="00D20D63" w:rsidRPr="002D5B2E" w14:paraId="54A6BB6F"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69D7008C" w14:textId="77777777" w:rsidR="00D20D63" w:rsidRPr="002D5B2E" w:rsidRDefault="00D20D63" w:rsidP="00D20D63">
            <w:pPr>
              <w:pStyle w:val="DHHStabletext"/>
            </w:pPr>
            <w:r w:rsidRPr="002D5B2E">
              <w:t>LGA</w:t>
            </w:r>
          </w:p>
        </w:tc>
        <w:tc>
          <w:tcPr>
            <w:tcW w:w="7628" w:type="dxa"/>
          </w:tcPr>
          <w:p w14:paraId="783CEEEC" w14:textId="46B4856D" w:rsidR="00D20D63" w:rsidRPr="00E82CFE"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Style w:val="Emphasis"/>
                <w:b w:val="0"/>
                <w:i/>
                <w:iCs/>
              </w:rPr>
            </w:pPr>
            <w:r>
              <w:rPr>
                <w:rStyle w:val="Emphasis"/>
                <w:b w:val="0"/>
              </w:rPr>
              <w:t>l</w:t>
            </w:r>
            <w:r w:rsidRPr="00E82CFE">
              <w:rPr>
                <w:rStyle w:val="Emphasis"/>
                <w:b w:val="0"/>
              </w:rPr>
              <w:t xml:space="preserve">ocal government area </w:t>
            </w:r>
          </w:p>
        </w:tc>
      </w:tr>
      <w:tr w:rsidR="00D20D63" w:rsidRPr="002D5B2E" w14:paraId="0B586CFD"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B717A27" w14:textId="77777777" w:rsidR="00D20D63" w:rsidRDefault="00D20D63" w:rsidP="00D20D63">
            <w:pPr>
              <w:pStyle w:val="DHHStabletext"/>
            </w:pPr>
            <w:r>
              <w:t>LMICS</w:t>
            </w:r>
          </w:p>
        </w:tc>
        <w:tc>
          <w:tcPr>
            <w:tcW w:w="7628" w:type="dxa"/>
          </w:tcPr>
          <w:p w14:paraId="6B67E210" w14:textId="77777777"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t>Loddon Mallee Integrated Cancer Service</w:t>
            </w:r>
          </w:p>
        </w:tc>
      </w:tr>
      <w:tr w:rsidR="00D20D63" w:rsidRPr="002D5B2E" w14:paraId="0EC5B212"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5A59CC0C" w14:textId="77777777" w:rsidR="00D20D63" w:rsidRPr="002D5B2E" w:rsidRDefault="00D20D63" w:rsidP="00D20D63">
            <w:pPr>
              <w:pStyle w:val="DHHStabletext"/>
            </w:pPr>
            <w:r>
              <w:t>LOS</w:t>
            </w:r>
          </w:p>
        </w:tc>
        <w:tc>
          <w:tcPr>
            <w:tcW w:w="7628" w:type="dxa"/>
          </w:tcPr>
          <w:p w14:paraId="41F5D3A8" w14:textId="4EE41741" w:rsidR="00D20D63" w:rsidRPr="00B43ED8"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length of stay</w:t>
            </w:r>
          </w:p>
        </w:tc>
      </w:tr>
      <w:tr w:rsidR="00D20D63" w:rsidRPr="002D5B2E" w14:paraId="0B5E6450"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514D0E71" w14:textId="77777777" w:rsidR="00D20D63" w:rsidRDefault="00D20D63" w:rsidP="00D20D63">
            <w:pPr>
              <w:pStyle w:val="DHHStabletext"/>
            </w:pPr>
            <w:r>
              <w:t>MDT</w:t>
            </w:r>
          </w:p>
        </w:tc>
        <w:tc>
          <w:tcPr>
            <w:tcW w:w="7628" w:type="dxa"/>
          </w:tcPr>
          <w:p w14:paraId="142FDDD8" w14:textId="1F5D0231"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Pr>
                <w:rFonts w:cs="Arial"/>
              </w:rPr>
              <w:t>m</w:t>
            </w:r>
            <w:r w:rsidRPr="008D6F6B">
              <w:rPr>
                <w:rFonts w:cs="Arial"/>
              </w:rPr>
              <w:t>ultidisciplinary team</w:t>
            </w:r>
          </w:p>
        </w:tc>
      </w:tr>
      <w:tr w:rsidR="00D20D63" w:rsidRPr="002D5B2E" w14:paraId="2FCB3BA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3F3B176C" w14:textId="77777777" w:rsidR="00D20D63" w:rsidRPr="002D5B2E" w:rsidRDefault="00D20D63" w:rsidP="00D20D63">
            <w:pPr>
              <w:pStyle w:val="DHHStabletext"/>
            </w:pPr>
            <w:r>
              <w:t>NEMICS</w:t>
            </w:r>
          </w:p>
        </w:tc>
        <w:tc>
          <w:tcPr>
            <w:tcW w:w="7628" w:type="dxa"/>
          </w:tcPr>
          <w:p w14:paraId="58FE5337" w14:textId="77777777"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North Eastern Melbourne Integrated Cancer Service</w:t>
            </w:r>
          </w:p>
        </w:tc>
      </w:tr>
      <w:tr w:rsidR="00D20D63" w:rsidRPr="002D5B2E" w14:paraId="22CA5D30"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22BD1565" w14:textId="77777777" w:rsidR="00D20D63" w:rsidRPr="002D5B2E" w:rsidRDefault="00D20D63" w:rsidP="00D20D63">
            <w:pPr>
              <w:pStyle w:val="DHHStabletext"/>
            </w:pPr>
            <w:r>
              <w:t>OECD</w:t>
            </w:r>
          </w:p>
        </w:tc>
        <w:tc>
          <w:tcPr>
            <w:tcW w:w="7628" w:type="dxa"/>
          </w:tcPr>
          <w:p w14:paraId="4AEA8A59"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A70B4C">
              <w:rPr>
                <w:lang w:val="en"/>
              </w:rPr>
              <w:t>Organi</w:t>
            </w:r>
            <w:r>
              <w:rPr>
                <w:lang w:val="en"/>
              </w:rPr>
              <w:t>z</w:t>
            </w:r>
            <w:r w:rsidRPr="00A70B4C">
              <w:rPr>
                <w:lang w:val="en"/>
              </w:rPr>
              <w:t>ation for Economic Co-operation and Development</w:t>
            </w:r>
          </w:p>
        </w:tc>
      </w:tr>
      <w:tr w:rsidR="00D20D63" w:rsidRPr="002D5B2E" w14:paraId="43694444"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865C0A5" w14:textId="77777777" w:rsidR="00D20D63" w:rsidRPr="002D5B2E" w:rsidRDefault="00D20D63" w:rsidP="00D20D63">
            <w:pPr>
              <w:pStyle w:val="DHHStabletext"/>
            </w:pPr>
            <w:r w:rsidRPr="002D5B2E">
              <w:t>PHESS</w:t>
            </w:r>
          </w:p>
        </w:tc>
        <w:tc>
          <w:tcPr>
            <w:tcW w:w="7628" w:type="dxa"/>
          </w:tcPr>
          <w:p w14:paraId="029C5B5A" w14:textId="77777777"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rsidRPr="002D5B2E">
              <w:t xml:space="preserve">Public Health Event Surveillance System </w:t>
            </w:r>
          </w:p>
        </w:tc>
      </w:tr>
      <w:tr w:rsidR="00D20D63" w:rsidRPr="002D5B2E" w14:paraId="65919D8B"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386CC3DD" w14:textId="77777777" w:rsidR="00D20D63" w:rsidRDefault="00D20D63" w:rsidP="00D20D63">
            <w:pPr>
              <w:pStyle w:val="DHHStabletext"/>
            </w:pPr>
            <w:r>
              <w:t>PBS</w:t>
            </w:r>
          </w:p>
        </w:tc>
        <w:tc>
          <w:tcPr>
            <w:tcW w:w="7628" w:type="dxa"/>
          </w:tcPr>
          <w:p w14:paraId="3FA2D9FD" w14:textId="77777777"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rPr>
                <w:rFonts w:cs="Arial"/>
              </w:rPr>
            </w:pPr>
            <w:r w:rsidRPr="00A64E7A">
              <w:rPr>
                <w:lang w:eastAsia="en-AU"/>
              </w:rPr>
              <w:t xml:space="preserve">Pharmaceutical Benefits Scheme </w:t>
            </w:r>
          </w:p>
        </w:tc>
      </w:tr>
      <w:tr w:rsidR="00D20D63" w:rsidRPr="002D5B2E" w14:paraId="4AAF4454"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1E55C726" w14:textId="77777777" w:rsidR="00D20D63" w:rsidRDefault="00D20D63" w:rsidP="00D20D63">
            <w:pPr>
              <w:pStyle w:val="DHHStabletext"/>
            </w:pPr>
            <w:r>
              <w:t>PICS</w:t>
            </w:r>
          </w:p>
        </w:tc>
        <w:tc>
          <w:tcPr>
            <w:tcW w:w="7628" w:type="dxa"/>
          </w:tcPr>
          <w:p w14:paraId="5BC5B4A0" w14:textId="77777777" w:rsidR="00D20D63"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Fonts w:cs="Arial"/>
              </w:rPr>
            </w:pPr>
            <w:r>
              <w:rPr>
                <w:rFonts w:cs="Arial"/>
              </w:rPr>
              <w:t>Paediatric Integrated Cancer Service</w:t>
            </w:r>
          </w:p>
        </w:tc>
      </w:tr>
      <w:tr w:rsidR="00D20D63" w:rsidRPr="002D5B2E" w14:paraId="0416FCE3"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40DD1B10" w14:textId="77777777" w:rsidR="00D20D63" w:rsidRPr="002D5B2E" w:rsidRDefault="00D20D63" w:rsidP="00D20D63">
            <w:pPr>
              <w:pStyle w:val="DHHStabletext"/>
            </w:pPr>
            <w:r>
              <w:t>RD stage</w:t>
            </w:r>
          </w:p>
        </w:tc>
        <w:tc>
          <w:tcPr>
            <w:tcW w:w="7628" w:type="dxa"/>
          </w:tcPr>
          <w:p w14:paraId="7D6418C3" w14:textId="75E3FED7"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Pr>
                <w:rFonts w:cs="Arial"/>
              </w:rPr>
              <w:t xml:space="preserve">registry-derived </w:t>
            </w:r>
            <w:r w:rsidRPr="00EC02A5">
              <w:rPr>
                <w:rFonts w:cs="Arial"/>
              </w:rPr>
              <w:t>stage</w:t>
            </w:r>
          </w:p>
        </w:tc>
      </w:tr>
      <w:tr w:rsidR="00D20D63" w:rsidRPr="002D5B2E" w14:paraId="7E6172BE"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00F03050" w14:textId="77777777" w:rsidR="00D20D63" w:rsidRPr="002D5B2E" w:rsidRDefault="00D20D63" w:rsidP="00D20D63">
            <w:pPr>
              <w:pStyle w:val="DHHStabletext"/>
            </w:pPr>
            <w:r>
              <w:t>SACT</w:t>
            </w:r>
          </w:p>
        </w:tc>
        <w:tc>
          <w:tcPr>
            <w:tcW w:w="7628" w:type="dxa"/>
          </w:tcPr>
          <w:p w14:paraId="197A281C" w14:textId="09254566"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systemic anti-cancer therapy</w:t>
            </w:r>
          </w:p>
        </w:tc>
      </w:tr>
      <w:tr w:rsidR="00D20D63" w:rsidRPr="002D5B2E" w14:paraId="130F4BDC"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7B7BCDAE" w14:textId="77777777" w:rsidR="00D20D63" w:rsidRPr="002D5B2E" w:rsidRDefault="00D20D63" w:rsidP="00D20D63">
            <w:pPr>
              <w:pStyle w:val="DHHStabletext"/>
            </w:pPr>
            <w:r w:rsidRPr="002D5B2E">
              <w:t>SEIFA</w:t>
            </w:r>
          </w:p>
        </w:tc>
        <w:tc>
          <w:tcPr>
            <w:tcW w:w="7628" w:type="dxa"/>
          </w:tcPr>
          <w:p w14:paraId="578E8EF6"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2D5B2E">
              <w:t>Socio</w:t>
            </w:r>
            <w:r>
              <w:t>-E</w:t>
            </w:r>
            <w:r w:rsidRPr="002D5B2E">
              <w:t xml:space="preserve">conomic </w:t>
            </w:r>
            <w:r>
              <w:t>I</w:t>
            </w:r>
            <w:r w:rsidRPr="002D5B2E">
              <w:t xml:space="preserve">ndexes for </w:t>
            </w:r>
            <w:r>
              <w:t>A</w:t>
            </w:r>
            <w:r w:rsidRPr="002D5B2E">
              <w:t>reas</w:t>
            </w:r>
          </w:p>
        </w:tc>
      </w:tr>
      <w:tr w:rsidR="00D20D63" w:rsidRPr="002D5B2E" w14:paraId="0D1C81FD"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CDDFE41" w14:textId="77777777" w:rsidR="00D20D63" w:rsidRDefault="00D20D63" w:rsidP="00D20D63">
            <w:pPr>
              <w:pStyle w:val="DHHStabletext"/>
            </w:pPr>
            <w:r>
              <w:t>SES</w:t>
            </w:r>
          </w:p>
        </w:tc>
        <w:tc>
          <w:tcPr>
            <w:tcW w:w="7628" w:type="dxa"/>
          </w:tcPr>
          <w:p w14:paraId="7B6FDA74" w14:textId="6A4B5BB5" w:rsidR="00D20D63"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socio</w:t>
            </w:r>
            <w:r w:rsidR="003B718D">
              <w:t>-</w:t>
            </w:r>
            <w:r>
              <w:t xml:space="preserve">economic status (quintiles); it is an </w:t>
            </w:r>
            <w:r w:rsidRPr="00DF2E40">
              <w:rPr>
                <w:b/>
              </w:rPr>
              <w:t>area</w:t>
            </w:r>
            <w:r>
              <w:t>-based measure not an individual measure</w:t>
            </w:r>
          </w:p>
        </w:tc>
      </w:tr>
      <w:tr w:rsidR="00D20D63" w:rsidRPr="002D5B2E" w14:paraId="04ACF36D"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9B3857A" w14:textId="77777777" w:rsidR="00D20D63" w:rsidRPr="002D5B2E" w:rsidRDefault="00D20D63" w:rsidP="00D20D63">
            <w:pPr>
              <w:pStyle w:val="DHHStabletext"/>
            </w:pPr>
            <w:r>
              <w:t>SMICS</w:t>
            </w:r>
          </w:p>
        </w:tc>
        <w:tc>
          <w:tcPr>
            <w:tcW w:w="7628" w:type="dxa"/>
          </w:tcPr>
          <w:p w14:paraId="17146680"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t>Southern Melbourne Integrated Cancer Service</w:t>
            </w:r>
          </w:p>
        </w:tc>
      </w:tr>
      <w:tr w:rsidR="00CA315B" w:rsidRPr="002D5B2E" w14:paraId="1DF6E0BF"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4B78833A" w14:textId="08E573AE" w:rsidR="00CA315B" w:rsidRPr="002D5B2E" w:rsidRDefault="00CA315B" w:rsidP="00D20D63">
            <w:pPr>
              <w:pStyle w:val="DHHStabletext"/>
            </w:pPr>
            <w:r>
              <w:lastRenderedPageBreak/>
              <w:t>UV</w:t>
            </w:r>
          </w:p>
        </w:tc>
        <w:tc>
          <w:tcPr>
            <w:tcW w:w="7628" w:type="dxa"/>
          </w:tcPr>
          <w:p w14:paraId="694F3025" w14:textId="2A82636E" w:rsidR="00CA315B" w:rsidRPr="002D5B2E" w:rsidRDefault="00CA315B" w:rsidP="00D20D63">
            <w:pPr>
              <w:pStyle w:val="DHHStabletext"/>
              <w:cnfStyle w:val="000000100000" w:firstRow="0" w:lastRow="0" w:firstColumn="0" w:lastColumn="0" w:oddVBand="0" w:evenVBand="0" w:oddHBand="1" w:evenHBand="0" w:firstRowFirstColumn="0" w:firstRowLastColumn="0" w:lastRowFirstColumn="0" w:lastRowLastColumn="0"/>
            </w:pPr>
            <w:r>
              <w:t>ultraviolet</w:t>
            </w:r>
          </w:p>
        </w:tc>
      </w:tr>
      <w:tr w:rsidR="00D20D63" w:rsidRPr="002D5B2E" w14:paraId="23CDA4E3"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7A03558A" w14:textId="77777777" w:rsidR="00D20D63" w:rsidRPr="002D5B2E" w:rsidRDefault="00D20D63" w:rsidP="00D20D63">
            <w:pPr>
              <w:pStyle w:val="DHHStabletext"/>
            </w:pPr>
            <w:r w:rsidRPr="002D5B2E">
              <w:t>VAED</w:t>
            </w:r>
          </w:p>
        </w:tc>
        <w:tc>
          <w:tcPr>
            <w:tcW w:w="7628" w:type="dxa"/>
          </w:tcPr>
          <w:p w14:paraId="6CF59122"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2D5B2E">
              <w:t>Victorian Admitted Episodes Dataset</w:t>
            </w:r>
          </w:p>
        </w:tc>
      </w:tr>
      <w:tr w:rsidR="00D20D63" w:rsidRPr="002D5B2E" w14:paraId="17E0D8D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233B62B9" w14:textId="77777777" w:rsidR="00D20D63" w:rsidRPr="002D5B2E" w:rsidRDefault="00D20D63" w:rsidP="00D20D63">
            <w:pPr>
              <w:pStyle w:val="DHHStabletext"/>
            </w:pPr>
            <w:r>
              <w:t>VAHI</w:t>
            </w:r>
          </w:p>
        </w:tc>
        <w:tc>
          <w:tcPr>
            <w:tcW w:w="7628" w:type="dxa"/>
          </w:tcPr>
          <w:p w14:paraId="384706E9" w14:textId="77777777"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Victorian Agency for Health Information</w:t>
            </w:r>
          </w:p>
        </w:tc>
      </w:tr>
      <w:tr w:rsidR="00D20D63" w:rsidRPr="002D5B2E" w14:paraId="4F43B2AD"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27EC3CF3" w14:textId="77777777" w:rsidR="00D20D63" w:rsidRPr="002D5B2E" w:rsidRDefault="00D20D63" w:rsidP="00D20D63">
            <w:pPr>
              <w:pStyle w:val="DHHStabletext"/>
            </w:pPr>
            <w:r w:rsidRPr="002D5B2E">
              <w:t>VCR</w:t>
            </w:r>
          </w:p>
        </w:tc>
        <w:tc>
          <w:tcPr>
            <w:tcW w:w="7628" w:type="dxa"/>
          </w:tcPr>
          <w:p w14:paraId="2CEB05A1"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sidRPr="002D5B2E">
              <w:t>Victorian Cancer Registry</w:t>
            </w:r>
          </w:p>
        </w:tc>
      </w:tr>
      <w:tr w:rsidR="00D20D63" w:rsidRPr="002D5B2E" w14:paraId="2282C188"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732A71BC" w14:textId="77777777" w:rsidR="00D20D63" w:rsidRPr="002D5B2E" w:rsidRDefault="00D20D63" w:rsidP="00D20D63">
            <w:pPr>
              <w:pStyle w:val="DHHStabletext"/>
            </w:pPr>
            <w:r>
              <w:t>VDI</w:t>
            </w:r>
          </w:p>
        </w:tc>
        <w:tc>
          <w:tcPr>
            <w:tcW w:w="7628" w:type="dxa"/>
          </w:tcPr>
          <w:p w14:paraId="3E5A1FCD" w14:textId="77777777" w:rsidR="00D20D63" w:rsidRPr="002D5B2E"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Victorian Death Index</w:t>
            </w:r>
          </w:p>
        </w:tc>
      </w:tr>
      <w:tr w:rsidR="00D20D63" w:rsidRPr="002D5B2E" w14:paraId="639F30A1"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0D4751E1" w14:textId="77777777" w:rsidR="00D20D63" w:rsidRDefault="00D20D63" w:rsidP="00D20D63">
            <w:pPr>
              <w:pStyle w:val="DHHStabletext"/>
            </w:pPr>
            <w:r>
              <w:t>VEMD</w:t>
            </w:r>
          </w:p>
        </w:tc>
        <w:tc>
          <w:tcPr>
            <w:tcW w:w="7628" w:type="dxa"/>
          </w:tcPr>
          <w:p w14:paraId="041CE58E" w14:textId="77777777" w:rsidR="00D20D63"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rPr>
                <w:rFonts w:cs="Arial"/>
                <w:color w:val="000000"/>
              </w:rPr>
              <w:t>Victorian Emergency Minimum Dataset</w:t>
            </w:r>
          </w:p>
        </w:tc>
      </w:tr>
      <w:tr w:rsidR="00D20D63" w:rsidRPr="002D5B2E" w14:paraId="7D14B46E"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6D198B98" w14:textId="77777777" w:rsidR="00D20D63" w:rsidRDefault="00D20D63" w:rsidP="00D20D63">
            <w:pPr>
              <w:pStyle w:val="DHHStabletext"/>
            </w:pPr>
            <w:r>
              <w:t>VHES</w:t>
            </w:r>
          </w:p>
        </w:tc>
        <w:tc>
          <w:tcPr>
            <w:tcW w:w="7628" w:type="dxa"/>
          </w:tcPr>
          <w:p w14:paraId="080D30C5" w14:textId="77777777" w:rsidR="00D20D63" w:rsidRPr="009F3D47"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Fonts w:cs="Arial"/>
              </w:rPr>
            </w:pPr>
            <w:r>
              <w:rPr>
                <w:rFonts w:cs="Arial"/>
              </w:rPr>
              <w:t>Victorian Healthcare Experience Survey</w:t>
            </w:r>
          </w:p>
        </w:tc>
      </w:tr>
      <w:tr w:rsidR="00D20D63" w:rsidRPr="002D5B2E" w14:paraId="390B7F61"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1E5AC903" w14:textId="77777777" w:rsidR="00D20D63" w:rsidRPr="002D5B2E" w:rsidRDefault="00D20D63" w:rsidP="00D20D63">
            <w:pPr>
              <w:pStyle w:val="DHHStabletext"/>
            </w:pPr>
            <w:r>
              <w:t>VINAH</w:t>
            </w:r>
          </w:p>
        </w:tc>
        <w:tc>
          <w:tcPr>
            <w:tcW w:w="7628" w:type="dxa"/>
          </w:tcPr>
          <w:p w14:paraId="1BDE450B" w14:textId="77777777" w:rsidR="00D20D63" w:rsidRPr="00E82CFE" w:rsidRDefault="00D20D63" w:rsidP="00D20D63">
            <w:pPr>
              <w:pStyle w:val="DHHStabletext"/>
              <w:cnfStyle w:val="000000000000" w:firstRow="0" w:lastRow="0" w:firstColumn="0" w:lastColumn="0" w:oddVBand="0" w:evenVBand="0" w:oddHBand="0" w:evenHBand="0" w:firstRowFirstColumn="0" w:firstRowLastColumn="0" w:lastRowFirstColumn="0" w:lastRowLastColumn="0"/>
              <w:rPr>
                <w:rFonts w:cs="Arial"/>
              </w:rPr>
            </w:pPr>
            <w:r w:rsidRPr="00E82CFE">
              <w:rPr>
                <w:rFonts w:cs="Arial"/>
              </w:rPr>
              <w:t xml:space="preserve">Victorian </w:t>
            </w:r>
            <w:r w:rsidRPr="00E82CFE">
              <w:rPr>
                <w:rStyle w:val="Emphasis"/>
                <w:rFonts w:cs="Arial"/>
                <w:b w:val="0"/>
                <w:bCs w:val="0"/>
                <w:shd w:val="clear" w:color="auto" w:fill="FFFFFF"/>
              </w:rPr>
              <w:t>Integrated Non-Admitted Health dataset</w:t>
            </w:r>
          </w:p>
        </w:tc>
      </w:tr>
      <w:tr w:rsidR="00D20D63" w:rsidRPr="002D5B2E" w14:paraId="647B4089"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0922718D" w14:textId="77777777" w:rsidR="00D20D63" w:rsidRDefault="00D20D63" w:rsidP="00D20D63">
            <w:pPr>
              <w:pStyle w:val="DHHStabletext"/>
            </w:pPr>
            <w:r>
              <w:t>VPHS</w:t>
            </w:r>
          </w:p>
        </w:tc>
        <w:tc>
          <w:tcPr>
            <w:tcW w:w="7628" w:type="dxa"/>
          </w:tcPr>
          <w:p w14:paraId="096AE260" w14:textId="77777777" w:rsidR="00D20D63" w:rsidRPr="009F3D47" w:rsidRDefault="00D20D63" w:rsidP="00D20D63">
            <w:pPr>
              <w:pStyle w:val="DHHStabletext"/>
              <w:cnfStyle w:val="000000100000" w:firstRow="0" w:lastRow="0" w:firstColumn="0" w:lastColumn="0" w:oddVBand="0" w:evenVBand="0" w:oddHBand="1" w:evenHBand="0" w:firstRowFirstColumn="0" w:firstRowLastColumn="0" w:lastRowFirstColumn="0" w:lastRowLastColumn="0"/>
              <w:rPr>
                <w:rFonts w:cs="Arial"/>
              </w:rPr>
            </w:pPr>
            <w:r w:rsidRPr="00B252AE">
              <w:rPr>
                <w:shd w:val="clear" w:color="auto" w:fill="FFFFFF"/>
              </w:rPr>
              <w:t>Victorian</w:t>
            </w:r>
            <w:r>
              <w:rPr>
                <w:shd w:val="clear" w:color="auto" w:fill="FFFFFF"/>
              </w:rPr>
              <w:t xml:space="preserve"> Population Health Survey</w:t>
            </w:r>
          </w:p>
        </w:tc>
      </w:tr>
      <w:tr w:rsidR="00D20D63" w14:paraId="64ED2927" w14:textId="77777777" w:rsidTr="00D20D63">
        <w:tc>
          <w:tcPr>
            <w:cnfStyle w:val="001000000000" w:firstRow="0" w:lastRow="0" w:firstColumn="1" w:lastColumn="0" w:oddVBand="0" w:evenVBand="0" w:oddHBand="0" w:evenHBand="0" w:firstRowFirstColumn="0" w:firstRowLastColumn="0" w:lastRowFirstColumn="0" w:lastRowLastColumn="0"/>
            <w:tcW w:w="1439" w:type="dxa"/>
          </w:tcPr>
          <w:p w14:paraId="6767A26E" w14:textId="77777777" w:rsidR="00D20D63" w:rsidRPr="002D5B2E" w:rsidRDefault="00D20D63" w:rsidP="00D20D63">
            <w:pPr>
              <w:pStyle w:val="DHHStabletext"/>
            </w:pPr>
            <w:r>
              <w:t>VRMDS</w:t>
            </w:r>
          </w:p>
        </w:tc>
        <w:tc>
          <w:tcPr>
            <w:tcW w:w="7628" w:type="dxa"/>
          </w:tcPr>
          <w:p w14:paraId="0DCF4DED" w14:textId="77777777" w:rsidR="00D20D63" w:rsidRPr="002D5B2E" w:rsidRDefault="00D20D63" w:rsidP="00D20D63">
            <w:pPr>
              <w:pStyle w:val="DHHStabletext"/>
              <w:cnfStyle w:val="000000000000" w:firstRow="0" w:lastRow="0" w:firstColumn="0" w:lastColumn="0" w:oddVBand="0" w:evenVBand="0" w:oddHBand="0" w:evenHBand="0" w:firstRowFirstColumn="0" w:firstRowLastColumn="0" w:lastRowFirstColumn="0" w:lastRowLastColumn="0"/>
            </w:pPr>
            <w:r>
              <w:t>Victorian Radiotherapy Minimum Data Set</w:t>
            </w:r>
          </w:p>
        </w:tc>
      </w:tr>
      <w:tr w:rsidR="00D20D63" w14:paraId="4368028C" w14:textId="77777777" w:rsidTr="00D20D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9" w:type="dxa"/>
          </w:tcPr>
          <w:p w14:paraId="7950B5E0" w14:textId="77777777" w:rsidR="00D20D63" w:rsidRDefault="00D20D63" w:rsidP="00D20D63">
            <w:pPr>
              <w:pStyle w:val="DHHStabletext"/>
            </w:pPr>
            <w:r>
              <w:t>WCMICS</w:t>
            </w:r>
          </w:p>
        </w:tc>
        <w:tc>
          <w:tcPr>
            <w:tcW w:w="7628" w:type="dxa"/>
          </w:tcPr>
          <w:p w14:paraId="285E441E" w14:textId="77777777" w:rsidR="00D20D63" w:rsidRDefault="00D20D63" w:rsidP="00D20D63">
            <w:pPr>
              <w:pStyle w:val="DHHStabletext"/>
              <w:cnfStyle w:val="000000100000" w:firstRow="0" w:lastRow="0" w:firstColumn="0" w:lastColumn="0" w:oddVBand="0" w:evenVBand="0" w:oddHBand="1" w:evenHBand="0" w:firstRowFirstColumn="0" w:firstRowLastColumn="0" w:lastRowFirstColumn="0" w:lastRowLastColumn="0"/>
            </w:pPr>
            <w:r>
              <w:t>Western and Central Melbourne Integrated Cancer Service</w:t>
            </w:r>
          </w:p>
        </w:tc>
      </w:tr>
    </w:tbl>
    <w:p w14:paraId="7F8D1366" w14:textId="77777777" w:rsidR="00E928F9" w:rsidRDefault="00E928F9">
      <w:pPr>
        <w:rPr>
          <w:rFonts w:ascii="Arial" w:eastAsia="Times" w:hAnsi="Arial"/>
          <w:lang w:eastAsia="en-US"/>
        </w:rPr>
      </w:pPr>
      <w:r>
        <w:br w:type="page"/>
      </w:r>
    </w:p>
    <w:p w14:paraId="64AA361D" w14:textId="6D5F4EBB" w:rsidR="00D20D63" w:rsidRDefault="00E928F9" w:rsidP="00E928F9">
      <w:pPr>
        <w:pStyle w:val="DHHSTOCheadingreport"/>
      </w:pPr>
      <w:r>
        <w:lastRenderedPageBreak/>
        <w:t>Figures</w:t>
      </w:r>
    </w:p>
    <w:p w14:paraId="4CE86044" w14:textId="250F2216" w:rsidR="006C4ACA" w:rsidRDefault="00A63984">
      <w:pPr>
        <w:pStyle w:val="TOC3"/>
        <w:rPr>
          <w:rFonts w:asciiTheme="minorHAnsi" w:eastAsiaTheme="minorEastAsia" w:hAnsiTheme="minorHAnsi" w:cstheme="minorBidi"/>
          <w:noProof/>
          <w:color w:val="auto"/>
          <w:sz w:val="22"/>
          <w:szCs w:val="22"/>
        </w:rPr>
      </w:pPr>
      <w:r>
        <w:fldChar w:fldCharType="begin"/>
      </w:r>
      <w:r>
        <w:instrText xml:space="preserve"> TOC \h \z \t "DHHS figure caption,3" </w:instrText>
      </w:r>
      <w:r>
        <w:fldChar w:fldCharType="separate"/>
      </w:r>
      <w:hyperlink w:anchor="_Toc27414245" w:history="1">
        <w:r w:rsidR="006C4ACA" w:rsidRPr="00E549CF">
          <w:rPr>
            <w:rStyle w:val="Hyperlink"/>
            <w:noProof/>
          </w:rPr>
          <w:t>Figure 1: Outcomes framework logic model</w:t>
        </w:r>
        <w:r w:rsidR="006C4ACA">
          <w:rPr>
            <w:noProof/>
            <w:webHidden/>
          </w:rPr>
          <w:tab/>
        </w:r>
        <w:r w:rsidR="006C4ACA">
          <w:rPr>
            <w:noProof/>
            <w:webHidden/>
          </w:rPr>
          <w:fldChar w:fldCharType="begin"/>
        </w:r>
        <w:r w:rsidR="006C4ACA">
          <w:rPr>
            <w:noProof/>
            <w:webHidden/>
          </w:rPr>
          <w:instrText xml:space="preserve"> PAGEREF _Toc27414245 \h </w:instrText>
        </w:r>
        <w:r w:rsidR="006C4ACA">
          <w:rPr>
            <w:noProof/>
            <w:webHidden/>
          </w:rPr>
        </w:r>
        <w:r w:rsidR="006C4ACA">
          <w:rPr>
            <w:noProof/>
            <w:webHidden/>
          </w:rPr>
          <w:fldChar w:fldCharType="separate"/>
        </w:r>
        <w:r w:rsidR="005D1A57">
          <w:rPr>
            <w:noProof/>
            <w:webHidden/>
          </w:rPr>
          <w:t>6</w:t>
        </w:r>
        <w:r w:rsidR="006C4ACA">
          <w:rPr>
            <w:noProof/>
            <w:webHidden/>
          </w:rPr>
          <w:fldChar w:fldCharType="end"/>
        </w:r>
      </w:hyperlink>
    </w:p>
    <w:p w14:paraId="09C1F9D5" w14:textId="7672F7D8" w:rsidR="006C4ACA" w:rsidRDefault="009D1534">
      <w:pPr>
        <w:pStyle w:val="TOC3"/>
        <w:rPr>
          <w:rFonts w:asciiTheme="minorHAnsi" w:eastAsiaTheme="minorEastAsia" w:hAnsiTheme="minorHAnsi" w:cstheme="minorBidi"/>
          <w:noProof/>
          <w:color w:val="auto"/>
          <w:sz w:val="22"/>
          <w:szCs w:val="22"/>
        </w:rPr>
      </w:pPr>
      <w:hyperlink w:anchor="_Toc27414246" w:history="1">
        <w:r w:rsidR="006C4ACA" w:rsidRPr="00E549CF">
          <w:rPr>
            <w:rStyle w:val="Hyperlink"/>
            <w:noProof/>
          </w:rPr>
          <w:t>Figure 2: Simplified example of how relative survival is calculated</w:t>
        </w:r>
        <w:r w:rsidR="006C4ACA">
          <w:rPr>
            <w:noProof/>
            <w:webHidden/>
          </w:rPr>
          <w:tab/>
        </w:r>
        <w:r w:rsidR="006C4ACA">
          <w:rPr>
            <w:noProof/>
            <w:webHidden/>
          </w:rPr>
          <w:fldChar w:fldCharType="begin"/>
        </w:r>
        <w:r w:rsidR="006C4ACA">
          <w:rPr>
            <w:noProof/>
            <w:webHidden/>
          </w:rPr>
          <w:instrText xml:space="preserve"> PAGEREF _Toc27414246 \h </w:instrText>
        </w:r>
        <w:r w:rsidR="006C4ACA">
          <w:rPr>
            <w:noProof/>
            <w:webHidden/>
          </w:rPr>
        </w:r>
        <w:r w:rsidR="006C4ACA">
          <w:rPr>
            <w:noProof/>
            <w:webHidden/>
          </w:rPr>
          <w:fldChar w:fldCharType="separate"/>
        </w:r>
        <w:r w:rsidR="005D1A57">
          <w:rPr>
            <w:noProof/>
            <w:webHidden/>
          </w:rPr>
          <w:t>27</w:t>
        </w:r>
        <w:r w:rsidR="006C4ACA">
          <w:rPr>
            <w:noProof/>
            <w:webHidden/>
          </w:rPr>
          <w:fldChar w:fldCharType="end"/>
        </w:r>
      </w:hyperlink>
    </w:p>
    <w:p w14:paraId="719A0DC8" w14:textId="5ECA7D86" w:rsidR="006C4ACA" w:rsidRDefault="009D1534">
      <w:pPr>
        <w:pStyle w:val="TOC3"/>
        <w:rPr>
          <w:rFonts w:asciiTheme="minorHAnsi" w:eastAsiaTheme="minorEastAsia" w:hAnsiTheme="minorHAnsi" w:cstheme="minorBidi"/>
          <w:noProof/>
          <w:color w:val="auto"/>
          <w:sz w:val="22"/>
          <w:szCs w:val="22"/>
        </w:rPr>
      </w:pPr>
      <w:hyperlink w:anchor="_Toc27414247" w:history="1">
        <w:r w:rsidR="006C4ACA" w:rsidRPr="00E549CF">
          <w:rPr>
            <w:rStyle w:val="Hyperlink"/>
            <w:noProof/>
          </w:rPr>
          <w:t>Figure 1.1: Incidence of preventable cancers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_Toc27414247 \h </w:instrText>
        </w:r>
        <w:r w:rsidR="006C4ACA">
          <w:rPr>
            <w:noProof/>
            <w:webHidden/>
          </w:rPr>
        </w:r>
        <w:r w:rsidR="006C4ACA">
          <w:rPr>
            <w:noProof/>
            <w:webHidden/>
          </w:rPr>
          <w:fldChar w:fldCharType="separate"/>
        </w:r>
        <w:r w:rsidR="005D1A57">
          <w:rPr>
            <w:noProof/>
            <w:webHidden/>
          </w:rPr>
          <w:t>28</w:t>
        </w:r>
        <w:r w:rsidR="006C4ACA">
          <w:rPr>
            <w:noProof/>
            <w:webHidden/>
          </w:rPr>
          <w:fldChar w:fldCharType="end"/>
        </w:r>
      </w:hyperlink>
    </w:p>
    <w:p w14:paraId="3E0FB4B5" w14:textId="0BBE0C4E" w:rsidR="006C4ACA" w:rsidRDefault="009D1534">
      <w:pPr>
        <w:pStyle w:val="TOC3"/>
        <w:rPr>
          <w:rFonts w:asciiTheme="minorHAnsi" w:eastAsiaTheme="minorEastAsia" w:hAnsiTheme="minorHAnsi" w:cstheme="minorBidi"/>
          <w:noProof/>
          <w:color w:val="auto"/>
          <w:sz w:val="22"/>
          <w:szCs w:val="22"/>
        </w:rPr>
      </w:pPr>
      <w:hyperlink w:anchor="_Toc27414248" w:history="1">
        <w:r w:rsidR="006C4ACA" w:rsidRPr="00E549CF">
          <w:rPr>
            <w:rStyle w:val="Hyperlink"/>
            <w:noProof/>
          </w:rPr>
          <w:t>Figure 1.1.1: Incidence of preventable cancers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_Toc27414248 \h </w:instrText>
        </w:r>
        <w:r w:rsidR="006C4ACA">
          <w:rPr>
            <w:noProof/>
            <w:webHidden/>
          </w:rPr>
        </w:r>
        <w:r w:rsidR="006C4ACA">
          <w:rPr>
            <w:noProof/>
            <w:webHidden/>
          </w:rPr>
          <w:fldChar w:fldCharType="separate"/>
        </w:r>
        <w:r w:rsidR="005D1A57">
          <w:rPr>
            <w:noProof/>
            <w:webHidden/>
          </w:rPr>
          <w:t>29</w:t>
        </w:r>
        <w:r w:rsidR="006C4ACA">
          <w:rPr>
            <w:noProof/>
            <w:webHidden/>
          </w:rPr>
          <w:fldChar w:fldCharType="end"/>
        </w:r>
      </w:hyperlink>
    </w:p>
    <w:p w14:paraId="7B9451C0" w14:textId="0E00F266" w:rsidR="006C4ACA" w:rsidRDefault="009D1534">
      <w:pPr>
        <w:pStyle w:val="TOC3"/>
        <w:rPr>
          <w:rFonts w:asciiTheme="minorHAnsi" w:eastAsiaTheme="minorEastAsia" w:hAnsiTheme="minorHAnsi" w:cstheme="minorBidi"/>
          <w:noProof/>
          <w:color w:val="auto"/>
          <w:sz w:val="22"/>
          <w:szCs w:val="22"/>
        </w:rPr>
      </w:pPr>
      <w:hyperlink w:anchor="_Toc27414249" w:history="1">
        <w:r w:rsidR="006C4ACA" w:rsidRPr="00E549CF">
          <w:rPr>
            <w:rStyle w:val="Hyperlink"/>
            <w:noProof/>
          </w:rPr>
          <w:t>Figure 1.1.2: Incidence of preventable cancers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_Toc27414249 \h </w:instrText>
        </w:r>
        <w:r w:rsidR="006C4ACA">
          <w:rPr>
            <w:noProof/>
            <w:webHidden/>
          </w:rPr>
        </w:r>
        <w:r w:rsidR="006C4ACA">
          <w:rPr>
            <w:noProof/>
            <w:webHidden/>
          </w:rPr>
          <w:fldChar w:fldCharType="separate"/>
        </w:r>
        <w:r w:rsidR="005D1A57">
          <w:rPr>
            <w:noProof/>
            <w:webHidden/>
          </w:rPr>
          <w:t>29</w:t>
        </w:r>
        <w:r w:rsidR="006C4ACA">
          <w:rPr>
            <w:noProof/>
            <w:webHidden/>
          </w:rPr>
          <w:fldChar w:fldCharType="end"/>
        </w:r>
      </w:hyperlink>
    </w:p>
    <w:p w14:paraId="04113654" w14:textId="5DF3005B" w:rsidR="006C4ACA" w:rsidRDefault="009D1534">
      <w:pPr>
        <w:pStyle w:val="TOC3"/>
        <w:rPr>
          <w:rFonts w:asciiTheme="minorHAnsi" w:eastAsiaTheme="minorEastAsia" w:hAnsiTheme="minorHAnsi" w:cstheme="minorBidi"/>
          <w:noProof/>
          <w:color w:val="auto"/>
          <w:sz w:val="22"/>
          <w:szCs w:val="22"/>
        </w:rPr>
      </w:pPr>
      <w:hyperlink w:anchor="_Toc27414250" w:history="1">
        <w:r w:rsidR="006C4ACA" w:rsidRPr="00E549CF">
          <w:rPr>
            <w:rStyle w:val="Hyperlink"/>
            <w:noProof/>
          </w:rPr>
          <w:t>Figure 1.1.3: Incidence of preventable cancers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_Toc27414250 \h </w:instrText>
        </w:r>
        <w:r w:rsidR="006C4ACA">
          <w:rPr>
            <w:noProof/>
            <w:webHidden/>
          </w:rPr>
        </w:r>
        <w:r w:rsidR="006C4ACA">
          <w:rPr>
            <w:noProof/>
            <w:webHidden/>
          </w:rPr>
          <w:fldChar w:fldCharType="separate"/>
        </w:r>
        <w:r w:rsidR="005D1A57">
          <w:rPr>
            <w:noProof/>
            <w:webHidden/>
          </w:rPr>
          <w:t>30</w:t>
        </w:r>
        <w:r w:rsidR="006C4ACA">
          <w:rPr>
            <w:noProof/>
            <w:webHidden/>
          </w:rPr>
          <w:fldChar w:fldCharType="end"/>
        </w:r>
      </w:hyperlink>
    </w:p>
    <w:p w14:paraId="235DE67F" w14:textId="11AA3F8F" w:rsidR="006C4ACA" w:rsidRDefault="009D1534">
      <w:pPr>
        <w:pStyle w:val="TOC3"/>
        <w:rPr>
          <w:rFonts w:asciiTheme="minorHAnsi" w:eastAsiaTheme="minorEastAsia" w:hAnsiTheme="minorHAnsi" w:cstheme="minorBidi"/>
          <w:noProof/>
          <w:color w:val="auto"/>
          <w:sz w:val="22"/>
          <w:szCs w:val="22"/>
        </w:rPr>
      </w:pPr>
      <w:hyperlink w:anchor="_Toc27414251" w:history="1">
        <w:r w:rsidR="006C4ACA" w:rsidRPr="00E549CF">
          <w:rPr>
            <w:rStyle w:val="Hyperlink"/>
            <w:noProof/>
          </w:rPr>
          <w:t>Figure 1.2: Lifetime risk of cancer before the age of 85 years by year, 2014 and 2017</w:t>
        </w:r>
        <w:r w:rsidR="006C4ACA">
          <w:rPr>
            <w:noProof/>
            <w:webHidden/>
          </w:rPr>
          <w:tab/>
        </w:r>
        <w:r w:rsidR="006C4ACA">
          <w:rPr>
            <w:noProof/>
            <w:webHidden/>
          </w:rPr>
          <w:fldChar w:fldCharType="begin"/>
        </w:r>
        <w:r w:rsidR="006C4ACA">
          <w:rPr>
            <w:noProof/>
            <w:webHidden/>
          </w:rPr>
          <w:instrText xml:space="preserve"> PAGEREF _Toc27414251 \h </w:instrText>
        </w:r>
        <w:r w:rsidR="006C4ACA">
          <w:rPr>
            <w:noProof/>
            <w:webHidden/>
          </w:rPr>
        </w:r>
        <w:r w:rsidR="006C4ACA">
          <w:rPr>
            <w:noProof/>
            <w:webHidden/>
          </w:rPr>
          <w:fldChar w:fldCharType="separate"/>
        </w:r>
        <w:r w:rsidR="005D1A57">
          <w:rPr>
            <w:noProof/>
            <w:webHidden/>
          </w:rPr>
          <w:t>32</w:t>
        </w:r>
        <w:r w:rsidR="006C4ACA">
          <w:rPr>
            <w:noProof/>
            <w:webHidden/>
          </w:rPr>
          <w:fldChar w:fldCharType="end"/>
        </w:r>
      </w:hyperlink>
    </w:p>
    <w:p w14:paraId="64604F88" w14:textId="19F0603E" w:rsidR="006C4ACA" w:rsidRDefault="009D1534">
      <w:pPr>
        <w:pStyle w:val="TOC3"/>
        <w:rPr>
          <w:rFonts w:asciiTheme="minorHAnsi" w:eastAsiaTheme="minorEastAsia" w:hAnsiTheme="minorHAnsi" w:cstheme="minorBidi"/>
          <w:noProof/>
          <w:color w:val="auto"/>
          <w:sz w:val="22"/>
          <w:szCs w:val="22"/>
        </w:rPr>
      </w:pPr>
      <w:hyperlink w:anchor="_Toc27414252" w:history="1">
        <w:r w:rsidR="006C4ACA" w:rsidRPr="00E549CF">
          <w:rPr>
            <w:rStyle w:val="Hyperlink"/>
            <w:noProof/>
          </w:rPr>
          <w:t>Figure 1.2.1: Lifetime risk of developing cancer before the age of 85 years, by ICS and year, 2014–2017</w:t>
        </w:r>
        <w:r w:rsidR="006C4ACA">
          <w:rPr>
            <w:noProof/>
            <w:webHidden/>
          </w:rPr>
          <w:tab/>
        </w:r>
        <w:r w:rsidR="006C4ACA">
          <w:rPr>
            <w:noProof/>
            <w:webHidden/>
          </w:rPr>
          <w:fldChar w:fldCharType="begin"/>
        </w:r>
        <w:r w:rsidR="006C4ACA">
          <w:rPr>
            <w:noProof/>
            <w:webHidden/>
          </w:rPr>
          <w:instrText xml:space="preserve"> PAGEREF _Toc27414252 \h </w:instrText>
        </w:r>
        <w:r w:rsidR="006C4ACA">
          <w:rPr>
            <w:noProof/>
            <w:webHidden/>
          </w:rPr>
        </w:r>
        <w:r w:rsidR="006C4ACA">
          <w:rPr>
            <w:noProof/>
            <w:webHidden/>
          </w:rPr>
          <w:fldChar w:fldCharType="separate"/>
        </w:r>
        <w:r w:rsidR="005D1A57">
          <w:rPr>
            <w:noProof/>
            <w:webHidden/>
          </w:rPr>
          <w:t>33</w:t>
        </w:r>
        <w:r w:rsidR="006C4ACA">
          <w:rPr>
            <w:noProof/>
            <w:webHidden/>
          </w:rPr>
          <w:fldChar w:fldCharType="end"/>
        </w:r>
      </w:hyperlink>
    </w:p>
    <w:p w14:paraId="5DD7F37D" w14:textId="2D6FF41C" w:rsidR="006C4ACA" w:rsidRDefault="009D1534">
      <w:pPr>
        <w:pStyle w:val="TOC3"/>
        <w:rPr>
          <w:rFonts w:asciiTheme="minorHAnsi" w:eastAsiaTheme="minorEastAsia" w:hAnsiTheme="minorHAnsi" w:cstheme="minorBidi"/>
          <w:noProof/>
          <w:color w:val="auto"/>
          <w:sz w:val="22"/>
          <w:szCs w:val="22"/>
        </w:rPr>
      </w:pPr>
      <w:hyperlink w:anchor="_Toc27414253" w:history="1">
        <w:r w:rsidR="006C4ACA" w:rsidRPr="00E549CF">
          <w:rPr>
            <w:rStyle w:val="Hyperlink"/>
            <w:noProof/>
          </w:rPr>
          <w:t>Figure 1.3: Incidence of lung cancer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_Toc27414253 \h </w:instrText>
        </w:r>
        <w:r w:rsidR="006C4ACA">
          <w:rPr>
            <w:noProof/>
            <w:webHidden/>
          </w:rPr>
        </w:r>
        <w:r w:rsidR="006C4ACA">
          <w:rPr>
            <w:noProof/>
            <w:webHidden/>
          </w:rPr>
          <w:fldChar w:fldCharType="separate"/>
        </w:r>
        <w:r w:rsidR="005D1A57">
          <w:rPr>
            <w:noProof/>
            <w:webHidden/>
          </w:rPr>
          <w:t>34</w:t>
        </w:r>
        <w:r w:rsidR="006C4ACA">
          <w:rPr>
            <w:noProof/>
            <w:webHidden/>
          </w:rPr>
          <w:fldChar w:fldCharType="end"/>
        </w:r>
      </w:hyperlink>
    </w:p>
    <w:p w14:paraId="40A4EF82" w14:textId="54E3B95C" w:rsidR="006C4ACA" w:rsidRDefault="009D1534">
      <w:pPr>
        <w:pStyle w:val="TOC3"/>
        <w:rPr>
          <w:rFonts w:asciiTheme="minorHAnsi" w:eastAsiaTheme="minorEastAsia" w:hAnsiTheme="minorHAnsi" w:cstheme="minorBidi"/>
          <w:noProof/>
          <w:color w:val="auto"/>
          <w:sz w:val="22"/>
          <w:szCs w:val="22"/>
        </w:rPr>
      </w:pPr>
      <w:hyperlink w:anchor="_Toc27414254" w:history="1">
        <w:r w:rsidR="006C4ACA" w:rsidRPr="00E549CF">
          <w:rPr>
            <w:rStyle w:val="Hyperlink"/>
            <w:noProof/>
          </w:rPr>
          <w:t>Figure 1.3.1: Incidence of lung cancer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_Toc27414254 \h </w:instrText>
        </w:r>
        <w:r w:rsidR="006C4ACA">
          <w:rPr>
            <w:noProof/>
            <w:webHidden/>
          </w:rPr>
        </w:r>
        <w:r w:rsidR="006C4ACA">
          <w:rPr>
            <w:noProof/>
            <w:webHidden/>
          </w:rPr>
          <w:fldChar w:fldCharType="separate"/>
        </w:r>
        <w:r w:rsidR="005D1A57">
          <w:rPr>
            <w:noProof/>
            <w:webHidden/>
          </w:rPr>
          <w:t>35</w:t>
        </w:r>
        <w:r w:rsidR="006C4ACA">
          <w:rPr>
            <w:noProof/>
            <w:webHidden/>
          </w:rPr>
          <w:fldChar w:fldCharType="end"/>
        </w:r>
      </w:hyperlink>
    </w:p>
    <w:p w14:paraId="128513B0" w14:textId="37935A47" w:rsidR="006C4ACA" w:rsidRDefault="009D1534">
      <w:pPr>
        <w:pStyle w:val="TOC3"/>
        <w:rPr>
          <w:rFonts w:asciiTheme="minorHAnsi" w:eastAsiaTheme="minorEastAsia" w:hAnsiTheme="minorHAnsi" w:cstheme="minorBidi"/>
          <w:noProof/>
          <w:color w:val="auto"/>
          <w:sz w:val="22"/>
          <w:szCs w:val="22"/>
        </w:rPr>
      </w:pPr>
      <w:hyperlink w:anchor="_Toc27414255" w:history="1">
        <w:r w:rsidR="006C4ACA" w:rsidRPr="00E549CF">
          <w:rPr>
            <w:rStyle w:val="Hyperlink"/>
            <w:noProof/>
          </w:rPr>
          <w:t>Figure 1.3.2: Incidence of lung cancer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_Toc27414255 \h </w:instrText>
        </w:r>
        <w:r w:rsidR="006C4ACA">
          <w:rPr>
            <w:noProof/>
            <w:webHidden/>
          </w:rPr>
        </w:r>
        <w:r w:rsidR="006C4ACA">
          <w:rPr>
            <w:noProof/>
            <w:webHidden/>
          </w:rPr>
          <w:fldChar w:fldCharType="separate"/>
        </w:r>
        <w:r w:rsidR="005D1A57">
          <w:rPr>
            <w:noProof/>
            <w:webHidden/>
          </w:rPr>
          <w:t>35</w:t>
        </w:r>
        <w:r w:rsidR="006C4ACA">
          <w:rPr>
            <w:noProof/>
            <w:webHidden/>
          </w:rPr>
          <w:fldChar w:fldCharType="end"/>
        </w:r>
      </w:hyperlink>
    </w:p>
    <w:p w14:paraId="16510907" w14:textId="7F232541" w:rsidR="006C4ACA" w:rsidRDefault="009D1534">
      <w:pPr>
        <w:pStyle w:val="TOC3"/>
        <w:rPr>
          <w:rFonts w:asciiTheme="minorHAnsi" w:eastAsiaTheme="minorEastAsia" w:hAnsiTheme="minorHAnsi" w:cstheme="minorBidi"/>
          <w:noProof/>
          <w:color w:val="auto"/>
          <w:sz w:val="22"/>
          <w:szCs w:val="22"/>
        </w:rPr>
      </w:pPr>
      <w:hyperlink w:anchor="_Toc27414256" w:history="1">
        <w:r w:rsidR="006C4ACA" w:rsidRPr="00E549CF">
          <w:rPr>
            <w:rStyle w:val="Hyperlink"/>
            <w:noProof/>
          </w:rPr>
          <w:t>Figure 1.3.3: Incidence of lung cancer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_Toc27414256 \h </w:instrText>
        </w:r>
        <w:r w:rsidR="006C4ACA">
          <w:rPr>
            <w:noProof/>
            <w:webHidden/>
          </w:rPr>
        </w:r>
        <w:r w:rsidR="006C4ACA">
          <w:rPr>
            <w:noProof/>
            <w:webHidden/>
          </w:rPr>
          <w:fldChar w:fldCharType="separate"/>
        </w:r>
        <w:r w:rsidR="005D1A57">
          <w:rPr>
            <w:noProof/>
            <w:webHidden/>
          </w:rPr>
          <w:t>36</w:t>
        </w:r>
        <w:r w:rsidR="006C4ACA">
          <w:rPr>
            <w:noProof/>
            <w:webHidden/>
          </w:rPr>
          <w:fldChar w:fldCharType="end"/>
        </w:r>
      </w:hyperlink>
    </w:p>
    <w:p w14:paraId="3DD40CF6" w14:textId="347F6191" w:rsidR="006C4ACA" w:rsidRDefault="009D1534">
      <w:pPr>
        <w:pStyle w:val="TOC3"/>
        <w:rPr>
          <w:rFonts w:asciiTheme="minorHAnsi" w:eastAsiaTheme="minorEastAsia" w:hAnsiTheme="minorHAnsi" w:cstheme="minorBidi"/>
          <w:noProof/>
          <w:color w:val="auto"/>
          <w:sz w:val="22"/>
          <w:szCs w:val="22"/>
        </w:rPr>
      </w:pPr>
      <w:hyperlink w:anchor="_Toc27414257" w:history="1">
        <w:r w:rsidR="006C4ACA" w:rsidRPr="00E549CF">
          <w:rPr>
            <w:rStyle w:val="Hyperlink"/>
            <w:noProof/>
          </w:rPr>
          <w:t>Figure 1.4: Incidence of colorectal cancer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_Toc27414257 \h </w:instrText>
        </w:r>
        <w:r w:rsidR="006C4ACA">
          <w:rPr>
            <w:noProof/>
            <w:webHidden/>
          </w:rPr>
        </w:r>
        <w:r w:rsidR="006C4ACA">
          <w:rPr>
            <w:noProof/>
            <w:webHidden/>
          </w:rPr>
          <w:fldChar w:fldCharType="separate"/>
        </w:r>
        <w:r w:rsidR="005D1A57">
          <w:rPr>
            <w:noProof/>
            <w:webHidden/>
          </w:rPr>
          <w:t>38</w:t>
        </w:r>
        <w:r w:rsidR="006C4ACA">
          <w:rPr>
            <w:noProof/>
            <w:webHidden/>
          </w:rPr>
          <w:fldChar w:fldCharType="end"/>
        </w:r>
      </w:hyperlink>
    </w:p>
    <w:p w14:paraId="0B0214C9" w14:textId="360CEE62" w:rsidR="006C4ACA" w:rsidRDefault="009D1534">
      <w:pPr>
        <w:pStyle w:val="TOC3"/>
        <w:rPr>
          <w:rFonts w:asciiTheme="minorHAnsi" w:eastAsiaTheme="minorEastAsia" w:hAnsiTheme="minorHAnsi" w:cstheme="minorBidi"/>
          <w:noProof/>
          <w:color w:val="auto"/>
          <w:sz w:val="22"/>
          <w:szCs w:val="22"/>
        </w:rPr>
      </w:pPr>
      <w:hyperlink w:anchor="_Toc27414258" w:history="1">
        <w:r w:rsidR="006C4ACA" w:rsidRPr="00E549CF">
          <w:rPr>
            <w:rStyle w:val="Hyperlink"/>
            <w:noProof/>
          </w:rPr>
          <w:t>Figure 1.4.1: Incidence of colorectal cancer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_Toc27414258 \h </w:instrText>
        </w:r>
        <w:r w:rsidR="006C4ACA">
          <w:rPr>
            <w:noProof/>
            <w:webHidden/>
          </w:rPr>
        </w:r>
        <w:r w:rsidR="006C4ACA">
          <w:rPr>
            <w:noProof/>
            <w:webHidden/>
          </w:rPr>
          <w:fldChar w:fldCharType="separate"/>
        </w:r>
        <w:r w:rsidR="005D1A57">
          <w:rPr>
            <w:noProof/>
            <w:webHidden/>
          </w:rPr>
          <w:t>39</w:t>
        </w:r>
        <w:r w:rsidR="006C4ACA">
          <w:rPr>
            <w:noProof/>
            <w:webHidden/>
          </w:rPr>
          <w:fldChar w:fldCharType="end"/>
        </w:r>
      </w:hyperlink>
    </w:p>
    <w:p w14:paraId="69E40735" w14:textId="19C1532C" w:rsidR="006C4ACA" w:rsidRDefault="009D1534">
      <w:pPr>
        <w:pStyle w:val="TOC3"/>
        <w:rPr>
          <w:rFonts w:asciiTheme="minorHAnsi" w:eastAsiaTheme="minorEastAsia" w:hAnsiTheme="minorHAnsi" w:cstheme="minorBidi"/>
          <w:noProof/>
          <w:color w:val="auto"/>
          <w:sz w:val="22"/>
          <w:szCs w:val="22"/>
        </w:rPr>
      </w:pPr>
      <w:hyperlink w:anchor="_Toc27414259" w:history="1">
        <w:r w:rsidR="006C4ACA" w:rsidRPr="00E549CF">
          <w:rPr>
            <w:rStyle w:val="Hyperlink"/>
            <w:noProof/>
          </w:rPr>
          <w:t>Figure 1.4.2: Incidence of colorectal cancer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_Toc27414259 \h </w:instrText>
        </w:r>
        <w:r w:rsidR="006C4ACA">
          <w:rPr>
            <w:noProof/>
            <w:webHidden/>
          </w:rPr>
        </w:r>
        <w:r w:rsidR="006C4ACA">
          <w:rPr>
            <w:noProof/>
            <w:webHidden/>
          </w:rPr>
          <w:fldChar w:fldCharType="separate"/>
        </w:r>
        <w:r w:rsidR="005D1A57">
          <w:rPr>
            <w:noProof/>
            <w:webHidden/>
          </w:rPr>
          <w:t>39</w:t>
        </w:r>
        <w:r w:rsidR="006C4ACA">
          <w:rPr>
            <w:noProof/>
            <w:webHidden/>
          </w:rPr>
          <w:fldChar w:fldCharType="end"/>
        </w:r>
      </w:hyperlink>
    </w:p>
    <w:p w14:paraId="6BF57230" w14:textId="2FB29AC3" w:rsidR="006C4ACA" w:rsidRDefault="009D1534">
      <w:pPr>
        <w:pStyle w:val="TOC3"/>
        <w:rPr>
          <w:rFonts w:asciiTheme="minorHAnsi" w:eastAsiaTheme="minorEastAsia" w:hAnsiTheme="minorHAnsi" w:cstheme="minorBidi"/>
          <w:noProof/>
          <w:color w:val="auto"/>
          <w:sz w:val="22"/>
          <w:szCs w:val="22"/>
        </w:rPr>
      </w:pPr>
      <w:hyperlink w:anchor="_Toc27414260" w:history="1">
        <w:r w:rsidR="006C4ACA" w:rsidRPr="00E549CF">
          <w:rPr>
            <w:rStyle w:val="Hyperlink"/>
            <w:noProof/>
          </w:rPr>
          <w:t>Figure 1.4.3: Incidence of colorectal cancer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_Toc27414260 \h </w:instrText>
        </w:r>
        <w:r w:rsidR="006C4ACA">
          <w:rPr>
            <w:noProof/>
            <w:webHidden/>
          </w:rPr>
        </w:r>
        <w:r w:rsidR="006C4ACA">
          <w:rPr>
            <w:noProof/>
            <w:webHidden/>
          </w:rPr>
          <w:fldChar w:fldCharType="separate"/>
        </w:r>
        <w:r w:rsidR="005D1A57">
          <w:rPr>
            <w:noProof/>
            <w:webHidden/>
          </w:rPr>
          <w:t>40</w:t>
        </w:r>
        <w:r w:rsidR="006C4ACA">
          <w:rPr>
            <w:noProof/>
            <w:webHidden/>
          </w:rPr>
          <w:fldChar w:fldCharType="end"/>
        </w:r>
      </w:hyperlink>
    </w:p>
    <w:p w14:paraId="422A97E5" w14:textId="6C5BE0A4" w:rsidR="006C4ACA" w:rsidRDefault="009D1534">
      <w:pPr>
        <w:pStyle w:val="TOC3"/>
        <w:rPr>
          <w:rFonts w:asciiTheme="minorHAnsi" w:eastAsiaTheme="minorEastAsia" w:hAnsiTheme="minorHAnsi" w:cstheme="minorBidi"/>
          <w:noProof/>
          <w:color w:val="auto"/>
          <w:sz w:val="22"/>
          <w:szCs w:val="22"/>
        </w:rPr>
      </w:pPr>
      <w:hyperlink w:anchor="_Toc27414261" w:history="1">
        <w:r w:rsidR="006C4ACA" w:rsidRPr="00E549CF">
          <w:rPr>
            <w:rStyle w:val="Hyperlink"/>
            <w:noProof/>
          </w:rPr>
          <w:t>Figure 1.5: Incidence of melanoma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_Toc27414261 \h </w:instrText>
        </w:r>
        <w:r w:rsidR="006C4ACA">
          <w:rPr>
            <w:noProof/>
            <w:webHidden/>
          </w:rPr>
        </w:r>
        <w:r w:rsidR="006C4ACA">
          <w:rPr>
            <w:noProof/>
            <w:webHidden/>
          </w:rPr>
          <w:fldChar w:fldCharType="separate"/>
        </w:r>
        <w:r w:rsidR="005D1A57">
          <w:rPr>
            <w:noProof/>
            <w:webHidden/>
          </w:rPr>
          <w:t>42</w:t>
        </w:r>
        <w:r w:rsidR="006C4ACA">
          <w:rPr>
            <w:noProof/>
            <w:webHidden/>
          </w:rPr>
          <w:fldChar w:fldCharType="end"/>
        </w:r>
      </w:hyperlink>
    </w:p>
    <w:p w14:paraId="7711FACA" w14:textId="10EA36A7" w:rsidR="006C4ACA" w:rsidRDefault="009D1534">
      <w:pPr>
        <w:pStyle w:val="TOC3"/>
        <w:rPr>
          <w:rFonts w:asciiTheme="minorHAnsi" w:eastAsiaTheme="minorEastAsia" w:hAnsiTheme="minorHAnsi" w:cstheme="minorBidi"/>
          <w:noProof/>
          <w:color w:val="auto"/>
          <w:sz w:val="22"/>
          <w:szCs w:val="22"/>
        </w:rPr>
      </w:pPr>
      <w:hyperlink w:anchor="_Toc27414262" w:history="1">
        <w:r w:rsidR="006C4ACA" w:rsidRPr="00E549CF">
          <w:rPr>
            <w:rStyle w:val="Hyperlink"/>
            <w:noProof/>
          </w:rPr>
          <w:t>Figure 1.5.1: Incidence of melanoma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_Toc27414262 \h </w:instrText>
        </w:r>
        <w:r w:rsidR="006C4ACA">
          <w:rPr>
            <w:noProof/>
            <w:webHidden/>
          </w:rPr>
        </w:r>
        <w:r w:rsidR="006C4ACA">
          <w:rPr>
            <w:noProof/>
            <w:webHidden/>
          </w:rPr>
          <w:fldChar w:fldCharType="separate"/>
        </w:r>
        <w:r w:rsidR="005D1A57">
          <w:rPr>
            <w:noProof/>
            <w:webHidden/>
          </w:rPr>
          <w:t>43</w:t>
        </w:r>
        <w:r w:rsidR="006C4ACA">
          <w:rPr>
            <w:noProof/>
            <w:webHidden/>
          </w:rPr>
          <w:fldChar w:fldCharType="end"/>
        </w:r>
      </w:hyperlink>
    </w:p>
    <w:p w14:paraId="07CF05FB" w14:textId="0DC36E01" w:rsidR="006C4ACA" w:rsidRDefault="009D1534">
      <w:pPr>
        <w:pStyle w:val="TOC3"/>
        <w:rPr>
          <w:rFonts w:asciiTheme="minorHAnsi" w:eastAsiaTheme="minorEastAsia" w:hAnsiTheme="minorHAnsi" w:cstheme="minorBidi"/>
          <w:noProof/>
          <w:color w:val="auto"/>
          <w:sz w:val="22"/>
          <w:szCs w:val="22"/>
        </w:rPr>
      </w:pPr>
      <w:hyperlink w:anchor="_Toc27414263" w:history="1">
        <w:r w:rsidR="006C4ACA" w:rsidRPr="00E549CF">
          <w:rPr>
            <w:rStyle w:val="Hyperlink"/>
            <w:noProof/>
          </w:rPr>
          <w:t>Figure 1.5.2: Incidence of melanoma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_Toc27414263 \h </w:instrText>
        </w:r>
        <w:r w:rsidR="006C4ACA">
          <w:rPr>
            <w:noProof/>
            <w:webHidden/>
          </w:rPr>
        </w:r>
        <w:r w:rsidR="006C4ACA">
          <w:rPr>
            <w:noProof/>
            <w:webHidden/>
          </w:rPr>
          <w:fldChar w:fldCharType="separate"/>
        </w:r>
        <w:r w:rsidR="005D1A57">
          <w:rPr>
            <w:noProof/>
            <w:webHidden/>
          </w:rPr>
          <w:t>43</w:t>
        </w:r>
        <w:r w:rsidR="006C4ACA">
          <w:rPr>
            <w:noProof/>
            <w:webHidden/>
          </w:rPr>
          <w:fldChar w:fldCharType="end"/>
        </w:r>
      </w:hyperlink>
    </w:p>
    <w:p w14:paraId="2C25258F" w14:textId="002B177B" w:rsidR="006C4ACA" w:rsidRDefault="009D1534">
      <w:pPr>
        <w:pStyle w:val="TOC3"/>
        <w:rPr>
          <w:rFonts w:asciiTheme="minorHAnsi" w:eastAsiaTheme="minorEastAsia" w:hAnsiTheme="minorHAnsi" w:cstheme="minorBidi"/>
          <w:noProof/>
          <w:color w:val="auto"/>
          <w:sz w:val="22"/>
          <w:szCs w:val="22"/>
        </w:rPr>
      </w:pPr>
      <w:hyperlink w:anchor="_Toc27414264" w:history="1">
        <w:r w:rsidR="006C4ACA" w:rsidRPr="00E549CF">
          <w:rPr>
            <w:rStyle w:val="Hyperlink"/>
            <w:noProof/>
          </w:rPr>
          <w:t>Figure 1.5.3: Incidence of melanoma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_Toc27414264 \h </w:instrText>
        </w:r>
        <w:r w:rsidR="006C4ACA">
          <w:rPr>
            <w:noProof/>
            <w:webHidden/>
          </w:rPr>
        </w:r>
        <w:r w:rsidR="006C4ACA">
          <w:rPr>
            <w:noProof/>
            <w:webHidden/>
          </w:rPr>
          <w:fldChar w:fldCharType="separate"/>
        </w:r>
        <w:r w:rsidR="005D1A57">
          <w:rPr>
            <w:noProof/>
            <w:webHidden/>
          </w:rPr>
          <w:t>44</w:t>
        </w:r>
        <w:r w:rsidR="006C4ACA">
          <w:rPr>
            <w:noProof/>
            <w:webHidden/>
          </w:rPr>
          <w:fldChar w:fldCharType="end"/>
        </w:r>
      </w:hyperlink>
    </w:p>
    <w:p w14:paraId="281E9B58" w14:textId="2CDA1B1E" w:rsidR="006C4ACA" w:rsidRDefault="009D1534">
      <w:pPr>
        <w:pStyle w:val="TOC3"/>
        <w:rPr>
          <w:rFonts w:asciiTheme="minorHAnsi" w:eastAsiaTheme="minorEastAsia" w:hAnsiTheme="minorHAnsi" w:cstheme="minorBidi"/>
          <w:noProof/>
          <w:color w:val="auto"/>
          <w:sz w:val="22"/>
          <w:szCs w:val="22"/>
        </w:rPr>
      </w:pPr>
      <w:hyperlink w:anchor="_Toc27414265" w:history="1">
        <w:r w:rsidR="006C4ACA" w:rsidRPr="00E549CF">
          <w:rPr>
            <w:rStyle w:val="Hyperlink"/>
            <w:noProof/>
          </w:rPr>
          <w:t>Figure 1.6: Incidence of female breast cancer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_Toc27414265 \h </w:instrText>
        </w:r>
        <w:r w:rsidR="006C4ACA">
          <w:rPr>
            <w:noProof/>
            <w:webHidden/>
          </w:rPr>
        </w:r>
        <w:r w:rsidR="006C4ACA">
          <w:rPr>
            <w:noProof/>
            <w:webHidden/>
          </w:rPr>
          <w:fldChar w:fldCharType="separate"/>
        </w:r>
        <w:r w:rsidR="005D1A57">
          <w:rPr>
            <w:noProof/>
            <w:webHidden/>
          </w:rPr>
          <w:t>46</w:t>
        </w:r>
        <w:r w:rsidR="006C4ACA">
          <w:rPr>
            <w:noProof/>
            <w:webHidden/>
          </w:rPr>
          <w:fldChar w:fldCharType="end"/>
        </w:r>
      </w:hyperlink>
    </w:p>
    <w:p w14:paraId="393A41E1" w14:textId="615B296E" w:rsidR="006C4ACA" w:rsidRDefault="009D1534">
      <w:pPr>
        <w:pStyle w:val="TOC3"/>
        <w:rPr>
          <w:rFonts w:asciiTheme="minorHAnsi" w:eastAsiaTheme="minorEastAsia" w:hAnsiTheme="minorHAnsi" w:cstheme="minorBidi"/>
          <w:noProof/>
          <w:color w:val="auto"/>
          <w:sz w:val="22"/>
          <w:szCs w:val="22"/>
        </w:rPr>
      </w:pPr>
      <w:hyperlink w:anchor="_Toc27414266" w:history="1">
        <w:r w:rsidR="006C4ACA" w:rsidRPr="00E549CF">
          <w:rPr>
            <w:rStyle w:val="Hyperlink"/>
            <w:noProof/>
          </w:rPr>
          <w:t>Figure 1.6.1: Incidence of female breast cancer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_Toc27414266 \h </w:instrText>
        </w:r>
        <w:r w:rsidR="006C4ACA">
          <w:rPr>
            <w:noProof/>
            <w:webHidden/>
          </w:rPr>
        </w:r>
        <w:r w:rsidR="006C4ACA">
          <w:rPr>
            <w:noProof/>
            <w:webHidden/>
          </w:rPr>
          <w:fldChar w:fldCharType="separate"/>
        </w:r>
        <w:r w:rsidR="005D1A57">
          <w:rPr>
            <w:noProof/>
            <w:webHidden/>
          </w:rPr>
          <w:t>47</w:t>
        </w:r>
        <w:r w:rsidR="006C4ACA">
          <w:rPr>
            <w:noProof/>
            <w:webHidden/>
          </w:rPr>
          <w:fldChar w:fldCharType="end"/>
        </w:r>
      </w:hyperlink>
    </w:p>
    <w:p w14:paraId="0AFE3673" w14:textId="27ECF23F" w:rsidR="006C4ACA" w:rsidRDefault="009D1534">
      <w:pPr>
        <w:pStyle w:val="TOC3"/>
        <w:rPr>
          <w:rFonts w:asciiTheme="minorHAnsi" w:eastAsiaTheme="minorEastAsia" w:hAnsiTheme="minorHAnsi" w:cstheme="minorBidi"/>
          <w:noProof/>
          <w:color w:val="auto"/>
          <w:sz w:val="22"/>
          <w:szCs w:val="22"/>
        </w:rPr>
      </w:pPr>
      <w:hyperlink w:anchor="_Toc27414267" w:history="1">
        <w:r w:rsidR="006C4ACA" w:rsidRPr="00E549CF">
          <w:rPr>
            <w:rStyle w:val="Hyperlink"/>
            <w:noProof/>
          </w:rPr>
          <w:t>Figure 1.6.2: Incidence of female breast cancer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_Toc27414267 \h </w:instrText>
        </w:r>
        <w:r w:rsidR="006C4ACA">
          <w:rPr>
            <w:noProof/>
            <w:webHidden/>
          </w:rPr>
        </w:r>
        <w:r w:rsidR="006C4ACA">
          <w:rPr>
            <w:noProof/>
            <w:webHidden/>
          </w:rPr>
          <w:fldChar w:fldCharType="separate"/>
        </w:r>
        <w:r w:rsidR="005D1A57">
          <w:rPr>
            <w:noProof/>
            <w:webHidden/>
          </w:rPr>
          <w:t>47</w:t>
        </w:r>
        <w:r w:rsidR="006C4ACA">
          <w:rPr>
            <w:noProof/>
            <w:webHidden/>
          </w:rPr>
          <w:fldChar w:fldCharType="end"/>
        </w:r>
      </w:hyperlink>
    </w:p>
    <w:p w14:paraId="557B87DB" w14:textId="124016CE" w:rsidR="006C4ACA" w:rsidRDefault="009D1534">
      <w:pPr>
        <w:pStyle w:val="TOC3"/>
        <w:rPr>
          <w:rFonts w:asciiTheme="minorHAnsi" w:eastAsiaTheme="minorEastAsia" w:hAnsiTheme="minorHAnsi" w:cstheme="minorBidi"/>
          <w:noProof/>
          <w:color w:val="auto"/>
          <w:sz w:val="22"/>
          <w:szCs w:val="22"/>
        </w:rPr>
      </w:pPr>
      <w:hyperlink w:anchor="_Toc27414268" w:history="1">
        <w:r w:rsidR="006C4ACA" w:rsidRPr="00E549CF">
          <w:rPr>
            <w:rStyle w:val="Hyperlink"/>
            <w:noProof/>
          </w:rPr>
          <w:t>Figure 1.6.3: Incidence of female breast cancer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_Toc27414268 \h </w:instrText>
        </w:r>
        <w:r w:rsidR="006C4ACA">
          <w:rPr>
            <w:noProof/>
            <w:webHidden/>
          </w:rPr>
        </w:r>
        <w:r w:rsidR="006C4ACA">
          <w:rPr>
            <w:noProof/>
            <w:webHidden/>
          </w:rPr>
          <w:fldChar w:fldCharType="separate"/>
        </w:r>
        <w:r w:rsidR="005D1A57">
          <w:rPr>
            <w:noProof/>
            <w:webHidden/>
          </w:rPr>
          <w:t>48</w:t>
        </w:r>
        <w:r w:rsidR="006C4ACA">
          <w:rPr>
            <w:noProof/>
            <w:webHidden/>
          </w:rPr>
          <w:fldChar w:fldCharType="end"/>
        </w:r>
      </w:hyperlink>
    </w:p>
    <w:p w14:paraId="7F17D198" w14:textId="01B7ACC3" w:rsidR="006C4ACA" w:rsidRDefault="009D1534">
      <w:pPr>
        <w:pStyle w:val="TOC3"/>
        <w:rPr>
          <w:rFonts w:asciiTheme="minorHAnsi" w:eastAsiaTheme="minorEastAsia" w:hAnsiTheme="minorHAnsi" w:cstheme="minorBidi"/>
          <w:noProof/>
          <w:color w:val="auto"/>
          <w:sz w:val="22"/>
          <w:szCs w:val="22"/>
        </w:rPr>
      </w:pPr>
      <w:hyperlink w:anchor="_Toc27414269" w:history="1">
        <w:r w:rsidR="006C4ACA" w:rsidRPr="00E549CF">
          <w:rPr>
            <w:rStyle w:val="Hyperlink"/>
            <w:noProof/>
          </w:rPr>
          <w:t>Figure 1.7: Incidence of cancer of the cervix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_Toc27414269 \h </w:instrText>
        </w:r>
        <w:r w:rsidR="006C4ACA">
          <w:rPr>
            <w:noProof/>
            <w:webHidden/>
          </w:rPr>
        </w:r>
        <w:r w:rsidR="006C4ACA">
          <w:rPr>
            <w:noProof/>
            <w:webHidden/>
          </w:rPr>
          <w:fldChar w:fldCharType="separate"/>
        </w:r>
        <w:r w:rsidR="005D1A57">
          <w:rPr>
            <w:noProof/>
            <w:webHidden/>
          </w:rPr>
          <w:t>50</w:t>
        </w:r>
        <w:r w:rsidR="006C4ACA">
          <w:rPr>
            <w:noProof/>
            <w:webHidden/>
          </w:rPr>
          <w:fldChar w:fldCharType="end"/>
        </w:r>
      </w:hyperlink>
    </w:p>
    <w:p w14:paraId="4FD0A9C8" w14:textId="79E11959" w:rsidR="006C4ACA" w:rsidRDefault="009D1534">
      <w:pPr>
        <w:pStyle w:val="TOC3"/>
        <w:rPr>
          <w:rFonts w:asciiTheme="minorHAnsi" w:eastAsiaTheme="minorEastAsia" w:hAnsiTheme="minorHAnsi" w:cstheme="minorBidi"/>
          <w:noProof/>
          <w:color w:val="auto"/>
          <w:sz w:val="22"/>
          <w:szCs w:val="22"/>
        </w:rPr>
      </w:pPr>
      <w:hyperlink w:anchor="_Toc27414270" w:history="1">
        <w:r w:rsidR="006C4ACA" w:rsidRPr="00E549CF">
          <w:rPr>
            <w:rStyle w:val="Hyperlink"/>
            <w:noProof/>
          </w:rPr>
          <w:t>Figure 1.7.1: Incidence of cancer of the cervix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_Toc27414270 \h </w:instrText>
        </w:r>
        <w:r w:rsidR="006C4ACA">
          <w:rPr>
            <w:noProof/>
            <w:webHidden/>
          </w:rPr>
        </w:r>
        <w:r w:rsidR="006C4ACA">
          <w:rPr>
            <w:noProof/>
            <w:webHidden/>
          </w:rPr>
          <w:fldChar w:fldCharType="separate"/>
        </w:r>
        <w:r w:rsidR="005D1A57">
          <w:rPr>
            <w:noProof/>
            <w:webHidden/>
          </w:rPr>
          <w:t>51</w:t>
        </w:r>
        <w:r w:rsidR="006C4ACA">
          <w:rPr>
            <w:noProof/>
            <w:webHidden/>
          </w:rPr>
          <w:fldChar w:fldCharType="end"/>
        </w:r>
      </w:hyperlink>
    </w:p>
    <w:p w14:paraId="130E3759" w14:textId="61A01B6F" w:rsidR="006C4ACA" w:rsidRDefault="009D1534">
      <w:pPr>
        <w:pStyle w:val="TOC3"/>
        <w:rPr>
          <w:rFonts w:asciiTheme="minorHAnsi" w:eastAsiaTheme="minorEastAsia" w:hAnsiTheme="minorHAnsi" w:cstheme="minorBidi"/>
          <w:noProof/>
          <w:color w:val="auto"/>
          <w:sz w:val="22"/>
          <w:szCs w:val="22"/>
        </w:rPr>
      </w:pPr>
      <w:hyperlink w:anchor="_Toc27414271" w:history="1">
        <w:r w:rsidR="006C4ACA" w:rsidRPr="00E549CF">
          <w:rPr>
            <w:rStyle w:val="Hyperlink"/>
            <w:noProof/>
          </w:rPr>
          <w:t>Figure 1.7.2: Incidence of cancer of the cervix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_Toc27414271 \h </w:instrText>
        </w:r>
        <w:r w:rsidR="006C4ACA">
          <w:rPr>
            <w:noProof/>
            <w:webHidden/>
          </w:rPr>
        </w:r>
        <w:r w:rsidR="006C4ACA">
          <w:rPr>
            <w:noProof/>
            <w:webHidden/>
          </w:rPr>
          <w:fldChar w:fldCharType="separate"/>
        </w:r>
        <w:r w:rsidR="005D1A57">
          <w:rPr>
            <w:noProof/>
            <w:webHidden/>
          </w:rPr>
          <w:t>51</w:t>
        </w:r>
        <w:r w:rsidR="006C4ACA">
          <w:rPr>
            <w:noProof/>
            <w:webHidden/>
          </w:rPr>
          <w:fldChar w:fldCharType="end"/>
        </w:r>
      </w:hyperlink>
    </w:p>
    <w:p w14:paraId="236E1512" w14:textId="55D5306B" w:rsidR="006C4ACA" w:rsidRDefault="009D1534">
      <w:pPr>
        <w:pStyle w:val="TOC3"/>
        <w:rPr>
          <w:rFonts w:asciiTheme="minorHAnsi" w:eastAsiaTheme="minorEastAsia" w:hAnsiTheme="minorHAnsi" w:cstheme="minorBidi"/>
          <w:noProof/>
          <w:color w:val="auto"/>
          <w:sz w:val="22"/>
          <w:szCs w:val="22"/>
        </w:rPr>
      </w:pPr>
      <w:hyperlink w:anchor="_Toc27414272" w:history="1">
        <w:r w:rsidR="006C4ACA" w:rsidRPr="00E549CF">
          <w:rPr>
            <w:rStyle w:val="Hyperlink"/>
            <w:noProof/>
          </w:rPr>
          <w:t>Figure 1.7.3: Incidence of cancer of the cervix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_Toc27414272 \h </w:instrText>
        </w:r>
        <w:r w:rsidR="006C4ACA">
          <w:rPr>
            <w:noProof/>
            <w:webHidden/>
          </w:rPr>
        </w:r>
        <w:r w:rsidR="006C4ACA">
          <w:rPr>
            <w:noProof/>
            <w:webHidden/>
          </w:rPr>
          <w:fldChar w:fldCharType="separate"/>
        </w:r>
        <w:r w:rsidR="005D1A57">
          <w:rPr>
            <w:noProof/>
            <w:webHidden/>
          </w:rPr>
          <w:t>52</w:t>
        </w:r>
        <w:r w:rsidR="006C4ACA">
          <w:rPr>
            <w:noProof/>
            <w:webHidden/>
          </w:rPr>
          <w:fldChar w:fldCharType="end"/>
        </w:r>
      </w:hyperlink>
    </w:p>
    <w:p w14:paraId="512B0ECE" w14:textId="597A6577" w:rsidR="006C4ACA" w:rsidRDefault="009D1534">
      <w:pPr>
        <w:pStyle w:val="TOC3"/>
        <w:rPr>
          <w:rFonts w:asciiTheme="minorHAnsi" w:eastAsiaTheme="minorEastAsia" w:hAnsiTheme="minorHAnsi" w:cstheme="minorBidi"/>
          <w:noProof/>
          <w:color w:val="auto"/>
          <w:sz w:val="22"/>
          <w:szCs w:val="22"/>
        </w:rPr>
      </w:pPr>
      <w:hyperlink w:anchor="_Toc27414273" w:history="1">
        <w:r w:rsidR="006C4ACA" w:rsidRPr="00E549CF">
          <w:rPr>
            <w:rStyle w:val="Hyperlink"/>
            <w:noProof/>
          </w:rPr>
          <w:t>Figure 1.8: Incidence of liver cancer (primary) in Victoria per 100,000 standardised to the 2001 Australian population, by year of diagnosis, 2014 and 2017</w:t>
        </w:r>
        <w:r w:rsidR="006C4ACA">
          <w:rPr>
            <w:noProof/>
            <w:webHidden/>
          </w:rPr>
          <w:tab/>
        </w:r>
        <w:r w:rsidR="006C4ACA">
          <w:rPr>
            <w:noProof/>
            <w:webHidden/>
          </w:rPr>
          <w:fldChar w:fldCharType="begin"/>
        </w:r>
        <w:r w:rsidR="006C4ACA">
          <w:rPr>
            <w:noProof/>
            <w:webHidden/>
          </w:rPr>
          <w:instrText xml:space="preserve"> PAGEREF _Toc27414273 \h </w:instrText>
        </w:r>
        <w:r w:rsidR="006C4ACA">
          <w:rPr>
            <w:noProof/>
            <w:webHidden/>
          </w:rPr>
        </w:r>
        <w:r w:rsidR="006C4ACA">
          <w:rPr>
            <w:noProof/>
            <w:webHidden/>
          </w:rPr>
          <w:fldChar w:fldCharType="separate"/>
        </w:r>
        <w:r w:rsidR="005D1A57">
          <w:rPr>
            <w:noProof/>
            <w:webHidden/>
          </w:rPr>
          <w:t>54</w:t>
        </w:r>
        <w:r w:rsidR="006C4ACA">
          <w:rPr>
            <w:noProof/>
            <w:webHidden/>
          </w:rPr>
          <w:fldChar w:fldCharType="end"/>
        </w:r>
      </w:hyperlink>
    </w:p>
    <w:p w14:paraId="7BE3E8AC" w14:textId="7E85856E" w:rsidR="006C4ACA" w:rsidRDefault="009D1534">
      <w:pPr>
        <w:pStyle w:val="TOC3"/>
        <w:rPr>
          <w:rFonts w:asciiTheme="minorHAnsi" w:eastAsiaTheme="minorEastAsia" w:hAnsiTheme="minorHAnsi" w:cstheme="minorBidi"/>
          <w:noProof/>
          <w:color w:val="auto"/>
          <w:sz w:val="22"/>
          <w:szCs w:val="22"/>
        </w:rPr>
      </w:pPr>
      <w:hyperlink w:anchor="_Toc27414274" w:history="1">
        <w:r w:rsidR="006C4ACA" w:rsidRPr="00E549CF">
          <w:rPr>
            <w:rStyle w:val="Hyperlink"/>
            <w:noProof/>
          </w:rPr>
          <w:t>Figure 1.8.1: Incidence of liver cancer (primary) in Victoria per 100,000 standardised to the 2001 Australian population, by ICS and year, 2014 and 2017</w:t>
        </w:r>
        <w:r w:rsidR="006C4ACA">
          <w:rPr>
            <w:noProof/>
            <w:webHidden/>
          </w:rPr>
          <w:tab/>
        </w:r>
        <w:r w:rsidR="006C4ACA">
          <w:rPr>
            <w:noProof/>
            <w:webHidden/>
          </w:rPr>
          <w:fldChar w:fldCharType="begin"/>
        </w:r>
        <w:r w:rsidR="006C4ACA">
          <w:rPr>
            <w:noProof/>
            <w:webHidden/>
          </w:rPr>
          <w:instrText xml:space="preserve"> PAGEREF _Toc27414274 \h </w:instrText>
        </w:r>
        <w:r w:rsidR="006C4ACA">
          <w:rPr>
            <w:noProof/>
            <w:webHidden/>
          </w:rPr>
        </w:r>
        <w:r w:rsidR="006C4ACA">
          <w:rPr>
            <w:noProof/>
            <w:webHidden/>
          </w:rPr>
          <w:fldChar w:fldCharType="separate"/>
        </w:r>
        <w:r w:rsidR="005D1A57">
          <w:rPr>
            <w:noProof/>
            <w:webHidden/>
          </w:rPr>
          <w:t>55</w:t>
        </w:r>
        <w:r w:rsidR="006C4ACA">
          <w:rPr>
            <w:noProof/>
            <w:webHidden/>
          </w:rPr>
          <w:fldChar w:fldCharType="end"/>
        </w:r>
      </w:hyperlink>
    </w:p>
    <w:p w14:paraId="716207A4" w14:textId="76E4BC48" w:rsidR="006C4ACA" w:rsidRDefault="009D1534">
      <w:pPr>
        <w:pStyle w:val="TOC3"/>
        <w:rPr>
          <w:rFonts w:asciiTheme="minorHAnsi" w:eastAsiaTheme="minorEastAsia" w:hAnsiTheme="minorHAnsi" w:cstheme="minorBidi"/>
          <w:noProof/>
          <w:color w:val="auto"/>
          <w:sz w:val="22"/>
          <w:szCs w:val="22"/>
        </w:rPr>
      </w:pPr>
      <w:hyperlink w:anchor="_Toc27414275" w:history="1">
        <w:r w:rsidR="006C4ACA" w:rsidRPr="00E549CF">
          <w:rPr>
            <w:rStyle w:val="Hyperlink"/>
            <w:noProof/>
          </w:rPr>
          <w:t>Figure 1.8.2: Incidence of liver cancer (primary) in Victoria per 100,000 standardised to the 2001 Australian population, by Victorian LGA, 2014</w:t>
        </w:r>
        <w:r w:rsidR="006C4ACA">
          <w:rPr>
            <w:noProof/>
            <w:webHidden/>
          </w:rPr>
          <w:tab/>
        </w:r>
        <w:r w:rsidR="006C4ACA">
          <w:rPr>
            <w:noProof/>
            <w:webHidden/>
          </w:rPr>
          <w:fldChar w:fldCharType="begin"/>
        </w:r>
        <w:r w:rsidR="006C4ACA">
          <w:rPr>
            <w:noProof/>
            <w:webHidden/>
          </w:rPr>
          <w:instrText xml:space="preserve"> PAGEREF _Toc27414275 \h </w:instrText>
        </w:r>
        <w:r w:rsidR="006C4ACA">
          <w:rPr>
            <w:noProof/>
            <w:webHidden/>
          </w:rPr>
        </w:r>
        <w:r w:rsidR="006C4ACA">
          <w:rPr>
            <w:noProof/>
            <w:webHidden/>
          </w:rPr>
          <w:fldChar w:fldCharType="separate"/>
        </w:r>
        <w:r w:rsidR="005D1A57">
          <w:rPr>
            <w:noProof/>
            <w:webHidden/>
          </w:rPr>
          <w:t>55</w:t>
        </w:r>
        <w:r w:rsidR="006C4ACA">
          <w:rPr>
            <w:noProof/>
            <w:webHidden/>
          </w:rPr>
          <w:fldChar w:fldCharType="end"/>
        </w:r>
      </w:hyperlink>
    </w:p>
    <w:p w14:paraId="58CC13D7" w14:textId="76EDBB70" w:rsidR="006C4ACA" w:rsidRDefault="009D1534">
      <w:pPr>
        <w:pStyle w:val="TOC3"/>
        <w:rPr>
          <w:rFonts w:asciiTheme="minorHAnsi" w:eastAsiaTheme="minorEastAsia" w:hAnsiTheme="minorHAnsi" w:cstheme="minorBidi"/>
          <w:noProof/>
          <w:color w:val="auto"/>
          <w:sz w:val="22"/>
          <w:szCs w:val="22"/>
        </w:rPr>
      </w:pPr>
      <w:hyperlink w:anchor="_Toc27414276" w:history="1">
        <w:r w:rsidR="006C4ACA" w:rsidRPr="00E549CF">
          <w:rPr>
            <w:rStyle w:val="Hyperlink"/>
            <w:noProof/>
          </w:rPr>
          <w:t>Figure 1.8.3: Incidence of liver cancer (primary) in Victoria per 100,000 standardised to the 2001 Australian population, by Victorian LGA, 2017</w:t>
        </w:r>
        <w:r w:rsidR="006C4ACA">
          <w:rPr>
            <w:noProof/>
            <w:webHidden/>
          </w:rPr>
          <w:tab/>
        </w:r>
        <w:r w:rsidR="006C4ACA">
          <w:rPr>
            <w:noProof/>
            <w:webHidden/>
          </w:rPr>
          <w:fldChar w:fldCharType="begin"/>
        </w:r>
        <w:r w:rsidR="006C4ACA">
          <w:rPr>
            <w:noProof/>
            <w:webHidden/>
          </w:rPr>
          <w:instrText xml:space="preserve"> PAGEREF _Toc27414276 \h </w:instrText>
        </w:r>
        <w:r w:rsidR="006C4ACA">
          <w:rPr>
            <w:noProof/>
            <w:webHidden/>
          </w:rPr>
        </w:r>
        <w:r w:rsidR="006C4ACA">
          <w:rPr>
            <w:noProof/>
            <w:webHidden/>
          </w:rPr>
          <w:fldChar w:fldCharType="separate"/>
        </w:r>
        <w:r w:rsidR="005D1A57">
          <w:rPr>
            <w:noProof/>
            <w:webHidden/>
          </w:rPr>
          <w:t>56</w:t>
        </w:r>
        <w:r w:rsidR="006C4ACA">
          <w:rPr>
            <w:noProof/>
            <w:webHidden/>
          </w:rPr>
          <w:fldChar w:fldCharType="end"/>
        </w:r>
      </w:hyperlink>
    </w:p>
    <w:p w14:paraId="28220349" w14:textId="4A6D0BE1" w:rsidR="006C4ACA" w:rsidRDefault="009D1534">
      <w:pPr>
        <w:pStyle w:val="TOC3"/>
        <w:rPr>
          <w:rFonts w:asciiTheme="minorHAnsi" w:eastAsiaTheme="minorEastAsia" w:hAnsiTheme="minorHAnsi" w:cstheme="minorBidi"/>
          <w:noProof/>
          <w:color w:val="auto"/>
          <w:sz w:val="22"/>
          <w:szCs w:val="22"/>
        </w:rPr>
      </w:pPr>
      <w:hyperlink w:anchor="_Toc27414277" w:history="1">
        <w:r w:rsidR="006C4ACA" w:rsidRPr="00E549CF">
          <w:rPr>
            <w:rStyle w:val="Hyperlink"/>
            <w:noProof/>
            <w:lang w:val="en"/>
          </w:rPr>
          <w:t>Figure 2.1: Global cancer death rate from all cancers combined per 100,000 population for both sexes, 2016</w:t>
        </w:r>
        <w:r w:rsidR="006C4ACA">
          <w:rPr>
            <w:noProof/>
            <w:webHidden/>
          </w:rPr>
          <w:tab/>
        </w:r>
        <w:r w:rsidR="006C4ACA">
          <w:rPr>
            <w:noProof/>
            <w:webHidden/>
          </w:rPr>
          <w:fldChar w:fldCharType="begin"/>
        </w:r>
        <w:r w:rsidR="006C4ACA">
          <w:rPr>
            <w:noProof/>
            <w:webHidden/>
          </w:rPr>
          <w:instrText xml:space="preserve"> PAGEREF _Toc27414277 \h </w:instrText>
        </w:r>
        <w:r w:rsidR="006C4ACA">
          <w:rPr>
            <w:noProof/>
            <w:webHidden/>
          </w:rPr>
        </w:r>
        <w:r w:rsidR="006C4ACA">
          <w:rPr>
            <w:noProof/>
            <w:webHidden/>
          </w:rPr>
          <w:fldChar w:fldCharType="separate"/>
        </w:r>
        <w:r w:rsidR="005D1A57">
          <w:rPr>
            <w:noProof/>
            <w:webHidden/>
          </w:rPr>
          <w:t>58</w:t>
        </w:r>
        <w:r w:rsidR="006C4ACA">
          <w:rPr>
            <w:noProof/>
            <w:webHidden/>
          </w:rPr>
          <w:fldChar w:fldCharType="end"/>
        </w:r>
      </w:hyperlink>
    </w:p>
    <w:p w14:paraId="3BE4DBBD" w14:textId="0DA0494A" w:rsidR="006C4ACA" w:rsidRDefault="009D1534">
      <w:pPr>
        <w:pStyle w:val="TOC3"/>
        <w:rPr>
          <w:rFonts w:asciiTheme="minorHAnsi" w:eastAsiaTheme="minorEastAsia" w:hAnsiTheme="minorHAnsi" w:cstheme="minorBidi"/>
          <w:noProof/>
          <w:color w:val="auto"/>
          <w:sz w:val="22"/>
          <w:szCs w:val="22"/>
        </w:rPr>
      </w:pPr>
      <w:hyperlink w:anchor="_Toc27414278" w:history="1">
        <w:r w:rsidR="006C4ACA" w:rsidRPr="00E549CF">
          <w:rPr>
            <w:rStyle w:val="Hyperlink"/>
            <w:noProof/>
          </w:rPr>
          <w:t>Figure 2.1.1: Victorian death rate for all cancers combined, by sex and year, 2010–2017</w:t>
        </w:r>
        <w:r w:rsidR="006C4ACA">
          <w:rPr>
            <w:noProof/>
            <w:webHidden/>
          </w:rPr>
          <w:tab/>
        </w:r>
        <w:r w:rsidR="006C4ACA">
          <w:rPr>
            <w:noProof/>
            <w:webHidden/>
          </w:rPr>
          <w:fldChar w:fldCharType="begin"/>
        </w:r>
        <w:r w:rsidR="006C4ACA">
          <w:rPr>
            <w:noProof/>
            <w:webHidden/>
          </w:rPr>
          <w:instrText xml:space="preserve"> PAGEREF _Toc27414278 \h </w:instrText>
        </w:r>
        <w:r w:rsidR="006C4ACA">
          <w:rPr>
            <w:noProof/>
            <w:webHidden/>
          </w:rPr>
        </w:r>
        <w:r w:rsidR="006C4ACA">
          <w:rPr>
            <w:noProof/>
            <w:webHidden/>
          </w:rPr>
          <w:fldChar w:fldCharType="separate"/>
        </w:r>
        <w:r w:rsidR="005D1A57">
          <w:rPr>
            <w:noProof/>
            <w:webHidden/>
          </w:rPr>
          <w:t>58</w:t>
        </w:r>
        <w:r w:rsidR="006C4ACA">
          <w:rPr>
            <w:noProof/>
            <w:webHidden/>
          </w:rPr>
          <w:fldChar w:fldCharType="end"/>
        </w:r>
      </w:hyperlink>
    </w:p>
    <w:p w14:paraId="55CEC1CB" w14:textId="7C311A4E" w:rsidR="006C4ACA" w:rsidRDefault="009D1534">
      <w:pPr>
        <w:pStyle w:val="TOC3"/>
        <w:rPr>
          <w:rFonts w:asciiTheme="minorHAnsi" w:eastAsiaTheme="minorEastAsia" w:hAnsiTheme="minorHAnsi" w:cstheme="minorBidi"/>
          <w:noProof/>
          <w:color w:val="auto"/>
          <w:sz w:val="22"/>
          <w:szCs w:val="22"/>
        </w:rPr>
      </w:pPr>
      <w:hyperlink w:anchor="_Toc27414279" w:history="1">
        <w:r w:rsidR="006C4ACA" w:rsidRPr="00E549CF">
          <w:rPr>
            <w:rStyle w:val="Hyperlink"/>
            <w:noProof/>
          </w:rPr>
          <w:t>Figure 2.1.2: Forest plots comparing the age-adjusted mortality (death) rates (and 95% confidence intervals) for deaths by all cancers in the baseline year (2010) and the most recent year where mortality data is available (2017), standardised to the 2001 Australian population</w:t>
        </w:r>
        <w:r w:rsidR="006C4ACA">
          <w:rPr>
            <w:noProof/>
            <w:webHidden/>
          </w:rPr>
          <w:tab/>
        </w:r>
        <w:r w:rsidR="006C4ACA">
          <w:rPr>
            <w:noProof/>
            <w:webHidden/>
          </w:rPr>
          <w:fldChar w:fldCharType="begin"/>
        </w:r>
        <w:r w:rsidR="006C4ACA">
          <w:rPr>
            <w:noProof/>
            <w:webHidden/>
          </w:rPr>
          <w:instrText xml:space="preserve"> PAGEREF _Toc27414279 \h </w:instrText>
        </w:r>
        <w:r w:rsidR="006C4ACA">
          <w:rPr>
            <w:noProof/>
            <w:webHidden/>
          </w:rPr>
        </w:r>
        <w:r w:rsidR="006C4ACA">
          <w:rPr>
            <w:noProof/>
            <w:webHidden/>
          </w:rPr>
          <w:fldChar w:fldCharType="separate"/>
        </w:r>
        <w:r w:rsidR="005D1A57">
          <w:rPr>
            <w:noProof/>
            <w:webHidden/>
          </w:rPr>
          <w:t>59</w:t>
        </w:r>
        <w:r w:rsidR="006C4ACA">
          <w:rPr>
            <w:noProof/>
            <w:webHidden/>
          </w:rPr>
          <w:fldChar w:fldCharType="end"/>
        </w:r>
      </w:hyperlink>
    </w:p>
    <w:p w14:paraId="77ED644E" w14:textId="43669792" w:rsidR="006C4ACA" w:rsidRDefault="009D1534">
      <w:pPr>
        <w:pStyle w:val="TOC3"/>
        <w:rPr>
          <w:rFonts w:asciiTheme="minorHAnsi" w:eastAsiaTheme="minorEastAsia" w:hAnsiTheme="minorHAnsi" w:cstheme="minorBidi"/>
          <w:noProof/>
          <w:color w:val="auto"/>
          <w:sz w:val="22"/>
          <w:szCs w:val="22"/>
        </w:rPr>
      </w:pPr>
      <w:hyperlink w:anchor="_Toc27414280" w:history="1">
        <w:r w:rsidR="006C4ACA" w:rsidRPr="00E549CF">
          <w:rPr>
            <w:rStyle w:val="Hyperlink"/>
            <w:noProof/>
          </w:rPr>
          <w:t>Figure 2.1.3: Victorian death rate for all cancers combined, by LGA, 2010</w:t>
        </w:r>
        <w:r w:rsidR="006C4ACA">
          <w:rPr>
            <w:noProof/>
            <w:webHidden/>
          </w:rPr>
          <w:tab/>
        </w:r>
        <w:r w:rsidR="006C4ACA">
          <w:rPr>
            <w:noProof/>
            <w:webHidden/>
          </w:rPr>
          <w:fldChar w:fldCharType="begin"/>
        </w:r>
        <w:r w:rsidR="006C4ACA">
          <w:rPr>
            <w:noProof/>
            <w:webHidden/>
          </w:rPr>
          <w:instrText xml:space="preserve"> PAGEREF _Toc27414280 \h </w:instrText>
        </w:r>
        <w:r w:rsidR="006C4ACA">
          <w:rPr>
            <w:noProof/>
            <w:webHidden/>
          </w:rPr>
        </w:r>
        <w:r w:rsidR="006C4ACA">
          <w:rPr>
            <w:noProof/>
            <w:webHidden/>
          </w:rPr>
          <w:fldChar w:fldCharType="separate"/>
        </w:r>
        <w:r w:rsidR="005D1A57">
          <w:rPr>
            <w:noProof/>
            <w:webHidden/>
          </w:rPr>
          <w:t>60</w:t>
        </w:r>
        <w:r w:rsidR="006C4ACA">
          <w:rPr>
            <w:noProof/>
            <w:webHidden/>
          </w:rPr>
          <w:fldChar w:fldCharType="end"/>
        </w:r>
      </w:hyperlink>
    </w:p>
    <w:p w14:paraId="692E0330" w14:textId="7027E4A5" w:rsidR="006C4ACA" w:rsidRDefault="009D1534">
      <w:pPr>
        <w:pStyle w:val="TOC3"/>
        <w:rPr>
          <w:rFonts w:asciiTheme="minorHAnsi" w:eastAsiaTheme="minorEastAsia" w:hAnsiTheme="minorHAnsi" w:cstheme="minorBidi"/>
          <w:noProof/>
          <w:color w:val="auto"/>
          <w:sz w:val="22"/>
          <w:szCs w:val="22"/>
        </w:rPr>
      </w:pPr>
      <w:hyperlink w:anchor="_Toc27414281" w:history="1">
        <w:r w:rsidR="006C4ACA" w:rsidRPr="00E549CF">
          <w:rPr>
            <w:rStyle w:val="Hyperlink"/>
            <w:noProof/>
          </w:rPr>
          <w:t>Figure 2.1.4: Victorian death rate for all cancers combined, by LGA, 2017</w:t>
        </w:r>
        <w:r w:rsidR="006C4ACA">
          <w:rPr>
            <w:noProof/>
            <w:webHidden/>
          </w:rPr>
          <w:tab/>
        </w:r>
        <w:r w:rsidR="006C4ACA">
          <w:rPr>
            <w:noProof/>
            <w:webHidden/>
          </w:rPr>
          <w:fldChar w:fldCharType="begin"/>
        </w:r>
        <w:r w:rsidR="006C4ACA">
          <w:rPr>
            <w:noProof/>
            <w:webHidden/>
          </w:rPr>
          <w:instrText xml:space="preserve"> PAGEREF _Toc27414281 \h </w:instrText>
        </w:r>
        <w:r w:rsidR="006C4ACA">
          <w:rPr>
            <w:noProof/>
            <w:webHidden/>
          </w:rPr>
        </w:r>
        <w:r w:rsidR="006C4ACA">
          <w:rPr>
            <w:noProof/>
            <w:webHidden/>
          </w:rPr>
          <w:fldChar w:fldCharType="separate"/>
        </w:r>
        <w:r w:rsidR="005D1A57">
          <w:rPr>
            <w:noProof/>
            <w:webHidden/>
          </w:rPr>
          <w:t>60</w:t>
        </w:r>
        <w:r w:rsidR="006C4ACA">
          <w:rPr>
            <w:noProof/>
            <w:webHidden/>
          </w:rPr>
          <w:fldChar w:fldCharType="end"/>
        </w:r>
      </w:hyperlink>
    </w:p>
    <w:p w14:paraId="253D3636" w14:textId="2CCD186F" w:rsidR="006C4ACA" w:rsidRDefault="009D1534">
      <w:pPr>
        <w:pStyle w:val="TOC3"/>
        <w:rPr>
          <w:rFonts w:asciiTheme="minorHAnsi" w:eastAsiaTheme="minorEastAsia" w:hAnsiTheme="minorHAnsi" w:cstheme="minorBidi"/>
          <w:noProof/>
          <w:color w:val="auto"/>
          <w:sz w:val="22"/>
          <w:szCs w:val="22"/>
        </w:rPr>
      </w:pPr>
      <w:hyperlink w:anchor="_Toc27414282" w:history="1">
        <w:r w:rsidR="006C4ACA" w:rsidRPr="00E549CF">
          <w:rPr>
            <w:rStyle w:val="Hyperlink"/>
            <w:noProof/>
          </w:rPr>
          <w:t>Figure 2.1.5: Victorian death rate for all cancers combined, by ICS by year, 2010–2017</w:t>
        </w:r>
        <w:r w:rsidR="006C4ACA">
          <w:rPr>
            <w:noProof/>
            <w:webHidden/>
          </w:rPr>
          <w:tab/>
        </w:r>
        <w:r w:rsidR="006C4ACA">
          <w:rPr>
            <w:noProof/>
            <w:webHidden/>
          </w:rPr>
          <w:fldChar w:fldCharType="begin"/>
        </w:r>
        <w:r w:rsidR="006C4ACA">
          <w:rPr>
            <w:noProof/>
            <w:webHidden/>
          </w:rPr>
          <w:instrText xml:space="preserve"> PAGEREF _Toc27414282 \h </w:instrText>
        </w:r>
        <w:r w:rsidR="006C4ACA">
          <w:rPr>
            <w:noProof/>
            <w:webHidden/>
          </w:rPr>
        </w:r>
        <w:r w:rsidR="006C4ACA">
          <w:rPr>
            <w:noProof/>
            <w:webHidden/>
          </w:rPr>
          <w:fldChar w:fldCharType="separate"/>
        </w:r>
        <w:r w:rsidR="005D1A57">
          <w:rPr>
            <w:noProof/>
            <w:webHidden/>
          </w:rPr>
          <w:t>61</w:t>
        </w:r>
        <w:r w:rsidR="006C4ACA">
          <w:rPr>
            <w:noProof/>
            <w:webHidden/>
          </w:rPr>
          <w:fldChar w:fldCharType="end"/>
        </w:r>
      </w:hyperlink>
    </w:p>
    <w:p w14:paraId="38556D11" w14:textId="558F19D1" w:rsidR="006C4ACA" w:rsidRDefault="009D1534">
      <w:pPr>
        <w:pStyle w:val="TOC3"/>
        <w:rPr>
          <w:rFonts w:asciiTheme="minorHAnsi" w:eastAsiaTheme="minorEastAsia" w:hAnsiTheme="minorHAnsi" w:cstheme="minorBidi"/>
          <w:noProof/>
          <w:color w:val="auto"/>
          <w:sz w:val="22"/>
          <w:szCs w:val="22"/>
        </w:rPr>
      </w:pPr>
      <w:hyperlink w:anchor="_Toc27414283" w:history="1">
        <w:r w:rsidR="006C4ACA" w:rsidRPr="00E549CF">
          <w:rPr>
            <w:rStyle w:val="Hyperlink"/>
            <w:noProof/>
          </w:rPr>
          <w:t>Figure 2.2: Global map presenting national ranking of all cancers (combined) as a cause of premature death (below 70 years) in 2015</w:t>
        </w:r>
        <w:r w:rsidR="006C4ACA">
          <w:rPr>
            <w:noProof/>
            <w:webHidden/>
          </w:rPr>
          <w:tab/>
        </w:r>
        <w:r w:rsidR="006C4ACA">
          <w:rPr>
            <w:noProof/>
            <w:webHidden/>
          </w:rPr>
          <w:fldChar w:fldCharType="begin"/>
        </w:r>
        <w:r w:rsidR="006C4ACA">
          <w:rPr>
            <w:noProof/>
            <w:webHidden/>
          </w:rPr>
          <w:instrText xml:space="preserve"> PAGEREF _Toc27414283 \h </w:instrText>
        </w:r>
        <w:r w:rsidR="006C4ACA">
          <w:rPr>
            <w:noProof/>
            <w:webHidden/>
          </w:rPr>
        </w:r>
        <w:r w:rsidR="006C4ACA">
          <w:rPr>
            <w:noProof/>
            <w:webHidden/>
          </w:rPr>
          <w:fldChar w:fldCharType="separate"/>
        </w:r>
        <w:r w:rsidR="005D1A57">
          <w:rPr>
            <w:noProof/>
            <w:webHidden/>
          </w:rPr>
          <w:t>63</w:t>
        </w:r>
        <w:r w:rsidR="006C4ACA">
          <w:rPr>
            <w:noProof/>
            <w:webHidden/>
          </w:rPr>
          <w:fldChar w:fldCharType="end"/>
        </w:r>
      </w:hyperlink>
    </w:p>
    <w:p w14:paraId="4045E889" w14:textId="02DD4B94" w:rsidR="006C4ACA" w:rsidRDefault="009D1534">
      <w:pPr>
        <w:pStyle w:val="TOC3"/>
        <w:rPr>
          <w:rFonts w:asciiTheme="minorHAnsi" w:eastAsiaTheme="minorEastAsia" w:hAnsiTheme="minorHAnsi" w:cstheme="minorBidi"/>
          <w:noProof/>
          <w:color w:val="auto"/>
          <w:sz w:val="22"/>
          <w:szCs w:val="22"/>
        </w:rPr>
      </w:pPr>
      <w:hyperlink w:anchor="_Toc27414284" w:history="1">
        <w:r w:rsidR="006C4ACA" w:rsidRPr="00E549CF">
          <w:rPr>
            <w:rStyle w:val="Hyperlink"/>
            <w:noProof/>
          </w:rPr>
          <w:t>Figure 2.2.1: Victorian premature death rate for all cancers combined, by sex and year, 2010–2017</w:t>
        </w:r>
        <w:r w:rsidR="006C4ACA">
          <w:rPr>
            <w:noProof/>
            <w:webHidden/>
          </w:rPr>
          <w:tab/>
        </w:r>
        <w:r w:rsidR="006C4ACA">
          <w:rPr>
            <w:noProof/>
            <w:webHidden/>
          </w:rPr>
          <w:fldChar w:fldCharType="begin"/>
        </w:r>
        <w:r w:rsidR="006C4ACA">
          <w:rPr>
            <w:noProof/>
            <w:webHidden/>
          </w:rPr>
          <w:instrText xml:space="preserve"> PAGEREF _Toc27414284 \h </w:instrText>
        </w:r>
        <w:r w:rsidR="006C4ACA">
          <w:rPr>
            <w:noProof/>
            <w:webHidden/>
          </w:rPr>
        </w:r>
        <w:r w:rsidR="006C4ACA">
          <w:rPr>
            <w:noProof/>
            <w:webHidden/>
          </w:rPr>
          <w:fldChar w:fldCharType="separate"/>
        </w:r>
        <w:r w:rsidR="005D1A57">
          <w:rPr>
            <w:noProof/>
            <w:webHidden/>
          </w:rPr>
          <w:t>63</w:t>
        </w:r>
        <w:r w:rsidR="006C4ACA">
          <w:rPr>
            <w:noProof/>
            <w:webHidden/>
          </w:rPr>
          <w:fldChar w:fldCharType="end"/>
        </w:r>
      </w:hyperlink>
    </w:p>
    <w:p w14:paraId="54F6B4EC" w14:textId="36E5579E" w:rsidR="006C4ACA" w:rsidRDefault="009D1534">
      <w:pPr>
        <w:pStyle w:val="TOC3"/>
        <w:rPr>
          <w:rFonts w:asciiTheme="minorHAnsi" w:eastAsiaTheme="minorEastAsia" w:hAnsiTheme="minorHAnsi" w:cstheme="minorBidi"/>
          <w:noProof/>
          <w:color w:val="auto"/>
          <w:sz w:val="22"/>
          <w:szCs w:val="22"/>
        </w:rPr>
      </w:pPr>
      <w:hyperlink w:anchor="_Toc27414285" w:history="1">
        <w:r w:rsidR="006C4ACA" w:rsidRPr="00E549CF">
          <w:rPr>
            <w:rStyle w:val="Hyperlink"/>
            <w:noProof/>
          </w:rPr>
          <w:t>Figure 2.2.2: Forest plots comparing the age-adjusted mortality (death) rates (and 95% confidence intervals) for Victorian premature deaths by all cancers in the baseline year (2010) and the most recent year where mortality data is available (2017), in those younger than 75 years of age at death, standardised to the 2001 Australian population</w:t>
        </w:r>
        <w:r w:rsidR="006C4ACA">
          <w:rPr>
            <w:noProof/>
            <w:webHidden/>
          </w:rPr>
          <w:tab/>
        </w:r>
        <w:r w:rsidR="006C4ACA">
          <w:rPr>
            <w:noProof/>
            <w:webHidden/>
          </w:rPr>
          <w:fldChar w:fldCharType="begin"/>
        </w:r>
        <w:r w:rsidR="006C4ACA">
          <w:rPr>
            <w:noProof/>
            <w:webHidden/>
          </w:rPr>
          <w:instrText xml:space="preserve"> PAGEREF _Toc27414285 \h </w:instrText>
        </w:r>
        <w:r w:rsidR="006C4ACA">
          <w:rPr>
            <w:noProof/>
            <w:webHidden/>
          </w:rPr>
        </w:r>
        <w:r w:rsidR="006C4ACA">
          <w:rPr>
            <w:noProof/>
            <w:webHidden/>
          </w:rPr>
          <w:fldChar w:fldCharType="separate"/>
        </w:r>
        <w:r w:rsidR="005D1A57">
          <w:rPr>
            <w:noProof/>
            <w:webHidden/>
          </w:rPr>
          <w:t>64</w:t>
        </w:r>
        <w:r w:rsidR="006C4ACA">
          <w:rPr>
            <w:noProof/>
            <w:webHidden/>
          </w:rPr>
          <w:fldChar w:fldCharType="end"/>
        </w:r>
      </w:hyperlink>
    </w:p>
    <w:p w14:paraId="1787A3D1" w14:textId="340839FE" w:rsidR="006C4ACA" w:rsidRDefault="009D1534">
      <w:pPr>
        <w:pStyle w:val="TOC3"/>
        <w:rPr>
          <w:rFonts w:asciiTheme="minorHAnsi" w:eastAsiaTheme="minorEastAsia" w:hAnsiTheme="minorHAnsi" w:cstheme="minorBidi"/>
          <w:noProof/>
          <w:color w:val="auto"/>
          <w:sz w:val="22"/>
          <w:szCs w:val="22"/>
        </w:rPr>
      </w:pPr>
      <w:hyperlink w:anchor="_Toc27414286" w:history="1">
        <w:r w:rsidR="006C4ACA" w:rsidRPr="00E549CF">
          <w:rPr>
            <w:rStyle w:val="Hyperlink"/>
            <w:noProof/>
          </w:rPr>
          <w:t>Figure 2.2.3: Victorian premature death rate for all cancers combined, by LGA, 2010</w:t>
        </w:r>
        <w:r w:rsidR="006C4ACA">
          <w:rPr>
            <w:noProof/>
            <w:webHidden/>
          </w:rPr>
          <w:tab/>
        </w:r>
        <w:r w:rsidR="006C4ACA">
          <w:rPr>
            <w:noProof/>
            <w:webHidden/>
          </w:rPr>
          <w:fldChar w:fldCharType="begin"/>
        </w:r>
        <w:r w:rsidR="006C4ACA">
          <w:rPr>
            <w:noProof/>
            <w:webHidden/>
          </w:rPr>
          <w:instrText xml:space="preserve"> PAGEREF _Toc27414286 \h </w:instrText>
        </w:r>
        <w:r w:rsidR="006C4ACA">
          <w:rPr>
            <w:noProof/>
            <w:webHidden/>
          </w:rPr>
        </w:r>
        <w:r w:rsidR="006C4ACA">
          <w:rPr>
            <w:noProof/>
            <w:webHidden/>
          </w:rPr>
          <w:fldChar w:fldCharType="separate"/>
        </w:r>
        <w:r w:rsidR="005D1A57">
          <w:rPr>
            <w:noProof/>
            <w:webHidden/>
          </w:rPr>
          <w:t>65</w:t>
        </w:r>
        <w:r w:rsidR="006C4ACA">
          <w:rPr>
            <w:noProof/>
            <w:webHidden/>
          </w:rPr>
          <w:fldChar w:fldCharType="end"/>
        </w:r>
      </w:hyperlink>
    </w:p>
    <w:p w14:paraId="49A459D9" w14:textId="7EE16CB0" w:rsidR="006C4ACA" w:rsidRDefault="009D1534">
      <w:pPr>
        <w:pStyle w:val="TOC3"/>
        <w:rPr>
          <w:rFonts w:asciiTheme="minorHAnsi" w:eastAsiaTheme="minorEastAsia" w:hAnsiTheme="minorHAnsi" w:cstheme="minorBidi"/>
          <w:noProof/>
          <w:color w:val="auto"/>
          <w:sz w:val="22"/>
          <w:szCs w:val="22"/>
        </w:rPr>
      </w:pPr>
      <w:hyperlink w:anchor="_Toc27414287" w:history="1">
        <w:r w:rsidR="006C4ACA" w:rsidRPr="00E549CF">
          <w:rPr>
            <w:rStyle w:val="Hyperlink"/>
            <w:noProof/>
          </w:rPr>
          <w:t>Figure 2.2.4: Victorian premature death rate for all cancers combined, by LGA, 2017</w:t>
        </w:r>
        <w:r w:rsidR="006C4ACA">
          <w:rPr>
            <w:noProof/>
            <w:webHidden/>
          </w:rPr>
          <w:tab/>
        </w:r>
        <w:r w:rsidR="006C4ACA">
          <w:rPr>
            <w:noProof/>
            <w:webHidden/>
          </w:rPr>
          <w:fldChar w:fldCharType="begin"/>
        </w:r>
        <w:r w:rsidR="006C4ACA">
          <w:rPr>
            <w:noProof/>
            <w:webHidden/>
          </w:rPr>
          <w:instrText xml:space="preserve"> PAGEREF _Toc27414287 \h </w:instrText>
        </w:r>
        <w:r w:rsidR="006C4ACA">
          <w:rPr>
            <w:noProof/>
            <w:webHidden/>
          </w:rPr>
        </w:r>
        <w:r w:rsidR="006C4ACA">
          <w:rPr>
            <w:noProof/>
            <w:webHidden/>
          </w:rPr>
          <w:fldChar w:fldCharType="separate"/>
        </w:r>
        <w:r w:rsidR="005D1A57">
          <w:rPr>
            <w:noProof/>
            <w:webHidden/>
          </w:rPr>
          <w:t>65</w:t>
        </w:r>
        <w:r w:rsidR="006C4ACA">
          <w:rPr>
            <w:noProof/>
            <w:webHidden/>
          </w:rPr>
          <w:fldChar w:fldCharType="end"/>
        </w:r>
      </w:hyperlink>
    </w:p>
    <w:p w14:paraId="4117BA44" w14:textId="6DD0400D" w:rsidR="006C4ACA" w:rsidRDefault="009D1534">
      <w:pPr>
        <w:pStyle w:val="TOC3"/>
        <w:rPr>
          <w:rFonts w:asciiTheme="minorHAnsi" w:eastAsiaTheme="minorEastAsia" w:hAnsiTheme="minorHAnsi" w:cstheme="minorBidi"/>
          <w:noProof/>
          <w:color w:val="auto"/>
          <w:sz w:val="22"/>
          <w:szCs w:val="22"/>
        </w:rPr>
      </w:pPr>
      <w:hyperlink w:anchor="_Toc27414288" w:history="1">
        <w:r w:rsidR="006C4ACA" w:rsidRPr="00E549CF">
          <w:rPr>
            <w:rStyle w:val="Hyperlink"/>
            <w:noProof/>
          </w:rPr>
          <w:t>Figure 2.2.5: Victorian death rate for all cancers combined, by ICS by year, 2010–2017</w:t>
        </w:r>
        <w:r w:rsidR="006C4ACA">
          <w:rPr>
            <w:noProof/>
            <w:webHidden/>
          </w:rPr>
          <w:tab/>
        </w:r>
        <w:r w:rsidR="006C4ACA">
          <w:rPr>
            <w:noProof/>
            <w:webHidden/>
          </w:rPr>
          <w:fldChar w:fldCharType="begin"/>
        </w:r>
        <w:r w:rsidR="006C4ACA">
          <w:rPr>
            <w:noProof/>
            <w:webHidden/>
          </w:rPr>
          <w:instrText xml:space="preserve"> PAGEREF _Toc27414288 \h </w:instrText>
        </w:r>
        <w:r w:rsidR="006C4ACA">
          <w:rPr>
            <w:noProof/>
            <w:webHidden/>
          </w:rPr>
        </w:r>
        <w:r w:rsidR="006C4ACA">
          <w:rPr>
            <w:noProof/>
            <w:webHidden/>
          </w:rPr>
          <w:fldChar w:fldCharType="separate"/>
        </w:r>
        <w:r w:rsidR="005D1A57">
          <w:rPr>
            <w:noProof/>
            <w:webHidden/>
          </w:rPr>
          <w:t>66</w:t>
        </w:r>
        <w:r w:rsidR="006C4ACA">
          <w:rPr>
            <w:noProof/>
            <w:webHidden/>
          </w:rPr>
          <w:fldChar w:fldCharType="end"/>
        </w:r>
      </w:hyperlink>
    </w:p>
    <w:p w14:paraId="465193C7" w14:textId="5C1F045E" w:rsidR="006C4ACA" w:rsidRDefault="009D1534">
      <w:pPr>
        <w:pStyle w:val="TOC3"/>
        <w:rPr>
          <w:rFonts w:asciiTheme="minorHAnsi" w:eastAsiaTheme="minorEastAsia" w:hAnsiTheme="minorHAnsi" w:cstheme="minorBidi"/>
          <w:noProof/>
          <w:color w:val="auto"/>
          <w:sz w:val="22"/>
          <w:szCs w:val="22"/>
        </w:rPr>
      </w:pPr>
      <w:hyperlink w:anchor="_Toc27414289" w:history="1">
        <w:r w:rsidR="006C4ACA" w:rsidRPr="00E549CF">
          <w:rPr>
            <w:rStyle w:val="Hyperlink"/>
            <w:noProof/>
          </w:rPr>
          <w:t>Figure 2.3: Number of deaths averted in Victoria based on expected number of deaths by year, 2015–2017</w:t>
        </w:r>
        <w:r w:rsidR="006C4ACA">
          <w:rPr>
            <w:noProof/>
            <w:webHidden/>
          </w:rPr>
          <w:tab/>
        </w:r>
        <w:r w:rsidR="006C4ACA">
          <w:rPr>
            <w:noProof/>
            <w:webHidden/>
          </w:rPr>
          <w:fldChar w:fldCharType="begin"/>
        </w:r>
        <w:r w:rsidR="006C4ACA">
          <w:rPr>
            <w:noProof/>
            <w:webHidden/>
          </w:rPr>
          <w:instrText xml:space="preserve"> PAGEREF _Toc27414289 \h </w:instrText>
        </w:r>
        <w:r w:rsidR="006C4ACA">
          <w:rPr>
            <w:noProof/>
            <w:webHidden/>
          </w:rPr>
        </w:r>
        <w:r w:rsidR="006C4ACA">
          <w:rPr>
            <w:noProof/>
            <w:webHidden/>
          </w:rPr>
          <w:fldChar w:fldCharType="separate"/>
        </w:r>
        <w:r w:rsidR="005D1A57">
          <w:rPr>
            <w:noProof/>
            <w:webHidden/>
          </w:rPr>
          <w:t>67</w:t>
        </w:r>
        <w:r w:rsidR="006C4ACA">
          <w:rPr>
            <w:noProof/>
            <w:webHidden/>
          </w:rPr>
          <w:fldChar w:fldCharType="end"/>
        </w:r>
      </w:hyperlink>
    </w:p>
    <w:p w14:paraId="429F014D" w14:textId="2BFFB8D9" w:rsidR="006C4ACA" w:rsidRDefault="009D1534">
      <w:pPr>
        <w:pStyle w:val="TOC3"/>
        <w:rPr>
          <w:rFonts w:asciiTheme="minorHAnsi" w:eastAsiaTheme="minorEastAsia" w:hAnsiTheme="minorHAnsi" w:cstheme="minorBidi"/>
          <w:noProof/>
          <w:color w:val="auto"/>
          <w:sz w:val="22"/>
          <w:szCs w:val="22"/>
        </w:rPr>
      </w:pPr>
      <w:hyperlink w:anchor="_Toc27414290" w:history="1">
        <w:r w:rsidR="006C4ACA" w:rsidRPr="00E549CF">
          <w:rPr>
            <w:rStyle w:val="Hyperlink"/>
            <w:noProof/>
          </w:rPr>
          <w:t>Figure 4.1: Rate ratio of preventable cancer incidence in ICS of residence compared with the ICS of residence with the lowest adjusted incidence rate, grouped by year of diagnosis, 2014–2017</w:t>
        </w:r>
        <w:r w:rsidR="006C4ACA">
          <w:rPr>
            <w:noProof/>
            <w:webHidden/>
          </w:rPr>
          <w:tab/>
        </w:r>
        <w:r w:rsidR="006C4ACA">
          <w:rPr>
            <w:noProof/>
            <w:webHidden/>
          </w:rPr>
          <w:fldChar w:fldCharType="begin"/>
        </w:r>
        <w:r w:rsidR="006C4ACA">
          <w:rPr>
            <w:noProof/>
            <w:webHidden/>
          </w:rPr>
          <w:instrText xml:space="preserve"> PAGEREF _Toc27414290 \h </w:instrText>
        </w:r>
        <w:r w:rsidR="006C4ACA">
          <w:rPr>
            <w:noProof/>
            <w:webHidden/>
          </w:rPr>
        </w:r>
        <w:r w:rsidR="006C4ACA">
          <w:rPr>
            <w:noProof/>
            <w:webHidden/>
          </w:rPr>
          <w:fldChar w:fldCharType="separate"/>
        </w:r>
        <w:r w:rsidR="005D1A57">
          <w:rPr>
            <w:noProof/>
            <w:webHidden/>
          </w:rPr>
          <w:t>69</w:t>
        </w:r>
        <w:r w:rsidR="006C4ACA">
          <w:rPr>
            <w:noProof/>
            <w:webHidden/>
          </w:rPr>
          <w:fldChar w:fldCharType="end"/>
        </w:r>
      </w:hyperlink>
    </w:p>
    <w:p w14:paraId="6901AFCD" w14:textId="52F92FE4" w:rsidR="006C4ACA" w:rsidRDefault="009D1534">
      <w:pPr>
        <w:pStyle w:val="TOC3"/>
        <w:rPr>
          <w:rFonts w:asciiTheme="minorHAnsi" w:eastAsiaTheme="minorEastAsia" w:hAnsiTheme="minorHAnsi" w:cstheme="minorBidi"/>
          <w:noProof/>
          <w:color w:val="auto"/>
          <w:sz w:val="22"/>
          <w:szCs w:val="22"/>
        </w:rPr>
      </w:pPr>
      <w:hyperlink w:anchor="_Toc27414291" w:history="1">
        <w:r w:rsidR="006C4ACA" w:rsidRPr="00E549CF">
          <w:rPr>
            <w:rStyle w:val="Hyperlink"/>
            <w:noProof/>
          </w:rPr>
          <w:t>Figure 4.2: Rate ratio of preventable cancer incidence (with confidence intervals) for Victoria in SES quintiles 1–4 (where SES 1 is most disadvantaged) compared with the least disadvantaged SES (quintile 5), grouped by year of diagnosis, 2014–2017</w:t>
        </w:r>
        <w:r w:rsidR="006C4ACA">
          <w:rPr>
            <w:noProof/>
            <w:webHidden/>
          </w:rPr>
          <w:tab/>
        </w:r>
        <w:r w:rsidR="006C4ACA">
          <w:rPr>
            <w:noProof/>
            <w:webHidden/>
          </w:rPr>
          <w:fldChar w:fldCharType="begin"/>
        </w:r>
        <w:r w:rsidR="006C4ACA">
          <w:rPr>
            <w:noProof/>
            <w:webHidden/>
          </w:rPr>
          <w:instrText xml:space="preserve"> PAGEREF _Toc27414291 \h </w:instrText>
        </w:r>
        <w:r w:rsidR="006C4ACA">
          <w:rPr>
            <w:noProof/>
            <w:webHidden/>
          </w:rPr>
        </w:r>
        <w:r w:rsidR="006C4ACA">
          <w:rPr>
            <w:noProof/>
            <w:webHidden/>
          </w:rPr>
          <w:fldChar w:fldCharType="separate"/>
        </w:r>
        <w:r w:rsidR="005D1A57">
          <w:rPr>
            <w:noProof/>
            <w:webHidden/>
          </w:rPr>
          <w:t>71</w:t>
        </w:r>
        <w:r w:rsidR="006C4ACA">
          <w:rPr>
            <w:noProof/>
            <w:webHidden/>
          </w:rPr>
          <w:fldChar w:fldCharType="end"/>
        </w:r>
      </w:hyperlink>
    </w:p>
    <w:p w14:paraId="00C23A98" w14:textId="2645549C" w:rsidR="006C4ACA" w:rsidRDefault="009D1534">
      <w:pPr>
        <w:pStyle w:val="TOC3"/>
        <w:rPr>
          <w:rFonts w:asciiTheme="minorHAnsi" w:eastAsiaTheme="minorEastAsia" w:hAnsiTheme="minorHAnsi" w:cstheme="minorBidi"/>
          <w:noProof/>
          <w:color w:val="auto"/>
          <w:sz w:val="22"/>
          <w:szCs w:val="22"/>
        </w:rPr>
      </w:pPr>
      <w:hyperlink w:anchor="_Toc27414292" w:history="1">
        <w:r w:rsidR="006C4ACA" w:rsidRPr="00E549CF">
          <w:rPr>
            <w:rStyle w:val="Hyperlink"/>
            <w:noProof/>
          </w:rPr>
          <w:t>Figure 4.3: Rate ratio of preventable cancer incidence (with confidence intervals) for Aboriginal Victorians relative to non-Aboriginal Victorians, by year of diagnosis, 2014–2017</w:t>
        </w:r>
        <w:r w:rsidR="006C4ACA">
          <w:rPr>
            <w:noProof/>
            <w:webHidden/>
          </w:rPr>
          <w:tab/>
        </w:r>
        <w:r w:rsidR="006C4ACA">
          <w:rPr>
            <w:noProof/>
            <w:webHidden/>
          </w:rPr>
          <w:fldChar w:fldCharType="begin"/>
        </w:r>
        <w:r w:rsidR="006C4ACA">
          <w:rPr>
            <w:noProof/>
            <w:webHidden/>
          </w:rPr>
          <w:instrText xml:space="preserve"> PAGEREF _Toc27414292 \h </w:instrText>
        </w:r>
        <w:r w:rsidR="006C4ACA">
          <w:rPr>
            <w:noProof/>
            <w:webHidden/>
          </w:rPr>
        </w:r>
        <w:r w:rsidR="006C4ACA">
          <w:rPr>
            <w:noProof/>
            <w:webHidden/>
          </w:rPr>
          <w:fldChar w:fldCharType="separate"/>
        </w:r>
        <w:r w:rsidR="005D1A57">
          <w:rPr>
            <w:noProof/>
            <w:webHidden/>
          </w:rPr>
          <w:t>73</w:t>
        </w:r>
        <w:r w:rsidR="006C4ACA">
          <w:rPr>
            <w:noProof/>
            <w:webHidden/>
          </w:rPr>
          <w:fldChar w:fldCharType="end"/>
        </w:r>
      </w:hyperlink>
    </w:p>
    <w:p w14:paraId="364E9B02" w14:textId="3EC5DFDC" w:rsidR="006C4ACA" w:rsidRDefault="009D1534">
      <w:pPr>
        <w:pStyle w:val="TOC3"/>
        <w:rPr>
          <w:rFonts w:asciiTheme="minorHAnsi" w:eastAsiaTheme="minorEastAsia" w:hAnsiTheme="minorHAnsi" w:cstheme="minorBidi"/>
          <w:noProof/>
          <w:color w:val="auto"/>
          <w:sz w:val="22"/>
          <w:szCs w:val="22"/>
        </w:rPr>
      </w:pPr>
      <w:hyperlink w:anchor="_Toc27414293" w:history="1">
        <w:r w:rsidR="006C4ACA" w:rsidRPr="00E549CF">
          <w:rPr>
            <w:rStyle w:val="Hyperlink"/>
            <w:noProof/>
          </w:rPr>
          <w:t xml:space="preserve">Figure 5.1: </w:t>
        </w:r>
        <w:r w:rsidR="006C4ACA" w:rsidRPr="00E549CF">
          <w:rPr>
            <w:rStyle w:val="Hyperlink"/>
            <w:rFonts w:eastAsiaTheme="majorEastAsia"/>
            <w:noProof/>
          </w:rPr>
          <w:t>Rate ratio of premature death (with confidence intervals) due to cancer in ICS of residence compared with the ICS of residence with the lowest premature death rate, grouped by year of diagnosis, 2014–2017</w:t>
        </w:r>
        <w:r w:rsidR="006C4ACA">
          <w:rPr>
            <w:noProof/>
            <w:webHidden/>
          </w:rPr>
          <w:tab/>
        </w:r>
        <w:r w:rsidR="006C4ACA">
          <w:rPr>
            <w:noProof/>
            <w:webHidden/>
          </w:rPr>
          <w:fldChar w:fldCharType="begin"/>
        </w:r>
        <w:r w:rsidR="006C4ACA">
          <w:rPr>
            <w:noProof/>
            <w:webHidden/>
          </w:rPr>
          <w:instrText xml:space="preserve"> PAGEREF _Toc27414293 \h </w:instrText>
        </w:r>
        <w:r w:rsidR="006C4ACA">
          <w:rPr>
            <w:noProof/>
            <w:webHidden/>
          </w:rPr>
        </w:r>
        <w:r w:rsidR="006C4ACA">
          <w:rPr>
            <w:noProof/>
            <w:webHidden/>
          </w:rPr>
          <w:fldChar w:fldCharType="separate"/>
        </w:r>
        <w:r w:rsidR="005D1A57">
          <w:rPr>
            <w:noProof/>
            <w:webHidden/>
          </w:rPr>
          <w:t>75</w:t>
        </w:r>
        <w:r w:rsidR="006C4ACA">
          <w:rPr>
            <w:noProof/>
            <w:webHidden/>
          </w:rPr>
          <w:fldChar w:fldCharType="end"/>
        </w:r>
      </w:hyperlink>
    </w:p>
    <w:p w14:paraId="009D61A4" w14:textId="04C351D2" w:rsidR="006C4ACA" w:rsidRDefault="009D1534">
      <w:pPr>
        <w:pStyle w:val="TOC3"/>
        <w:rPr>
          <w:rFonts w:asciiTheme="minorHAnsi" w:eastAsiaTheme="minorEastAsia" w:hAnsiTheme="minorHAnsi" w:cstheme="minorBidi"/>
          <w:noProof/>
          <w:color w:val="auto"/>
          <w:sz w:val="22"/>
          <w:szCs w:val="22"/>
        </w:rPr>
      </w:pPr>
      <w:hyperlink w:anchor="_Toc27414294" w:history="1">
        <w:r w:rsidR="006C4ACA" w:rsidRPr="00E549CF">
          <w:rPr>
            <w:rStyle w:val="Hyperlink"/>
            <w:rFonts w:eastAsiaTheme="majorEastAsia"/>
            <w:noProof/>
          </w:rPr>
          <w:t>Figure 5.2: Rate ratio of premature death (with confidence intervals) due to cancer in SES quintiles 1–4 (where SES 1 is most disadvantaged) compared with the least disadvantaged SES, grouped by year of diagnosis, 2014–2017</w:t>
        </w:r>
        <w:r w:rsidR="006C4ACA">
          <w:rPr>
            <w:noProof/>
            <w:webHidden/>
          </w:rPr>
          <w:tab/>
        </w:r>
        <w:r w:rsidR="006C4ACA">
          <w:rPr>
            <w:noProof/>
            <w:webHidden/>
          </w:rPr>
          <w:fldChar w:fldCharType="begin"/>
        </w:r>
        <w:r w:rsidR="006C4ACA">
          <w:rPr>
            <w:noProof/>
            <w:webHidden/>
          </w:rPr>
          <w:instrText xml:space="preserve"> PAGEREF _Toc27414294 \h </w:instrText>
        </w:r>
        <w:r w:rsidR="006C4ACA">
          <w:rPr>
            <w:noProof/>
            <w:webHidden/>
          </w:rPr>
        </w:r>
        <w:r w:rsidR="006C4ACA">
          <w:rPr>
            <w:noProof/>
            <w:webHidden/>
          </w:rPr>
          <w:fldChar w:fldCharType="separate"/>
        </w:r>
        <w:r w:rsidR="005D1A57">
          <w:rPr>
            <w:noProof/>
            <w:webHidden/>
          </w:rPr>
          <w:t>77</w:t>
        </w:r>
        <w:r w:rsidR="006C4ACA">
          <w:rPr>
            <w:noProof/>
            <w:webHidden/>
          </w:rPr>
          <w:fldChar w:fldCharType="end"/>
        </w:r>
      </w:hyperlink>
    </w:p>
    <w:p w14:paraId="30B77B37" w14:textId="698E340D" w:rsidR="006C4ACA" w:rsidRDefault="009D1534">
      <w:pPr>
        <w:pStyle w:val="TOC3"/>
        <w:rPr>
          <w:rFonts w:asciiTheme="minorHAnsi" w:eastAsiaTheme="minorEastAsia" w:hAnsiTheme="minorHAnsi" w:cstheme="minorBidi"/>
          <w:noProof/>
          <w:color w:val="auto"/>
          <w:sz w:val="22"/>
          <w:szCs w:val="22"/>
        </w:rPr>
      </w:pPr>
      <w:hyperlink w:anchor="_Toc27414295" w:history="1">
        <w:r w:rsidR="006C4ACA" w:rsidRPr="00E549CF">
          <w:rPr>
            <w:rStyle w:val="Hyperlink"/>
            <w:noProof/>
          </w:rPr>
          <w:t>Figure 5.3: Rate ratio of premature death (with confidence intervals) between Aboriginal and non-Aboriginal Victorians by year, 2014–2017</w:t>
        </w:r>
        <w:r w:rsidR="006C4ACA">
          <w:rPr>
            <w:noProof/>
            <w:webHidden/>
          </w:rPr>
          <w:tab/>
        </w:r>
        <w:r w:rsidR="006C4ACA">
          <w:rPr>
            <w:noProof/>
            <w:webHidden/>
          </w:rPr>
          <w:fldChar w:fldCharType="begin"/>
        </w:r>
        <w:r w:rsidR="006C4ACA">
          <w:rPr>
            <w:noProof/>
            <w:webHidden/>
          </w:rPr>
          <w:instrText xml:space="preserve"> PAGEREF _Toc27414295 \h </w:instrText>
        </w:r>
        <w:r w:rsidR="006C4ACA">
          <w:rPr>
            <w:noProof/>
            <w:webHidden/>
          </w:rPr>
        </w:r>
        <w:r w:rsidR="006C4ACA">
          <w:rPr>
            <w:noProof/>
            <w:webHidden/>
          </w:rPr>
          <w:fldChar w:fldCharType="separate"/>
        </w:r>
        <w:r w:rsidR="005D1A57">
          <w:rPr>
            <w:noProof/>
            <w:webHidden/>
          </w:rPr>
          <w:t>80</w:t>
        </w:r>
        <w:r w:rsidR="006C4ACA">
          <w:rPr>
            <w:noProof/>
            <w:webHidden/>
          </w:rPr>
          <w:fldChar w:fldCharType="end"/>
        </w:r>
      </w:hyperlink>
    </w:p>
    <w:p w14:paraId="09FEAE06" w14:textId="4ED1C813" w:rsidR="006C4ACA" w:rsidRDefault="009D1534">
      <w:pPr>
        <w:pStyle w:val="TOC3"/>
        <w:rPr>
          <w:rFonts w:asciiTheme="minorHAnsi" w:eastAsiaTheme="minorEastAsia" w:hAnsiTheme="minorHAnsi" w:cstheme="minorBidi"/>
          <w:noProof/>
          <w:color w:val="auto"/>
          <w:sz w:val="22"/>
          <w:szCs w:val="22"/>
        </w:rPr>
      </w:pPr>
      <w:hyperlink w:anchor="_Toc27414296" w:history="1">
        <w:r w:rsidR="006C4ACA" w:rsidRPr="00E549CF">
          <w:rPr>
            <w:rStyle w:val="Hyperlink"/>
            <w:noProof/>
          </w:rPr>
          <w:t>Figure 6.1: OECD adult population smoking daily, by gender, 2015 (or nearest year)</w:t>
        </w:r>
        <w:r w:rsidR="006C4ACA">
          <w:rPr>
            <w:noProof/>
            <w:webHidden/>
          </w:rPr>
          <w:tab/>
        </w:r>
        <w:r w:rsidR="006C4ACA">
          <w:rPr>
            <w:noProof/>
            <w:webHidden/>
          </w:rPr>
          <w:fldChar w:fldCharType="begin"/>
        </w:r>
        <w:r w:rsidR="006C4ACA">
          <w:rPr>
            <w:noProof/>
            <w:webHidden/>
          </w:rPr>
          <w:instrText xml:space="preserve"> PAGEREF _Toc27414296 \h </w:instrText>
        </w:r>
        <w:r w:rsidR="006C4ACA">
          <w:rPr>
            <w:noProof/>
            <w:webHidden/>
          </w:rPr>
        </w:r>
        <w:r w:rsidR="006C4ACA">
          <w:rPr>
            <w:noProof/>
            <w:webHidden/>
          </w:rPr>
          <w:fldChar w:fldCharType="separate"/>
        </w:r>
        <w:r w:rsidR="005D1A57">
          <w:rPr>
            <w:noProof/>
            <w:webHidden/>
          </w:rPr>
          <w:t>82</w:t>
        </w:r>
        <w:r w:rsidR="006C4ACA">
          <w:rPr>
            <w:noProof/>
            <w:webHidden/>
          </w:rPr>
          <w:fldChar w:fldCharType="end"/>
        </w:r>
      </w:hyperlink>
    </w:p>
    <w:p w14:paraId="0A66CE46" w14:textId="3ECF6665" w:rsidR="006C4ACA" w:rsidRDefault="009D1534">
      <w:pPr>
        <w:pStyle w:val="TOC3"/>
        <w:rPr>
          <w:rFonts w:asciiTheme="minorHAnsi" w:eastAsiaTheme="minorEastAsia" w:hAnsiTheme="minorHAnsi" w:cstheme="minorBidi"/>
          <w:noProof/>
          <w:color w:val="auto"/>
          <w:sz w:val="22"/>
          <w:szCs w:val="22"/>
        </w:rPr>
      </w:pPr>
      <w:hyperlink w:anchor="_Toc27414297" w:history="1">
        <w:r w:rsidR="006C4ACA" w:rsidRPr="00E549CF">
          <w:rPr>
            <w:rStyle w:val="Hyperlink"/>
            <w:noProof/>
          </w:rPr>
          <w:t>Figure 6.1.1: Proportion of Australian adults (aged 18 years or older) who smoke daily, by state/territory,  2014–15</w:t>
        </w:r>
        <w:r w:rsidR="006C4ACA">
          <w:rPr>
            <w:noProof/>
            <w:webHidden/>
          </w:rPr>
          <w:tab/>
        </w:r>
        <w:r w:rsidR="006C4ACA">
          <w:rPr>
            <w:noProof/>
            <w:webHidden/>
          </w:rPr>
          <w:fldChar w:fldCharType="begin"/>
        </w:r>
        <w:r w:rsidR="006C4ACA">
          <w:rPr>
            <w:noProof/>
            <w:webHidden/>
          </w:rPr>
          <w:instrText xml:space="preserve"> PAGEREF _Toc27414297 \h </w:instrText>
        </w:r>
        <w:r w:rsidR="006C4ACA">
          <w:rPr>
            <w:noProof/>
            <w:webHidden/>
          </w:rPr>
        </w:r>
        <w:r w:rsidR="006C4ACA">
          <w:rPr>
            <w:noProof/>
            <w:webHidden/>
          </w:rPr>
          <w:fldChar w:fldCharType="separate"/>
        </w:r>
        <w:r w:rsidR="005D1A57">
          <w:rPr>
            <w:noProof/>
            <w:webHidden/>
          </w:rPr>
          <w:t>83</w:t>
        </w:r>
        <w:r w:rsidR="006C4ACA">
          <w:rPr>
            <w:noProof/>
            <w:webHidden/>
          </w:rPr>
          <w:fldChar w:fldCharType="end"/>
        </w:r>
      </w:hyperlink>
    </w:p>
    <w:p w14:paraId="25040419" w14:textId="251AF21B" w:rsidR="006C4ACA" w:rsidRDefault="009D1534">
      <w:pPr>
        <w:pStyle w:val="TOC3"/>
        <w:rPr>
          <w:rFonts w:asciiTheme="minorHAnsi" w:eastAsiaTheme="minorEastAsia" w:hAnsiTheme="minorHAnsi" w:cstheme="minorBidi"/>
          <w:noProof/>
          <w:color w:val="auto"/>
          <w:sz w:val="22"/>
          <w:szCs w:val="22"/>
        </w:rPr>
      </w:pPr>
      <w:hyperlink w:anchor="_Toc27414298" w:history="1">
        <w:r w:rsidR="006C4ACA" w:rsidRPr="00E549CF">
          <w:rPr>
            <w:rStyle w:val="Hyperlink"/>
            <w:noProof/>
          </w:rPr>
          <w:t>Figure 6.1.2: Proportion of Victorian adults (aged 18 years or older) who smoke daily, by year, 2015–2017</w:t>
        </w:r>
        <w:r w:rsidR="006C4ACA">
          <w:rPr>
            <w:noProof/>
            <w:webHidden/>
          </w:rPr>
          <w:tab/>
        </w:r>
        <w:r w:rsidR="006C4ACA">
          <w:rPr>
            <w:noProof/>
            <w:webHidden/>
          </w:rPr>
          <w:fldChar w:fldCharType="begin"/>
        </w:r>
        <w:r w:rsidR="006C4ACA">
          <w:rPr>
            <w:noProof/>
            <w:webHidden/>
          </w:rPr>
          <w:instrText xml:space="preserve"> PAGEREF _Toc27414298 \h </w:instrText>
        </w:r>
        <w:r w:rsidR="006C4ACA">
          <w:rPr>
            <w:noProof/>
            <w:webHidden/>
          </w:rPr>
        </w:r>
        <w:r w:rsidR="006C4ACA">
          <w:rPr>
            <w:noProof/>
            <w:webHidden/>
          </w:rPr>
          <w:fldChar w:fldCharType="separate"/>
        </w:r>
        <w:r w:rsidR="005D1A57">
          <w:rPr>
            <w:noProof/>
            <w:webHidden/>
          </w:rPr>
          <w:t>83</w:t>
        </w:r>
        <w:r w:rsidR="006C4ACA">
          <w:rPr>
            <w:noProof/>
            <w:webHidden/>
          </w:rPr>
          <w:fldChar w:fldCharType="end"/>
        </w:r>
      </w:hyperlink>
    </w:p>
    <w:p w14:paraId="261DF8CE" w14:textId="0452E4ED" w:rsidR="006C4ACA" w:rsidRDefault="009D1534">
      <w:pPr>
        <w:pStyle w:val="TOC3"/>
        <w:rPr>
          <w:rFonts w:asciiTheme="minorHAnsi" w:eastAsiaTheme="minorEastAsia" w:hAnsiTheme="minorHAnsi" w:cstheme="minorBidi"/>
          <w:noProof/>
          <w:color w:val="auto"/>
          <w:sz w:val="22"/>
          <w:szCs w:val="22"/>
        </w:rPr>
      </w:pPr>
      <w:hyperlink w:anchor="_Toc27414299" w:history="1">
        <w:r w:rsidR="006C4ACA" w:rsidRPr="00E549CF">
          <w:rPr>
            <w:rStyle w:val="Hyperlink"/>
            <w:noProof/>
          </w:rPr>
          <w:t>Figure 6.3: Proportion of Victorian adults (</w:t>
        </w:r>
        <w:r w:rsidR="006C4ACA" w:rsidRPr="00E549CF">
          <w:rPr>
            <w:rStyle w:val="Hyperlink"/>
            <w:bCs/>
            <w:noProof/>
          </w:rPr>
          <w:t>aged 18 years or older)</w:t>
        </w:r>
        <w:r w:rsidR="006C4ACA" w:rsidRPr="00E549CF">
          <w:rPr>
            <w:rStyle w:val="Hyperlink"/>
            <w:noProof/>
          </w:rPr>
          <w:t xml:space="preserve"> who consume alcohol at lifetime risk of harm, by year, 2014–2017</w:t>
        </w:r>
        <w:r w:rsidR="006C4ACA">
          <w:rPr>
            <w:noProof/>
            <w:webHidden/>
          </w:rPr>
          <w:tab/>
        </w:r>
        <w:r w:rsidR="006C4ACA">
          <w:rPr>
            <w:noProof/>
            <w:webHidden/>
          </w:rPr>
          <w:fldChar w:fldCharType="begin"/>
        </w:r>
        <w:r w:rsidR="006C4ACA">
          <w:rPr>
            <w:noProof/>
            <w:webHidden/>
          </w:rPr>
          <w:instrText xml:space="preserve"> PAGEREF _Toc27414299 \h </w:instrText>
        </w:r>
        <w:r w:rsidR="006C4ACA">
          <w:rPr>
            <w:noProof/>
            <w:webHidden/>
          </w:rPr>
        </w:r>
        <w:r w:rsidR="006C4ACA">
          <w:rPr>
            <w:noProof/>
            <w:webHidden/>
          </w:rPr>
          <w:fldChar w:fldCharType="separate"/>
        </w:r>
        <w:r w:rsidR="005D1A57">
          <w:rPr>
            <w:noProof/>
            <w:webHidden/>
          </w:rPr>
          <w:t>87</w:t>
        </w:r>
        <w:r w:rsidR="006C4ACA">
          <w:rPr>
            <w:noProof/>
            <w:webHidden/>
          </w:rPr>
          <w:fldChar w:fldCharType="end"/>
        </w:r>
      </w:hyperlink>
    </w:p>
    <w:p w14:paraId="66DEBE21" w14:textId="547997C2" w:rsidR="006C4ACA" w:rsidRDefault="009D1534">
      <w:pPr>
        <w:pStyle w:val="TOC3"/>
        <w:rPr>
          <w:rFonts w:asciiTheme="minorHAnsi" w:eastAsiaTheme="minorEastAsia" w:hAnsiTheme="minorHAnsi" w:cstheme="minorBidi"/>
          <w:noProof/>
          <w:color w:val="auto"/>
          <w:sz w:val="22"/>
          <w:szCs w:val="22"/>
        </w:rPr>
      </w:pPr>
      <w:hyperlink w:anchor="_Toc27414300" w:history="1">
        <w:r w:rsidR="006C4ACA" w:rsidRPr="00E549CF">
          <w:rPr>
            <w:rStyle w:val="Hyperlink"/>
            <w:noProof/>
          </w:rPr>
          <w:t>Figure 6.4: Proportion of Victorian adolescents aged 12–17 years (boys and girls) who consume alcohol at least monthly, by year, 2014 and 2016</w:t>
        </w:r>
        <w:r w:rsidR="006C4ACA">
          <w:rPr>
            <w:noProof/>
            <w:webHidden/>
          </w:rPr>
          <w:tab/>
        </w:r>
        <w:r w:rsidR="006C4ACA">
          <w:rPr>
            <w:noProof/>
            <w:webHidden/>
          </w:rPr>
          <w:fldChar w:fldCharType="begin"/>
        </w:r>
        <w:r w:rsidR="006C4ACA">
          <w:rPr>
            <w:noProof/>
            <w:webHidden/>
          </w:rPr>
          <w:instrText xml:space="preserve"> PAGEREF _Toc27414300 \h </w:instrText>
        </w:r>
        <w:r w:rsidR="006C4ACA">
          <w:rPr>
            <w:noProof/>
            <w:webHidden/>
          </w:rPr>
        </w:r>
        <w:r w:rsidR="006C4ACA">
          <w:rPr>
            <w:noProof/>
            <w:webHidden/>
          </w:rPr>
          <w:fldChar w:fldCharType="separate"/>
        </w:r>
        <w:r w:rsidR="005D1A57">
          <w:rPr>
            <w:noProof/>
            <w:webHidden/>
          </w:rPr>
          <w:t>88</w:t>
        </w:r>
        <w:r w:rsidR="006C4ACA">
          <w:rPr>
            <w:noProof/>
            <w:webHidden/>
          </w:rPr>
          <w:fldChar w:fldCharType="end"/>
        </w:r>
      </w:hyperlink>
    </w:p>
    <w:p w14:paraId="0A30DE88" w14:textId="75146BA9" w:rsidR="006C4ACA" w:rsidRDefault="009D1534">
      <w:pPr>
        <w:pStyle w:val="TOC3"/>
        <w:rPr>
          <w:rFonts w:asciiTheme="minorHAnsi" w:eastAsiaTheme="minorEastAsia" w:hAnsiTheme="minorHAnsi" w:cstheme="minorBidi"/>
          <w:noProof/>
          <w:color w:val="auto"/>
          <w:sz w:val="22"/>
          <w:szCs w:val="22"/>
        </w:rPr>
      </w:pPr>
      <w:hyperlink w:anchor="_Toc27414301" w:history="1">
        <w:r w:rsidR="006C4ACA" w:rsidRPr="00E549CF">
          <w:rPr>
            <w:rStyle w:val="Hyperlink"/>
            <w:noProof/>
          </w:rPr>
          <w:t>Table 6.4: Proportion of Victorian adolescents aged 12–17 years (boys and girls) who consume alcohol at least monthly, by year, 2014 and 2016</w:t>
        </w:r>
        <w:r w:rsidR="006C4ACA">
          <w:rPr>
            <w:noProof/>
            <w:webHidden/>
          </w:rPr>
          <w:tab/>
        </w:r>
        <w:r w:rsidR="006C4ACA">
          <w:rPr>
            <w:noProof/>
            <w:webHidden/>
          </w:rPr>
          <w:fldChar w:fldCharType="begin"/>
        </w:r>
        <w:r w:rsidR="006C4ACA">
          <w:rPr>
            <w:noProof/>
            <w:webHidden/>
          </w:rPr>
          <w:instrText xml:space="preserve"> PAGEREF _Toc27414301 \h </w:instrText>
        </w:r>
        <w:r w:rsidR="006C4ACA">
          <w:rPr>
            <w:noProof/>
            <w:webHidden/>
          </w:rPr>
        </w:r>
        <w:r w:rsidR="006C4ACA">
          <w:rPr>
            <w:noProof/>
            <w:webHidden/>
          </w:rPr>
          <w:fldChar w:fldCharType="separate"/>
        </w:r>
        <w:r w:rsidR="005D1A57">
          <w:rPr>
            <w:noProof/>
            <w:webHidden/>
          </w:rPr>
          <w:t>88</w:t>
        </w:r>
        <w:r w:rsidR="006C4ACA">
          <w:rPr>
            <w:noProof/>
            <w:webHidden/>
          </w:rPr>
          <w:fldChar w:fldCharType="end"/>
        </w:r>
      </w:hyperlink>
    </w:p>
    <w:p w14:paraId="0FD5BDCF" w14:textId="7D7FE84A" w:rsidR="006C4ACA" w:rsidRDefault="009D1534">
      <w:pPr>
        <w:pStyle w:val="TOC3"/>
        <w:rPr>
          <w:rFonts w:asciiTheme="minorHAnsi" w:eastAsiaTheme="minorEastAsia" w:hAnsiTheme="minorHAnsi" w:cstheme="minorBidi"/>
          <w:noProof/>
          <w:color w:val="auto"/>
          <w:sz w:val="22"/>
          <w:szCs w:val="22"/>
        </w:rPr>
      </w:pPr>
      <w:hyperlink w:anchor="_Toc27414302" w:history="1">
        <w:r w:rsidR="006C4ACA" w:rsidRPr="00E549CF">
          <w:rPr>
            <w:rStyle w:val="Hyperlink"/>
            <w:noProof/>
          </w:rPr>
          <w:t>Figure 7.1: Daily fruit consumption among OECD adults, 2015 (or nearest year)</w:t>
        </w:r>
        <w:r w:rsidR="006C4ACA">
          <w:rPr>
            <w:noProof/>
            <w:webHidden/>
          </w:rPr>
          <w:tab/>
        </w:r>
        <w:r w:rsidR="006C4ACA">
          <w:rPr>
            <w:noProof/>
            <w:webHidden/>
          </w:rPr>
          <w:fldChar w:fldCharType="begin"/>
        </w:r>
        <w:r w:rsidR="006C4ACA">
          <w:rPr>
            <w:noProof/>
            <w:webHidden/>
          </w:rPr>
          <w:instrText xml:space="preserve"> PAGEREF _Toc27414302 \h </w:instrText>
        </w:r>
        <w:r w:rsidR="006C4ACA">
          <w:rPr>
            <w:noProof/>
            <w:webHidden/>
          </w:rPr>
        </w:r>
        <w:r w:rsidR="006C4ACA">
          <w:rPr>
            <w:noProof/>
            <w:webHidden/>
          </w:rPr>
          <w:fldChar w:fldCharType="separate"/>
        </w:r>
        <w:r w:rsidR="005D1A57">
          <w:rPr>
            <w:noProof/>
            <w:webHidden/>
          </w:rPr>
          <w:t>89</w:t>
        </w:r>
        <w:r w:rsidR="006C4ACA">
          <w:rPr>
            <w:noProof/>
            <w:webHidden/>
          </w:rPr>
          <w:fldChar w:fldCharType="end"/>
        </w:r>
      </w:hyperlink>
    </w:p>
    <w:p w14:paraId="15DF5CBC" w14:textId="17B8AC41" w:rsidR="006C4ACA" w:rsidRDefault="009D1534">
      <w:pPr>
        <w:pStyle w:val="TOC3"/>
        <w:rPr>
          <w:rFonts w:asciiTheme="minorHAnsi" w:eastAsiaTheme="minorEastAsia" w:hAnsiTheme="minorHAnsi" w:cstheme="minorBidi"/>
          <w:noProof/>
          <w:color w:val="auto"/>
          <w:sz w:val="22"/>
          <w:szCs w:val="22"/>
        </w:rPr>
      </w:pPr>
      <w:hyperlink w:anchor="_Toc27414303" w:history="1">
        <w:r w:rsidR="006C4ACA" w:rsidRPr="00E549CF">
          <w:rPr>
            <w:rStyle w:val="Hyperlink"/>
            <w:noProof/>
          </w:rPr>
          <w:t>Figure 7.1.1: Australian average daily fruit intake for adults aged 18 years or older, 2014–15</w:t>
        </w:r>
        <w:r w:rsidR="006C4ACA">
          <w:rPr>
            <w:noProof/>
            <w:webHidden/>
          </w:rPr>
          <w:tab/>
        </w:r>
        <w:r w:rsidR="006C4ACA">
          <w:rPr>
            <w:noProof/>
            <w:webHidden/>
          </w:rPr>
          <w:fldChar w:fldCharType="begin"/>
        </w:r>
        <w:r w:rsidR="006C4ACA">
          <w:rPr>
            <w:noProof/>
            <w:webHidden/>
          </w:rPr>
          <w:instrText xml:space="preserve"> PAGEREF _Toc27414303 \h </w:instrText>
        </w:r>
        <w:r w:rsidR="006C4ACA">
          <w:rPr>
            <w:noProof/>
            <w:webHidden/>
          </w:rPr>
        </w:r>
        <w:r w:rsidR="006C4ACA">
          <w:rPr>
            <w:noProof/>
            <w:webHidden/>
          </w:rPr>
          <w:fldChar w:fldCharType="separate"/>
        </w:r>
        <w:r w:rsidR="005D1A57">
          <w:rPr>
            <w:noProof/>
            <w:webHidden/>
          </w:rPr>
          <w:t>89</w:t>
        </w:r>
        <w:r w:rsidR="006C4ACA">
          <w:rPr>
            <w:noProof/>
            <w:webHidden/>
          </w:rPr>
          <w:fldChar w:fldCharType="end"/>
        </w:r>
      </w:hyperlink>
    </w:p>
    <w:p w14:paraId="34F5440E" w14:textId="1387EB0E" w:rsidR="006C4ACA" w:rsidRDefault="009D1534">
      <w:pPr>
        <w:pStyle w:val="TOC3"/>
        <w:rPr>
          <w:rFonts w:asciiTheme="minorHAnsi" w:eastAsiaTheme="minorEastAsia" w:hAnsiTheme="minorHAnsi" w:cstheme="minorBidi"/>
          <w:noProof/>
          <w:color w:val="auto"/>
          <w:sz w:val="22"/>
          <w:szCs w:val="22"/>
        </w:rPr>
      </w:pPr>
      <w:hyperlink w:anchor="_Toc27414304" w:history="1">
        <w:r w:rsidR="006C4ACA" w:rsidRPr="00E549CF">
          <w:rPr>
            <w:rStyle w:val="Hyperlink"/>
            <w:noProof/>
          </w:rPr>
          <w:t>Figure 7.1.2: Mean daily serves of fruit in Victorian adults (</w:t>
        </w:r>
        <w:r w:rsidR="006C4ACA" w:rsidRPr="00E549CF">
          <w:rPr>
            <w:rStyle w:val="Hyperlink"/>
            <w:bCs/>
            <w:noProof/>
          </w:rPr>
          <w:t>aged 18 years or older),</w:t>
        </w:r>
        <w:r w:rsidR="006C4ACA" w:rsidRPr="00E549CF">
          <w:rPr>
            <w:rStyle w:val="Hyperlink"/>
            <w:noProof/>
          </w:rPr>
          <w:t xml:space="preserve"> by year, 2011–2016</w:t>
        </w:r>
        <w:r w:rsidR="006C4ACA">
          <w:rPr>
            <w:noProof/>
            <w:webHidden/>
          </w:rPr>
          <w:tab/>
        </w:r>
        <w:r w:rsidR="006C4ACA">
          <w:rPr>
            <w:noProof/>
            <w:webHidden/>
          </w:rPr>
          <w:fldChar w:fldCharType="begin"/>
        </w:r>
        <w:r w:rsidR="006C4ACA">
          <w:rPr>
            <w:noProof/>
            <w:webHidden/>
          </w:rPr>
          <w:instrText xml:space="preserve"> PAGEREF _Toc27414304 \h </w:instrText>
        </w:r>
        <w:r w:rsidR="006C4ACA">
          <w:rPr>
            <w:noProof/>
            <w:webHidden/>
          </w:rPr>
        </w:r>
        <w:r w:rsidR="006C4ACA">
          <w:rPr>
            <w:noProof/>
            <w:webHidden/>
          </w:rPr>
          <w:fldChar w:fldCharType="separate"/>
        </w:r>
        <w:r w:rsidR="005D1A57">
          <w:rPr>
            <w:noProof/>
            <w:webHidden/>
          </w:rPr>
          <w:t>90</w:t>
        </w:r>
        <w:r w:rsidR="006C4ACA">
          <w:rPr>
            <w:noProof/>
            <w:webHidden/>
          </w:rPr>
          <w:fldChar w:fldCharType="end"/>
        </w:r>
      </w:hyperlink>
    </w:p>
    <w:p w14:paraId="4040A9EC" w14:textId="2554613C" w:rsidR="006C4ACA" w:rsidRDefault="009D1534">
      <w:pPr>
        <w:pStyle w:val="TOC3"/>
        <w:rPr>
          <w:rFonts w:asciiTheme="minorHAnsi" w:eastAsiaTheme="minorEastAsia" w:hAnsiTheme="minorHAnsi" w:cstheme="minorBidi"/>
          <w:noProof/>
          <w:color w:val="auto"/>
          <w:sz w:val="22"/>
          <w:szCs w:val="22"/>
        </w:rPr>
      </w:pPr>
      <w:hyperlink w:anchor="_Toc27414305" w:history="1">
        <w:r w:rsidR="006C4ACA" w:rsidRPr="00E549CF">
          <w:rPr>
            <w:rStyle w:val="Hyperlink"/>
            <w:noProof/>
          </w:rPr>
          <w:t>Figure 7.2: Proportion of Victorian adolescents aged 10–17 years (boys and girls) who eat the daily recommended serves of fruit, by year, 2014 and 2016</w:t>
        </w:r>
        <w:r w:rsidR="006C4ACA">
          <w:rPr>
            <w:noProof/>
            <w:webHidden/>
          </w:rPr>
          <w:tab/>
        </w:r>
        <w:r w:rsidR="006C4ACA">
          <w:rPr>
            <w:noProof/>
            <w:webHidden/>
          </w:rPr>
          <w:fldChar w:fldCharType="begin"/>
        </w:r>
        <w:r w:rsidR="006C4ACA">
          <w:rPr>
            <w:noProof/>
            <w:webHidden/>
          </w:rPr>
          <w:instrText xml:space="preserve"> PAGEREF _Toc27414305 \h </w:instrText>
        </w:r>
        <w:r w:rsidR="006C4ACA">
          <w:rPr>
            <w:noProof/>
            <w:webHidden/>
          </w:rPr>
        </w:r>
        <w:r w:rsidR="006C4ACA">
          <w:rPr>
            <w:noProof/>
            <w:webHidden/>
          </w:rPr>
          <w:fldChar w:fldCharType="separate"/>
        </w:r>
        <w:r w:rsidR="005D1A57">
          <w:rPr>
            <w:noProof/>
            <w:webHidden/>
          </w:rPr>
          <w:t>92</w:t>
        </w:r>
        <w:r w:rsidR="006C4ACA">
          <w:rPr>
            <w:noProof/>
            <w:webHidden/>
          </w:rPr>
          <w:fldChar w:fldCharType="end"/>
        </w:r>
      </w:hyperlink>
    </w:p>
    <w:p w14:paraId="0BC39E9A" w14:textId="2920AB4B" w:rsidR="006C4ACA" w:rsidRDefault="009D1534">
      <w:pPr>
        <w:pStyle w:val="TOC3"/>
        <w:rPr>
          <w:rFonts w:asciiTheme="minorHAnsi" w:eastAsiaTheme="minorEastAsia" w:hAnsiTheme="minorHAnsi" w:cstheme="minorBidi"/>
          <w:noProof/>
          <w:color w:val="auto"/>
          <w:sz w:val="22"/>
          <w:szCs w:val="22"/>
        </w:rPr>
      </w:pPr>
      <w:hyperlink w:anchor="_Toc27414306" w:history="1">
        <w:r w:rsidR="006C4ACA" w:rsidRPr="00E549CF">
          <w:rPr>
            <w:rStyle w:val="Hyperlink"/>
            <w:noProof/>
          </w:rPr>
          <w:t>Figure 7.2.1: Proportion of Victorian adolescents aged 10–17 years (boys and girls) who eat the daily recommended serves of fruit, by remoteness area and gender, 2014 and 2016</w:t>
        </w:r>
        <w:r w:rsidR="006C4ACA">
          <w:rPr>
            <w:noProof/>
            <w:webHidden/>
          </w:rPr>
          <w:tab/>
        </w:r>
        <w:r w:rsidR="006C4ACA">
          <w:rPr>
            <w:noProof/>
            <w:webHidden/>
          </w:rPr>
          <w:fldChar w:fldCharType="begin"/>
        </w:r>
        <w:r w:rsidR="006C4ACA">
          <w:rPr>
            <w:noProof/>
            <w:webHidden/>
          </w:rPr>
          <w:instrText xml:space="preserve"> PAGEREF _Toc27414306 \h </w:instrText>
        </w:r>
        <w:r w:rsidR="006C4ACA">
          <w:rPr>
            <w:noProof/>
            <w:webHidden/>
          </w:rPr>
        </w:r>
        <w:r w:rsidR="006C4ACA">
          <w:rPr>
            <w:noProof/>
            <w:webHidden/>
          </w:rPr>
          <w:fldChar w:fldCharType="separate"/>
        </w:r>
        <w:r w:rsidR="005D1A57">
          <w:rPr>
            <w:noProof/>
            <w:webHidden/>
          </w:rPr>
          <w:t>93</w:t>
        </w:r>
        <w:r w:rsidR="006C4ACA">
          <w:rPr>
            <w:noProof/>
            <w:webHidden/>
          </w:rPr>
          <w:fldChar w:fldCharType="end"/>
        </w:r>
      </w:hyperlink>
    </w:p>
    <w:p w14:paraId="6AA82195" w14:textId="03F49D9C" w:rsidR="006C4ACA" w:rsidRDefault="009D1534">
      <w:pPr>
        <w:pStyle w:val="TOC3"/>
        <w:rPr>
          <w:rFonts w:asciiTheme="minorHAnsi" w:eastAsiaTheme="minorEastAsia" w:hAnsiTheme="minorHAnsi" w:cstheme="minorBidi"/>
          <w:noProof/>
          <w:color w:val="auto"/>
          <w:sz w:val="22"/>
          <w:szCs w:val="22"/>
        </w:rPr>
      </w:pPr>
      <w:hyperlink w:anchor="_Toc27414307" w:history="1">
        <w:r w:rsidR="006C4ACA" w:rsidRPr="00E549CF">
          <w:rPr>
            <w:rStyle w:val="Hyperlink"/>
            <w:noProof/>
          </w:rPr>
          <w:t>Figure 7.3: Proportion of children aged 4–12 years who eat the daily recommended serves of fruit, by year, 2013 and 2017</w:t>
        </w:r>
        <w:r w:rsidR="006C4ACA">
          <w:rPr>
            <w:noProof/>
            <w:webHidden/>
          </w:rPr>
          <w:tab/>
        </w:r>
        <w:r w:rsidR="006C4ACA">
          <w:rPr>
            <w:noProof/>
            <w:webHidden/>
          </w:rPr>
          <w:fldChar w:fldCharType="begin"/>
        </w:r>
        <w:r w:rsidR="006C4ACA">
          <w:rPr>
            <w:noProof/>
            <w:webHidden/>
          </w:rPr>
          <w:instrText xml:space="preserve"> PAGEREF _Toc27414307 \h </w:instrText>
        </w:r>
        <w:r w:rsidR="006C4ACA">
          <w:rPr>
            <w:noProof/>
            <w:webHidden/>
          </w:rPr>
        </w:r>
        <w:r w:rsidR="006C4ACA">
          <w:rPr>
            <w:noProof/>
            <w:webHidden/>
          </w:rPr>
          <w:fldChar w:fldCharType="separate"/>
        </w:r>
        <w:r w:rsidR="005D1A57">
          <w:rPr>
            <w:noProof/>
            <w:webHidden/>
          </w:rPr>
          <w:t>94</w:t>
        </w:r>
        <w:r w:rsidR="006C4ACA">
          <w:rPr>
            <w:noProof/>
            <w:webHidden/>
          </w:rPr>
          <w:fldChar w:fldCharType="end"/>
        </w:r>
      </w:hyperlink>
    </w:p>
    <w:p w14:paraId="4F1D2E57" w14:textId="25D0C6FE" w:rsidR="006C4ACA" w:rsidRDefault="009D1534">
      <w:pPr>
        <w:pStyle w:val="TOC3"/>
        <w:rPr>
          <w:rFonts w:asciiTheme="minorHAnsi" w:eastAsiaTheme="minorEastAsia" w:hAnsiTheme="minorHAnsi" w:cstheme="minorBidi"/>
          <w:noProof/>
          <w:color w:val="auto"/>
          <w:sz w:val="22"/>
          <w:szCs w:val="22"/>
        </w:rPr>
      </w:pPr>
      <w:hyperlink w:anchor="_Toc27414308" w:history="1">
        <w:r w:rsidR="006C4ACA" w:rsidRPr="00E549CF">
          <w:rPr>
            <w:rStyle w:val="Hyperlink"/>
            <w:noProof/>
          </w:rPr>
          <w:t>Figure 7.3.1: Proportion of children aged 4–12 years who eat the daily recommended serves of fruit, by gender, age, remoteness areas and SES, 2013 and 2017</w:t>
        </w:r>
        <w:r w:rsidR="006C4ACA">
          <w:rPr>
            <w:noProof/>
            <w:webHidden/>
          </w:rPr>
          <w:tab/>
        </w:r>
        <w:r w:rsidR="006C4ACA">
          <w:rPr>
            <w:noProof/>
            <w:webHidden/>
          </w:rPr>
          <w:fldChar w:fldCharType="begin"/>
        </w:r>
        <w:r w:rsidR="006C4ACA">
          <w:rPr>
            <w:noProof/>
            <w:webHidden/>
          </w:rPr>
          <w:instrText xml:space="preserve"> PAGEREF _Toc27414308 \h </w:instrText>
        </w:r>
        <w:r w:rsidR="006C4ACA">
          <w:rPr>
            <w:noProof/>
            <w:webHidden/>
          </w:rPr>
        </w:r>
        <w:r w:rsidR="006C4ACA">
          <w:rPr>
            <w:noProof/>
            <w:webHidden/>
          </w:rPr>
          <w:fldChar w:fldCharType="separate"/>
        </w:r>
        <w:r w:rsidR="005D1A57">
          <w:rPr>
            <w:noProof/>
            <w:webHidden/>
          </w:rPr>
          <w:t>95</w:t>
        </w:r>
        <w:r w:rsidR="006C4ACA">
          <w:rPr>
            <w:noProof/>
            <w:webHidden/>
          </w:rPr>
          <w:fldChar w:fldCharType="end"/>
        </w:r>
      </w:hyperlink>
    </w:p>
    <w:p w14:paraId="2D8797F3" w14:textId="12B443C7" w:rsidR="006C4ACA" w:rsidRDefault="009D1534">
      <w:pPr>
        <w:pStyle w:val="TOC3"/>
        <w:rPr>
          <w:rFonts w:asciiTheme="minorHAnsi" w:eastAsiaTheme="minorEastAsia" w:hAnsiTheme="minorHAnsi" w:cstheme="minorBidi"/>
          <w:noProof/>
          <w:color w:val="auto"/>
          <w:sz w:val="22"/>
          <w:szCs w:val="22"/>
        </w:rPr>
      </w:pPr>
      <w:hyperlink w:anchor="_Toc27414309" w:history="1">
        <w:r w:rsidR="006C4ACA" w:rsidRPr="00E549CF">
          <w:rPr>
            <w:rStyle w:val="Hyperlink"/>
            <w:noProof/>
          </w:rPr>
          <w:t>Figure 7.4: Daily vegetable consumption among OECD adults, 2015 (or nearest year)</w:t>
        </w:r>
        <w:r w:rsidR="006C4ACA">
          <w:rPr>
            <w:noProof/>
            <w:webHidden/>
          </w:rPr>
          <w:tab/>
        </w:r>
        <w:r w:rsidR="006C4ACA">
          <w:rPr>
            <w:noProof/>
            <w:webHidden/>
          </w:rPr>
          <w:fldChar w:fldCharType="begin"/>
        </w:r>
        <w:r w:rsidR="006C4ACA">
          <w:rPr>
            <w:noProof/>
            <w:webHidden/>
          </w:rPr>
          <w:instrText xml:space="preserve"> PAGEREF _Toc27414309 \h </w:instrText>
        </w:r>
        <w:r w:rsidR="006C4ACA">
          <w:rPr>
            <w:noProof/>
            <w:webHidden/>
          </w:rPr>
        </w:r>
        <w:r w:rsidR="006C4ACA">
          <w:rPr>
            <w:noProof/>
            <w:webHidden/>
          </w:rPr>
          <w:fldChar w:fldCharType="separate"/>
        </w:r>
        <w:r w:rsidR="005D1A57">
          <w:rPr>
            <w:noProof/>
            <w:webHidden/>
          </w:rPr>
          <w:t>96</w:t>
        </w:r>
        <w:r w:rsidR="006C4ACA">
          <w:rPr>
            <w:noProof/>
            <w:webHidden/>
          </w:rPr>
          <w:fldChar w:fldCharType="end"/>
        </w:r>
      </w:hyperlink>
    </w:p>
    <w:p w14:paraId="45DCFEAC" w14:textId="0DF2455E" w:rsidR="006C4ACA" w:rsidRDefault="009D1534">
      <w:pPr>
        <w:pStyle w:val="TOC3"/>
        <w:rPr>
          <w:rFonts w:asciiTheme="minorHAnsi" w:eastAsiaTheme="minorEastAsia" w:hAnsiTheme="minorHAnsi" w:cstheme="minorBidi"/>
          <w:noProof/>
          <w:color w:val="auto"/>
          <w:sz w:val="22"/>
          <w:szCs w:val="22"/>
        </w:rPr>
      </w:pPr>
      <w:hyperlink w:anchor="_Toc27414310" w:history="1">
        <w:r w:rsidR="006C4ACA" w:rsidRPr="00E549CF">
          <w:rPr>
            <w:rStyle w:val="Hyperlink"/>
            <w:noProof/>
          </w:rPr>
          <w:t>Figure 7.4.1: Average daily vegetable intake for adults aged 18 years or older, 2014–15</w:t>
        </w:r>
        <w:r w:rsidR="006C4ACA">
          <w:rPr>
            <w:noProof/>
            <w:webHidden/>
          </w:rPr>
          <w:tab/>
        </w:r>
        <w:r w:rsidR="006C4ACA">
          <w:rPr>
            <w:noProof/>
            <w:webHidden/>
          </w:rPr>
          <w:fldChar w:fldCharType="begin"/>
        </w:r>
        <w:r w:rsidR="006C4ACA">
          <w:rPr>
            <w:noProof/>
            <w:webHidden/>
          </w:rPr>
          <w:instrText xml:space="preserve"> PAGEREF _Toc27414310 \h </w:instrText>
        </w:r>
        <w:r w:rsidR="006C4ACA">
          <w:rPr>
            <w:noProof/>
            <w:webHidden/>
          </w:rPr>
        </w:r>
        <w:r w:rsidR="006C4ACA">
          <w:rPr>
            <w:noProof/>
            <w:webHidden/>
          </w:rPr>
          <w:fldChar w:fldCharType="separate"/>
        </w:r>
        <w:r w:rsidR="005D1A57">
          <w:rPr>
            <w:noProof/>
            <w:webHidden/>
          </w:rPr>
          <w:t>96</w:t>
        </w:r>
        <w:r w:rsidR="006C4ACA">
          <w:rPr>
            <w:noProof/>
            <w:webHidden/>
          </w:rPr>
          <w:fldChar w:fldCharType="end"/>
        </w:r>
      </w:hyperlink>
    </w:p>
    <w:p w14:paraId="4A22EB91" w14:textId="39DED24A" w:rsidR="006C4ACA" w:rsidRDefault="009D1534">
      <w:pPr>
        <w:pStyle w:val="TOC3"/>
        <w:rPr>
          <w:rFonts w:asciiTheme="minorHAnsi" w:eastAsiaTheme="minorEastAsia" w:hAnsiTheme="minorHAnsi" w:cstheme="minorBidi"/>
          <w:noProof/>
          <w:color w:val="auto"/>
          <w:sz w:val="22"/>
          <w:szCs w:val="22"/>
        </w:rPr>
      </w:pPr>
      <w:hyperlink w:anchor="_Toc27414311" w:history="1">
        <w:r w:rsidR="006C4ACA" w:rsidRPr="00E549CF">
          <w:rPr>
            <w:rStyle w:val="Hyperlink"/>
            <w:noProof/>
          </w:rPr>
          <w:t>Figure 7.4.2: Mean daily serves of vegetables in Victorian adults, by year, 2011–2016</w:t>
        </w:r>
        <w:r w:rsidR="006C4ACA">
          <w:rPr>
            <w:noProof/>
            <w:webHidden/>
          </w:rPr>
          <w:tab/>
        </w:r>
        <w:r w:rsidR="006C4ACA">
          <w:rPr>
            <w:noProof/>
            <w:webHidden/>
          </w:rPr>
          <w:fldChar w:fldCharType="begin"/>
        </w:r>
        <w:r w:rsidR="006C4ACA">
          <w:rPr>
            <w:noProof/>
            <w:webHidden/>
          </w:rPr>
          <w:instrText xml:space="preserve"> PAGEREF _Toc27414311 \h </w:instrText>
        </w:r>
        <w:r w:rsidR="006C4ACA">
          <w:rPr>
            <w:noProof/>
            <w:webHidden/>
          </w:rPr>
        </w:r>
        <w:r w:rsidR="006C4ACA">
          <w:rPr>
            <w:noProof/>
            <w:webHidden/>
          </w:rPr>
          <w:fldChar w:fldCharType="separate"/>
        </w:r>
        <w:r w:rsidR="005D1A57">
          <w:rPr>
            <w:noProof/>
            <w:webHidden/>
          </w:rPr>
          <w:t>97</w:t>
        </w:r>
        <w:r w:rsidR="006C4ACA">
          <w:rPr>
            <w:noProof/>
            <w:webHidden/>
          </w:rPr>
          <w:fldChar w:fldCharType="end"/>
        </w:r>
      </w:hyperlink>
    </w:p>
    <w:p w14:paraId="38B406C6" w14:textId="1C2D62C6" w:rsidR="006C4ACA" w:rsidRDefault="009D1534">
      <w:pPr>
        <w:pStyle w:val="TOC3"/>
        <w:rPr>
          <w:rFonts w:asciiTheme="minorHAnsi" w:eastAsiaTheme="minorEastAsia" w:hAnsiTheme="minorHAnsi" w:cstheme="minorBidi"/>
          <w:noProof/>
          <w:color w:val="auto"/>
          <w:sz w:val="22"/>
          <w:szCs w:val="22"/>
        </w:rPr>
      </w:pPr>
      <w:hyperlink w:anchor="_Toc27414312" w:history="1">
        <w:r w:rsidR="006C4ACA" w:rsidRPr="00E549CF">
          <w:rPr>
            <w:rStyle w:val="Hyperlink"/>
            <w:noProof/>
          </w:rPr>
          <w:t>Figure 7.5: Proportion of adolescents aged 10–17 years who eat the daily recommended serves of vegetables, 2014 and 2016</w:t>
        </w:r>
        <w:r w:rsidR="006C4ACA">
          <w:rPr>
            <w:noProof/>
            <w:webHidden/>
          </w:rPr>
          <w:tab/>
        </w:r>
        <w:r w:rsidR="006C4ACA">
          <w:rPr>
            <w:noProof/>
            <w:webHidden/>
          </w:rPr>
          <w:fldChar w:fldCharType="begin"/>
        </w:r>
        <w:r w:rsidR="006C4ACA">
          <w:rPr>
            <w:noProof/>
            <w:webHidden/>
          </w:rPr>
          <w:instrText xml:space="preserve"> PAGEREF _Toc27414312 \h </w:instrText>
        </w:r>
        <w:r w:rsidR="006C4ACA">
          <w:rPr>
            <w:noProof/>
            <w:webHidden/>
          </w:rPr>
        </w:r>
        <w:r w:rsidR="006C4ACA">
          <w:rPr>
            <w:noProof/>
            <w:webHidden/>
          </w:rPr>
          <w:fldChar w:fldCharType="separate"/>
        </w:r>
        <w:r w:rsidR="005D1A57">
          <w:rPr>
            <w:noProof/>
            <w:webHidden/>
          </w:rPr>
          <w:t>98</w:t>
        </w:r>
        <w:r w:rsidR="006C4ACA">
          <w:rPr>
            <w:noProof/>
            <w:webHidden/>
          </w:rPr>
          <w:fldChar w:fldCharType="end"/>
        </w:r>
      </w:hyperlink>
    </w:p>
    <w:p w14:paraId="6D749F63" w14:textId="05401DCF" w:rsidR="006C4ACA" w:rsidRDefault="009D1534">
      <w:pPr>
        <w:pStyle w:val="TOC3"/>
        <w:rPr>
          <w:rFonts w:asciiTheme="minorHAnsi" w:eastAsiaTheme="minorEastAsia" w:hAnsiTheme="minorHAnsi" w:cstheme="minorBidi"/>
          <w:noProof/>
          <w:color w:val="auto"/>
          <w:sz w:val="22"/>
          <w:szCs w:val="22"/>
        </w:rPr>
      </w:pPr>
      <w:hyperlink w:anchor="_Toc27414313" w:history="1">
        <w:r w:rsidR="006C4ACA" w:rsidRPr="00E549CF">
          <w:rPr>
            <w:rStyle w:val="Hyperlink"/>
            <w:noProof/>
          </w:rPr>
          <w:t>Figure 7.5.1: Proportion of adolescents aged 10–17 years who eat the daily recommended serves of vegetables, by remoteness area and gender, 2014 and 2016</w:t>
        </w:r>
        <w:r w:rsidR="006C4ACA">
          <w:rPr>
            <w:noProof/>
            <w:webHidden/>
          </w:rPr>
          <w:tab/>
        </w:r>
        <w:r w:rsidR="006C4ACA">
          <w:rPr>
            <w:noProof/>
            <w:webHidden/>
          </w:rPr>
          <w:fldChar w:fldCharType="begin"/>
        </w:r>
        <w:r w:rsidR="006C4ACA">
          <w:rPr>
            <w:noProof/>
            <w:webHidden/>
          </w:rPr>
          <w:instrText xml:space="preserve"> PAGEREF _Toc27414313 \h </w:instrText>
        </w:r>
        <w:r w:rsidR="006C4ACA">
          <w:rPr>
            <w:noProof/>
            <w:webHidden/>
          </w:rPr>
        </w:r>
        <w:r w:rsidR="006C4ACA">
          <w:rPr>
            <w:noProof/>
            <w:webHidden/>
          </w:rPr>
          <w:fldChar w:fldCharType="separate"/>
        </w:r>
        <w:r w:rsidR="005D1A57">
          <w:rPr>
            <w:noProof/>
            <w:webHidden/>
          </w:rPr>
          <w:t>98</w:t>
        </w:r>
        <w:r w:rsidR="006C4ACA">
          <w:rPr>
            <w:noProof/>
            <w:webHidden/>
          </w:rPr>
          <w:fldChar w:fldCharType="end"/>
        </w:r>
      </w:hyperlink>
    </w:p>
    <w:p w14:paraId="2E13816B" w14:textId="0C639AB1" w:rsidR="006C4ACA" w:rsidRDefault="009D1534">
      <w:pPr>
        <w:pStyle w:val="TOC3"/>
        <w:rPr>
          <w:rFonts w:asciiTheme="minorHAnsi" w:eastAsiaTheme="minorEastAsia" w:hAnsiTheme="minorHAnsi" w:cstheme="minorBidi"/>
          <w:noProof/>
          <w:color w:val="auto"/>
          <w:sz w:val="22"/>
          <w:szCs w:val="22"/>
        </w:rPr>
      </w:pPr>
      <w:hyperlink w:anchor="_Toc27414314" w:history="1">
        <w:r w:rsidR="006C4ACA" w:rsidRPr="00E549CF">
          <w:rPr>
            <w:rStyle w:val="Hyperlink"/>
            <w:noProof/>
          </w:rPr>
          <w:t>Figure 7.6: Proportion of children aged 4–12 years who eat the daily recommended serves of vegetables, by year, 2013 and 2017</w:t>
        </w:r>
        <w:r w:rsidR="006C4ACA">
          <w:rPr>
            <w:noProof/>
            <w:webHidden/>
          </w:rPr>
          <w:tab/>
        </w:r>
        <w:r w:rsidR="006C4ACA">
          <w:rPr>
            <w:noProof/>
            <w:webHidden/>
          </w:rPr>
          <w:fldChar w:fldCharType="begin"/>
        </w:r>
        <w:r w:rsidR="006C4ACA">
          <w:rPr>
            <w:noProof/>
            <w:webHidden/>
          </w:rPr>
          <w:instrText xml:space="preserve"> PAGEREF _Toc27414314 \h </w:instrText>
        </w:r>
        <w:r w:rsidR="006C4ACA">
          <w:rPr>
            <w:noProof/>
            <w:webHidden/>
          </w:rPr>
        </w:r>
        <w:r w:rsidR="006C4ACA">
          <w:rPr>
            <w:noProof/>
            <w:webHidden/>
          </w:rPr>
          <w:fldChar w:fldCharType="separate"/>
        </w:r>
        <w:r w:rsidR="005D1A57">
          <w:rPr>
            <w:noProof/>
            <w:webHidden/>
          </w:rPr>
          <w:t>100</w:t>
        </w:r>
        <w:r w:rsidR="006C4ACA">
          <w:rPr>
            <w:noProof/>
            <w:webHidden/>
          </w:rPr>
          <w:fldChar w:fldCharType="end"/>
        </w:r>
      </w:hyperlink>
    </w:p>
    <w:p w14:paraId="3D58A171" w14:textId="73112B1C" w:rsidR="006C4ACA" w:rsidRDefault="009D1534">
      <w:pPr>
        <w:pStyle w:val="TOC3"/>
        <w:rPr>
          <w:rFonts w:asciiTheme="minorHAnsi" w:eastAsiaTheme="minorEastAsia" w:hAnsiTheme="minorHAnsi" w:cstheme="minorBidi"/>
          <w:noProof/>
          <w:color w:val="auto"/>
          <w:sz w:val="22"/>
          <w:szCs w:val="22"/>
        </w:rPr>
      </w:pPr>
      <w:hyperlink w:anchor="_Toc27414315" w:history="1">
        <w:r w:rsidR="006C4ACA" w:rsidRPr="00E549CF">
          <w:rPr>
            <w:rStyle w:val="Hyperlink"/>
            <w:noProof/>
          </w:rPr>
          <w:t>Figure 7.6.1: Proportion of children aged 4–12 years who eat the daily recommended serves of vegetables, by gender, age, remoteness area, SES and year, 2013 and 2017</w:t>
        </w:r>
        <w:r w:rsidR="006C4ACA">
          <w:rPr>
            <w:noProof/>
            <w:webHidden/>
          </w:rPr>
          <w:tab/>
        </w:r>
        <w:r w:rsidR="006C4ACA">
          <w:rPr>
            <w:noProof/>
            <w:webHidden/>
          </w:rPr>
          <w:fldChar w:fldCharType="begin"/>
        </w:r>
        <w:r w:rsidR="006C4ACA">
          <w:rPr>
            <w:noProof/>
            <w:webHidden/>
          </w:rPr>
          <w:instrText xml:space="preserve"> PAGEREF _Toc27414315 \h </w:instrText>
        </w:r>
        <w:r w:rsidR="006C4ACA">
          <w:rPr>
            <w:noProof/>
            <w:webHidden/>
          </w:rPr>
        </w:r>
        <w:r w:rsidR="006C4ACA">
          <w:rPr>
            <w:noProof/>
            <w:webHidden/>
          </w:rPr>
          <w:fldChar w:fldCharType="separate"/>
        </w:r>
        <w:r w:rsidR="005D1A57">
          <w:rPr>
            <w:noProof/>
            <w:webHidden/>
          </w:rPr>
          <w:t>101</w:t>
        </w:r>
        <w:r w:rsidR="006C4ACA">
          <w:rPr>
            <w:noProof/>
            <w:webHidden/>
          </w:rPr>
          <w:fldChar w:fldCharType="end"/>
        </w:r>
      </w:hyperlink>
    </w:p>
    <w:p w14:paraId="0C362F0A" w14:textId="1698D1DE" w:rsidR="006C4ACA" w:rsidRDefault="009D1534">
      <w:pPr>
        <w:pStyle w:val="TOC3"/>
        <w:rPr>
          <w:rFonts w:asciiTheme="minorHAnsi" w:eastAsiaTheme="minorEastAsia" w:hAnsiTheme="minorHAnsi" w:cstheme="minorBidi"/>
          <w:noProof/>
          <w:color w:val="auto"/>
          <w:sz w:val="22"/>
          <w:szCs w:val="22"/>
        </w:rPr>
      </w:pPr>
      <w:hyperlink w:anchor="_Toc27414316" w:history="1">
        <w:r w:rsidR="006C4ACA" w:rsidRPr="00E549CF">
          <w:rPr>
            <w:rStyle w:val="Hyperlink"/>
            <w:noProof/>
          </w:rPr>
          <w:t>Figure 7.9: Proportion of adults (18 years and older) who are sufficiently physically active, by year, 2015–2017</w:t>
        </w:r>
        <w:r w:rsidR="006C4ACA">
          <w:rPr>
            <w:noProof/>
            <w:webHidden/>
          </w:rPr>
          <w:tab/>
        </w:r>
        <w:r w:rsidR="006C4ACA">
          <w:rPr>
            <w:noProof/>
            <w:webHidden/>
          </w:rPr>
          <w:fldChar w:fldCharType="begin"/>
        </w:r>
        <w:r w:rsidR="006C4ACA">
          <w:rPr>
            <w:noProof/>
            <w:webHidden/>
          </w:rPr>
          <w:instrText xml:space="preserve"> PAGEREF _Toc27414316 \h </w:instrText>
        </w:r>
        <w:r w:rsidR="006C4ACA">
          <w:rPr>
            <w:noProof/>
            <w:webHidden/>
          </w:rPr>
        </w:r>
        <w:r w:rsidR="006C4ACA">
          <w:rPr>
            <w:noProof/>
            <w:webHidden/>
          </w:rPr>
          <w:fldChar w:fldCharType="separate"/>
        </w:r>
        <w:r w:rsidR="005D1A57">
          <w:rPr>
            <w:noProof/>
            <w:webHidden/>
          </w:rPr>
          <w:t>103</w:t>
        </w:r>
        <w:r w:rsidR="006C4ACA">
          <w:rPr>
            <w:noProof/>
            <w:webHidden/>
          </w:rPr>
          <w:fldChar w:fldCharType="end"/>
        </w:r>
      </w:hyperlink>
    </w:p>
    <w:p w14:paraId="15B754F2" w14:textId="4B9BDCC8" w:rsidR="006C4ACA" w:rsidRDefault="009D1534">
      <w:pPr>
        <w:pStyle w:val="TOC3"/>
        <w:rPr>
          <w:rFonts w:asciiTheme="minorHAnsi" w:eastAsiaTheme="minorEastAsia" w:hAnsiTheme="minorHAnsi" w:cstheme="minorBidi"/>
          <w:noProof/>
          <w:color w:val="auto"/>
          <w:sz w:val="22"/>
          <w:szCs w:val="22"/>
        </w:rPr>
      </w:pPr>
      <w:hyperlink w:anchor="_Toc27414317" w:history="1">
        <w:r w:rsidR="006C4ACA" w:rsidRPr="00E549CF">
          <w:rPr>
            <w:rStyle w:val="Hyperlink"/>
            <w:noProof/>
          </w:rPr>
          <w:t>Figure 7.10: Proportion of Victorian adolescents aged 10–17 who are sufficiently physically active, 2014 and 2016</w:t>
        </w:r>
        <w:r w:rsidR="006C4ACA">
          <w:rPr>
            <w:noProof/>
            <w:webHidden/>
          </w:rPr>
          <w:tab/>
        </w:r>
        <w:r w:rsidR="006C4ACA">
          <w:rPr>
            <w:noProof/>
            <w:webHidden/>
          </w:rPr>
          <w:fldChar w:fldCharType="begin"/>
        </w:r>
        <w:r w:rsidR="006C4ACA">
          <w:rPr>
            <w:noProof/>
            <w:webHidden/>
          </w:rPr>
          <w:instrText xml:space="preserve"> PAGEREF _Toc27414317 \h </w:instrText>
        </w:r>
        <w:r w:rsidR="006C4ACA">
          <w:rPr>
            <w:noProof/>
            <w:webHidden/>
          </w:rPr>
        </w:r>
        <w:r w:rsidR="006C4ACA">
          <w:rPr>
            <w:noProof/>
            <w:webHidden/>
          </w:rPr>
          <w:fldChar w:fldCharType="separate"/>
        </w:r>
        <w:r w:rsidR="005D1A57">
          <w:rPr>
            <w:noProof/>
            <w:webHidden/>
          </w:rPr>
          <w:t>104</w:t>
        </w:r>
        <w:r w:rsidR="006C4ACA">
          <w:rPr>
            <w:noProof/>
            <w:webHidden/>
          </w:rPr>
          <w:fldChar w:fldCharType="end"/>
        </w:r>
      </w:hyperlink>
    </w:p>
    <w:p w14:paraId="3542983D" w14:textId="67C85E41" w:rsidR="006C4ACA" w:rsidRDefault="009D1534">
      <w:pPr>
        <w:pStyle w:val="TOC3"/>
        <w:rPr>
          <w:rFonts w:asciiTheme="minorHAnsi" w:eastAsiaTheme="minorEastAsia" w:hAnsiTheme="minorHAnsi" w:cstheme="minorBidi"/>
          <w:noProof/>
          <w:color w:val="auto"/>
          <w:sz w:val="22"/>
          <w:szCs w:val="22"/>
        </w:rPr>
      </w:pPr>
      <w:hyperlink w:anchor="_Toc27414318" w:history="1">
        <w:r w:rsidR="006C4ACA" w:rsidRPr="00E549CF">
          <w:rPr>
            <w:rStyle w:val="Hyperlink"/>
            <w:noProof/>
          </w:rPr>
          <w:t>Figure 7.11: Proportion of children aged 5–12 years who are sufficiently physically active, 2013 and 2017</w:t>
        </w:r>
        <w:r w:rsidR="006C4ACA">
          <w:rPr>
            <w:noProof/>
            <w:webHidden/>
          </w:rPr>
          <w:tab/>
        </w:r>
        <w:r w:rsidR="006C4ACA">
          <w:rPr>
            <w:noProof/>
            <w:webHidden/>
          </w:rPr>
          <w:fldChar w:fldCharType="begin"/>
        </w:r>
        <w:r w:rsidR="006C4ACA">
          <w:rPr>
            <w:noProof/>
            <w:webHidden/>
          </w:rPr>
          <w:instrText xml:space="preserve"> PAGEREF _Toc27414318 \h </w:instrText>
        </w:r>
        <w:r w:rsidR="006C4ACA">
          <w:rPr>
            <w:noProof/>
            <w:webHidden/>
          </w:rPr>
        </w:r>
        <w:r w:rsidR="006C4ACA">
          <w:rPr>
            <w:noProof/>
            <w:webHidden/>
          </w:rPr>
          <w:fldChar w:fldCharType="separate"/>
        </w:r>
        <w:r w:rsidR="005D1A57">
          <w:rPr>
            <w:noProof/>
            <w:webHidden/>
          </w:rPr>
          <w:t>106</w:t>
        </w:r>
        <w:r w:rsidR="006C4ACA">
          <w:rPr>
            <w:noProof/>
            <w:webHidden/>
          </w:rPr>
          <w:fldChar w:fldCharType="end"/>
        </w:r>
      </w:hyperlink>
    </w:p>
    <w:p w14:paraId="56D72B35" w14:textId="5C79EE83" w:rsidR="006C4ACA" w:rsidRDefault="009D1534">
      <w:pPr>
        <w:pStyle w:val="TOC3"/>
        <w:rPr>
          <w:rFonts w:asciiTheme="minorHAnsi" w:eastAsiaTheme="minorEastAsia" w:hAnsiTheme="minorHAnsi" w:cstheme="minorBidi"/>
          <w:noProof/>
          <w:color w:val="auto"/>
          <w:sz w:val="22"/>
          <w:szCs w:val="22"/>
        </w:rPr>
      </w:pPr>
      <w:hyperlink w:anchor="_Toc27414319" w:history="1">
        <w:r w:rsidR="006C4ACA" w:rsidRPr="00E549CF">
          <w:rPr>
            <w:rStyle w:val="Hyperlink"/>
            <w:noProof/>
          </w:rPr>
          <w:t>Figure 8.1: Proportion of overweight including obesity among OECD adults (aged 15 or older), 2015 (or nearest year)</w:t>
        </w:r>
        <w:r w:rsidR="006C4ACA">
          <w:rPr>
            <w:noProof/>
            <w:webHidden/>
          </w:rPr>
          <w:tab/>
        </w:r>
        <w:r w:rsidR="006C4ACA">
          <w:rPr>
            <w:noProof/>
            <w:webHidden/>
          </w:rPr>
          <w:fldChar w:fldCharType="begin"/>
        </w:r>
        <w:r w:rsidR="006C4ACA">
          <w:rPr>
            <w:noProof/>
            <w:webHidden/>
          </w:rPr>
          <w:instrText xml:space="preserve"> PAGEREF _Toc27414319 \h </w:instrText>
        </w:r>
        <w:r w:rsidR="006C4ACA">
          <w:rPr>
            <w:noProof/>
            <w:webHidden/>
          </w:rPr>
        </w:r>
        <w:r w:rsidR="006C4ACA">
          <w:rPr>
            <w:noProof/>
            <w:webHidden/>
          </w:rPr>
          <w:fldChar w:fldCharType="separate"/>
        </w:r>
        <w:r w:rsidR="005D1A57">
          <w:rPr>
            <w:noProof/>
            <w:webHidden/>
          </w:rPr>
          <w:t>107</w:t>
        </w:r>
        <w:r w:rsidR="006C4ACA">
          <w:rPr>
            <w:noProof/>
            <w:webHidden/>
          </w:rPr>
          <w:fldChar w:fldCharType="end"/>
        </w:r>
      </w:hyperlink>
    </w:p>
    <w:p w14:paraId="17A1824C" w14:textId="7DABB774" w:rsidR="006C4ACA" w:rsidRDefault="009D1534">
      <w:pPr>
        <w:pStyle w:val="TOC3"/>
        <w:rPr>
          <w:rFonts w:asciiTheme="minorHAnsi" w:eastAsiaTheme="minorEastAsia" w:hAnsiTheme="minorHAnsi" w:cstheme="minorBidi"/>
          <w:noProof/>
          <w:color w:val="auto"/>
          <w:sz w:val="22"/>
          <w:szCs w:val="22"/>
        </w:rPr>
      </w:pPr>
      <w:hyperlink w:anchor="_Toc27414320" w:history="1">
        <w:r w:rsidR="006C4ACA" w:rsidRPr="00E549CF">
          <w:rPr>
            <w:rStyle w:val="Hyperlink"/>
            <w:noProof/>
          </w:rPr>
          <w:t>Figure 8.1.1: Proportion of overweight/obesity (measured) in Australian adults, by state and territory, 2011–12 and 2014–15</w:t>
        </w:r>
        <w:r w:rsidR="006C4ACA">
          <w:rPr>
            <w:noProof/>
            <w:webHidden/>
          </w:rPr>
          <w:tab/>
        </w:r>
        <w:r w:rsidR="006C4ACA">
          <w:rPr>
            <w:noProof/>
            <w:webHidden/>
          </w:rPr>
          <w:fldChar w:fldCharType="begin"/>
        </w:r>
        <w:r w:rsidR="006C4ACA">
          <w:rPr>
            <w:noProof/>
            <w:webHidden/>
          </w:rPr>
          <w:instrText xml:space="preserve"> PAGEREF _Toc27414320 \h </w:instrText>
        </w:r>
        <w:r w:rsidR="006C4ACA">
          <w:rPr>
            <w:noProof/>
            <w:webHidden/>
          </w:rPr>
        </w:r>
        <w:r w:rsidR="006C4ACA">
          <w:rPr>
            <w:noProof/>
            <w:webHidden/>
          </w:rPr>
          <w:fldChar w:fldCharType="separate"/>
        </w:r>
        <w:r w:rsidR="005D1A57">
          <w:rPr>
            <w:noProof/>
            <w:webHidden/>
          </w:rPr>
          <w:t>107</w:t>
        </w:r>
        <w:r w:rsidR="006C4ACA">
          <w:rPr>
            <w:noProof/>
            <w:webHidden/>
          </w:rPr>
          <w:fldChar w:fldCharType="end"/>
        </w:r>
      </w:hyperlink>
    </w:p>
    <w:p w14:paraId="2A10629F" w14:textId="714A19F9" w:rsidR="006C4ACA" w:rsidRDefault="009D1534">
      <w:pPr>
        <w:pStyle w:val="TOC3"/>
        <w:rPr>
          <w:rFonts w:asciiTheme="minorHAnsi" w:eastAsiaTheme="minorEastAsia" w:hAnsiTheme="minorHAnsi" w:cstheme="minorBidi"/>
          <w:noProof/>
          <w:color w:val="auto"/>
          <w:sz w:val="22"/>
          <w:szCs w:val="22"/>
        </w:rPr>
      </w:pPr>
      <w:hyperlink w:anchor="_Toc27414321" w:history="1">
        <w:r w:rsidR="006C4ACA" w:rsidRPr="00E549CF">
          <w:rPr>
            <w:rStyle w:val="Hyperlink"/>
            <w:noProof/>
          </w:rPr>
          <w:t>Figure 8.1.2: Proportion of overweight including obesity (measured) among Victorian adults (aged 18 or older), by year, 2011–12 to 2014–15</w:t>
        </w:r>
        <w:r w:rsidR="006C4ACA">
          <w:rPr>
            <w:noProof/>
            <w:webHidden/>
          </w:rPr>
          <w:tab/>
        </w:r>
        <w:r w:rsidR="006C4ACA">
          <w:rPr>
            <w:noProof/>
            <w:webHidden/>
          </w:rPr>
          <w:fldChar w:fldCharType="begin"/>
        </w:r>
        <w:r w:rsidR="006C4ACA">
          <w:rPr>
            <w:noProof/>
            <w:webHidden/>
          </w:rPr>
          <w:instrText xml:space="preserve"> PAGEREF _Toc27414321 \h </w:instrText>
        </w:r>
        <w:r w:rsidR="006C4ACA">
          <w:rPr>
            <w:noProof/>
            <w:webHidden/>
          </w:rPr>
        </w:r>
        <w:r w:rsidR="006C4ACA">
          <w:rPr>
            <w:noProof/>
            <w:webHidden/>
          </w:rPr>
          <w:fldChar w:fldCharType="separate"/>
        </w:r>
        <w:r w:rsidR="005D1A57">
          <w:rPr>
            <w:noProof/>
            <w:webHidden/>
          </w:rPr>
          <w:t>108</w:t>
        </w:r>
        <w:r w:rsidR="006C4ACA">
          <w:rPr>
            <w:noProof/>
            <w:webHidden/>
          </w:rPr>
          <w:fldChar w:fldCharType="end"/>
        </w:r>
      </w:hyperlink>
    </w:p>
    <w:p w14:paraId="51A42C67" w14:textId="420CC049" w:rsidR="006C4ACA" w:rsidRDefault="009D1534">
      <w:pPr>
        <w:pStyle w:val="TOC3"/>
        <w:rPr>
          <w:rFonts w:asciiTheme="minorHAnsi" w:eastAsiaTheme="minorEastAsia" w:hAnsiTheme="minorHAnsi" w:cstheme="minorBidi"/>
          <w:noProof/>
          <w:color w:val="auto"/>
          <w:sz w:val="22"/>
          <w:szCs w:val="22"/>
        </w:rPr>
      </w:pPr>
      <w:hyperlink w:anchor="_Toc27414322" w:history="1">
        <w:r w:rsidR="006C4ACA" w:rsidRPr="00E549CF">
          <w:rPr>
            <w:rStyle w:val="Hyperlink"/>
            <w:noProof/>
          </w:rPr>
          <w:t>Figure 8.2: Proportion of Victorian adults (aged 18 years or older) who are overweight or obese (self-report), by year, 2015–2017</w:t>
        </w:r>
        <w:r w:rsidR="006C4ACA">
          <w:rPr>
            <w:noProof/>
            <w:webHidden/>
          </w:rPr>
          <w:tab/>
        </w:r>
        <w:r w:rsidR="006C4ACA">
          <w:rPr>
            <w:noProof/>
            <w:webHidden/>
          </w:rPr>
          <w:fldChar w:fldCharType="begin"/>
        </w:r>
        <w:r w:rsidR="006C4ACA">
          <w:rPr>
            <w:noProof/>
            <w:webHidden/>
          </w:rPr>
          <w:instrText xml:space="preserve"> PAGEREF _Toc27414322 \h </w:instrText>
        </w:r>
        <w:r w:rsidR="006C4ACA">
          <w:rPr>
            <w:noProof/>
            <w:webHidden/>
          </w:rPr>
        </w:r>
        <w:r w:rsidR="006C4ACA">
          <w:rPr>
            <w:noProof/>
            <w:webHidden/>
          </w:rPr>
          <w:fldChar w:fldCharType="separate"/>
        </w:r>
        <w:r w:rsidR="005D1A57">
          <w:rPr>
            <w:noProof/>
            <w:webHidden/>
          </w:rPr>
          <w:t>109</w:t>
        </w:r>
        <w:r w:rsidR="006C4ACA">
          <w:rPr>
            <w:noProof/>
            <w:webHidden/>
          </w:rPr>
          <w:fldChar w:fldCharType="end"/>
        </w:r>
      </w:hyperlink>
    </w:p>
    <w:p w14:paraId="22483F91" w14:textId="7D787FE1" w:rsidR="006C4ACA" w:rsidRDefault="009D1534">
      <w:pPr>
        <w:pStyle w:val="TOC3"/>
        <w:rPr>
          <w:rFonts w:asciiTheme="minorHAnsi" w:eastAsiaTheme="minorEastAsia" w:hAnsiTheme="minorHAnsi" w:cstheme="minorBidi"/>
          <w:noProof/>
          <w:color w:val="auto"/>
          <w:sz w:val="22"/>
          <w:szCs w:val="22"/>
        </w:rPr>
      </w:pPr>
      <w:hyperlink w:anchor="_Toc27414323" w:history="1">
        <w:r w:rsidR="006C4ACA" w:rsidRPr="00E549CF">
          <w:rPr>
            <w:rStyle w:val="Hyperlink"/>
            <w:noProof/>
          </w:rPr>
          <w:t>Figure 8.3: Proportion of Australian children aged 5–17 years who are overweight or obese (measured), by year, 1995 to 2014–15</w:t>
        </w:r>
        <w:r w:rsidR="006C4ACA">
          <w:rPr>
            <w:noProof/>
            <w:webHidden/>
          </w:rPr>
          <w:tab/>
        </w:r>
        <w:r w:rsidR="006C4ACA">
          <w:rPr>
            <w:noProof/>
            <w:webHidden/>
          </w:rPr>
          <w:fldChar w:fldCharType="begin"/>
        </w:r>
        <w:r w:rsidR="006C4ACA">
          <w:rPr>
            <w:noProof/>
            <w:webHidden/>
          </w:rPr>
          <w:instrText xml:space="preserve"> PAGEREF _Toc27414323 \h </w:instrText>
        </w:r>
        <w:r w:rsidR="006C4ACA">
          <w:rPr>
            <w:noProof/>
            <w:webHidden/>
          </w:rPr>
        </w:r>
        <w:r w:rsidR="006C4ACA">
          <w:rPr>
            <w:noProof/>
            <w:webHidden/>
          </w:rPr>
          <w:fldChar w:fldCharType="separate"/>
        </w:r>
        <w:r w:rsidR="005D1A57">
          <w:rPr>
            <w:noProof/>
            <w:webHidden/>
          </w:rPr>
          <w:t>110</w:t>
        </w:r>
        <w:r w:rsidR="006C4ACA">
          <w:rPr>
            <w:noProof/>
            <w:webHidden/>
          </w:rPr>
          <w:fldChar w:fldCharType="end"/>
        </w:r>
      </w:hyperlink>
    </w:p>
    <w:p w14:paraId="48BB507A" w14:textId="240B68CD" w:rsidR="006C4ACA" w:rsidRDefault="009D1534">
      <w:pPr>
        <w:pStyle w:val="TOC3"/>
        <w:rPr>
          <w:rFonts w:asciiTheme="minorHAnsi" w:eastAsiaTheme="minorEastAsia" w:hAnsiTheme="minorHAnsi" w:cstheme="minorBidi"/>
          <w:noProof/>
          <w:color w:val="auto"/>
          <w:sz w:val="22"/>
          <w:szCs w:val="22"/>
        </w:rPr>
      </w:pPr>
      <w:hyperlink w:anchor="_Toc27414324" w:history="1">
        <w:r w:rsidR="006C4ACA" w:rsidRPr="00E549CF">
          <w:rPr>
            <w:rStyle w:val="Hyperlink"/>
            <w:noProof/>
          </w:rPr>
          <w:t>Figure 8.3.1: Proportion of Victorian children aged 5–17 years who are overweight or obese (measured), by year, 2011–12 and 2014–15</w:t>
        </w:r>
        <w:r w:rsidR="006C4ACA">
          <w:rPr>
            <w:noProof/>
            <w:webHidden/>
          </w:rPr>
          <w:tab/>
        </w:r>
        <w:r w:rsidR="006C4ACA">
          <w:rPr>
            <w:noProof/>
            <w:webHidden/>
          </w:rPr>
          <w:fldChar w:fldCharType="begin"/>
        </w:r>
        <w:r w:rsidR="006C4ACA">
          <w:rPr>
            <w:noProof/>
            <w:webHidden/>
          </w:rPr>
          <w:instrText xml:space="preserve"> PAGEREF _Toc27414324 \h </w:instrText>
        </w:r>
        <w:r w:rsidR="006C4ACA">
          <w:rPr>
            <w:noProof/>
            <w:webHidden/>
          </w:rPr>
        </w:r>
        <w:r w:rsidR="006C4ACA">
          <w:rPr>
            <w:noProof/>
            <w:webHidden/>
          </w:rPr>
          <w:fldChar w:fldCharType="separate"/>
        </w:r>
        <w:r w:rsidR="005D1A57">
          <w:rPr>
            <w:noProof/>
            <w:webHidden/>
          </w:rPr>
          <w:t>110</w:t>
        </w:r>
        <w:r w:rsidR="006C4ACA">
          <w:rPr>
            <w:noProof/>
            <w:webHidden/>
          </w:rPr>
          <w:fldChar w:fldCharType="end"/>
        </w:r>
      </w:hyperlink>
    </w:p>
    <w:p w14:paraId="550B3801" w14:textId="3EE30870" w:rsidR="006C4ACA" w:rsidRDefault="009D1534">
      <w:pPr>
        <w:pStyle w:val="TOC3"/>
        <w:rPr>
          <w:rFonts w:asciiTheme="minorHAnsi" w:eastAsiaTheme="minorEastAsia" w:hAnsiTheme="minorHAnsi" w:cstheme="minorBidi"/>
          <w:noProof/>
          <w:color w:val="auto"/>
          <w:sz w:val="22"/>
          <w:szCs w:val="22"/>
        </w:rPr>
      </w:pPr>
      <w:hyperlink w:anchor="_Toc27414325" w:history="1">
        <w:r w:rsidR="006C4ACA" w:rsidRPr="00E549CF">
          <w:rPr>
            <w:rStyle w:val="Hyperlink"/>
            <w:noProof/>
          </w:rPr>
          <w:t>Figure 9.1: Adjusted prevalence estimates for weekend sunburn incidence among Victorian adults (18–69 years) in summers, 2013–14 and 2016–17</w:t>
        </w:r>
        <w:r w:rsidR="006C4ACA">
          <w:rPr>
            <w:noProof/>
            <w:webHidden/>
          </w:rPr>
          <w:tab/>
        </w:r>
        <w:r w:rsidR="006C4ACA">
          <w:rPr>
            <w:noProof/>
            <w:webHidden/>
          </w:rPr>
          <w:fldChar w:fldCharType="begin"/>
        </w:r>
        <w:r w:rsidR="006C4ACA">
          <w:rPr>
            <w:noProof/>
            <w:webHidden/>
          </w:rPr>
          <w:instrText xml:space="preserve"> PAGEREF _Toc27414325 \h </w:instrText>
        </w:r>
        <w:r w:rsidR="006C4ACA">
          <w:rPr>
            <w:noProof/>
            <w:webHidden/>
          </w:rPr>
        </w:r>
        <w:r w:rsidR="006C4ACA">
          <w:rPr>
            <w:noProof/>
            <w:webHidden/>
          </w:rPr>
          <w:fldChar w:fldCharType="separate"/>
        </w:r>
        <w:r w:rsidR="005D1A57">
          <w:rPr>
            <w:noProof/>
            <w:webHidden/>
          </w:rPr>
          <w:t>112</w:t>
        </w:r>
        <w:r w:rsidR="006C4ACA">
          <w:rPr>
            <w:noProof/>
            <w:webHidden/>
          </w:rPr>
          <w:fldChar w:fldCharType="end"/>
        </w:r>
      </w:hyperlink>
    </w:p>
    <w:p w14:paraId="2A70567B" w14:textId="4FE950EA" w:rsidR="006C4ACA" w:rsidRDefault="009D1534">
      <w:pPr>
        <w:pStyle w:val="TOC3"/>
        <w:rPr>
          <w:rFonts w:asciiTheme="minorHAnsi" w:eastAsiaTheme="minorEastAsia" w:hAnsiTheme="minorHAnsi" w:cstheme="minorBidi"/>
          <w:noProof/>
          <w:color w:val="auto"/>
          <w:sz w:val="22"/>
          <w:szCs w:val="22"/>
        </w:rPr>
      </w:pPr>
      <w:hyperlink w:anchor="_Toc27414326" w:history="1">
        <w:r w:rsidR="006C4ACA" w:rsidRPr="00E549CF">
          <w:rPr>
            <w:rStyle w:val="Hyperlink"/>
            <w:noProof/>
          </w:rPr>
          <w:t>Figure 10.1: HPV three-dose vaccination coverage for all females turning 15 years of age, by state/territory and year, 2013–2017</w:t>
        </w:r>
        <w:r w:rsidR="006C4ACA">
          <w:rPr>
            <w:noProof/>
            <w:webHidden/>
          </w:rPr>
          <w:tab/>
        </w:r>
        <w:r w:rsidR="006C4ACA">
          <w:rPr>
            <w:noProof/>
            <w:webHidden/>
          </w:rPr>
          <w:fldChar w:fldCharType="begin"/>
        </w:r>
        <w:r w:rsidR="006C4ACA">
          <w:rPr>
            <w:noProof/>
            <w:webHidden/>
          </w:rPr>
          <w:instrText xml:space="preserve"> PAGEREF _Toc27414326 \h </w:instrText>
        </w:r>
        <w:r w:rsidR="006C4ACA">
          <w:rPr>
            <w:noProof/>
            <w:webHidden/>
          </w:rPr>
        </w:r>
        <w:r w:rsidR="006C4ACA">
          <w:rPr>
            <w:noProof/>
            <w:webHidden/>
          </w:rPr>
          <w:fldChar w:fldCharType="separate"/>
        </w:r>
        <w:r w:rsidR="005D1A57">
          <w:rPr>
            <w:noProof/>
            <w:webHidden/>
          </w:rPr>
          <w:t>116</w:t>
        </w:r>
        <w:r w:rsidR="006C4ACA">
          <w:rPr>
            <w:noProof/>
            <w:webHidden/>
          </w:rPr>
          <w:fldChar w:fldCharType="end"/>
        </w:r>
      </w:hyperlink>
    </w:p>
    <w:p w14:paraId="32B2778A" w14:textId="458014CA" w:rsidR="006C4ACA" w:rsidRDefault="009D1534">
      <w:pPr>
        <w:pStyle w:val="TOC3"/>
        <w:rPr>
          <w:rFonts w:asciiTheme="minorHAnsi" w:eastAsiaTheme="minorEastAsia" w:hAnsiTheme="minorHAnsi" w:cstheme="minorBidi"/>
          <w:noProof/>
          <w:color w:val="auto"/>
          <w:sz w:val="22"/>
          <w:szCs w:val="22"/>
        </w:rPr>
      </w:pPr>
      <w:hyperlink w:anchor="_Toc27414327" w:history="1">
        <w:r w:rsidR="006C4ACA" w:rsidRPr="00E549CF">
          <w:rPr>
            <w:rStyle w:val="Hyperlink"/>
            <w:noProof/>
            <w:lang w:val="en"/>
          </w:rPr>
          <w:t>Figure 10.1.1: HPV dose vaccination coverage for all males turning 15 years of age, by state/territory and year, 2013–2017</w:t>
        </w:r>
        <w:r w:rsidR="006C4ACA">
          <w:rPr>
            <w:noProof/>
            <w:webHidden/>
          </w:rPr>
          <w:tab/>
        </w:r>
        <w:r w:rsidR="006C4ACA">
          <w:rPr>
            <w:noProof/>
            <w:webHidden/>
          </w:rPr>
          <w:fldChar w:fldCharType="begin"/>
        </w:r>
        <w:r w:rsidR="006C4ACA">
          <w:rPr>
            <w:noProof/>
            <w:webHidden/>
          </w:rPr>
          <w:instrText xml:space="preserve"> PAGEREF _Toc27414327 \h </w:instrText>
        </w:r>
        <w:r w:rsidR="006C4ACA">
          <w:rPr>
            <w:noProof/>
            <w:webHidden/>
          </w:rPr>
        </w:r>
        <w:r w:rsidR="006C4ACA">
          <w:rPr>
            <w:noProof/>
            <w:webHidden/>
          </w:rPr>
          <w:fldChar w:fldCharType="separate"/>
        </w:r>
        <w:r w:rsidR="005D1A57">
          <w:rPr>
            <w:noProof/>
            <w:webHidden/>
          </w:rPr>
          <w:t>116</w:t>
        </w:r>
        <w:r w:rsidR="006C4ACA">
          <w:rPr>
            <w:noProof/>
            <w:webHidden/>
          </w:rPr>
          <w:fldChar w:fldCharType="end"/>
        </w:r>
      </w:hyperlink>
    </w:p>
    <w:p w14:paraId="03A0AE39" w14:textId="6DC9E693" w:rsidR="006C4ACA" w:rsidRDefault="009D1534">
      <w:pPr>
        <w:pStyle w:val="TOC3"/>
        <w:rPr>
          <w:rFonts w:asciiTheme="minorHAnsi" w:eastAsiaTheme="minorEastAsia" w:hAnsiTheme="minorHAnsi" w:cstheme="minorBidi"/>
          <w:noProof/>
          <w:color w:val="auto"/>
          <w:sz w:val="22"/>
          <w:szCs w:val="22"/>
        </w:rPr>
      </w:pPr>
      <w:hyperlink w:anchor="_Toc27414328" w:history="1">
        <w:r w:rsidR="006C4ACA" w:rsidRPr="00E549CF">
          <w:rPr>
            <w:rStyle w:val="Hyperlink"/>
            <w:noProof/>
          </w:rPr>
          <w:t>Figure 10.2: Notification rate per 100,000 population of unspecified HBV, by state/territory and year, 2014–2018</w:t>
        </w:r>
        <w:r w:rsidR="006C4ACA">
          <w:rPr>
            <w:noProof/>
            <w:webHidden/>
          </w:rPr>
          <w:tab/>
        </w:r>
        <w:r w:rsidR="006C4ACA">
          <w:rPr>
            <w:noProof/>
            <w:webHidden/>
          </w:rPr>
          <w:fldChar w:fldCharType="begin"/>
        </w:r>
        <w:r w:rsidR="006C4ACA">
          <w:rPr>
            <w:noProof/>
            <w:webHidden/>
          </w:rPr>
          <w:instrText xml:space="preserve"> PAGEREF _Toc27414328 \h </w:instrText>
        </w:r>
        <w:r w:rsidR="006C4ACA">
          <w:rPr>
            <w:noProof/>
            <w:webHidden/>
          </w:rPr>
        </w:r>
        <w:r w:rsidR="006C4ACA">
          <w:rPr>
            <w:noProof/>
            <w:webHidden/>
          </w:rPr>
          <w:fldChar w:fldCharType="separate"/>
        </w:r>
        <w:r w:rsidR="005D1A57">
          <w:rPr>
            <w:noProof/>
            <w:webHidden/>
          </w:rPr>
          <w:t>118</w:t>
        </w:r>
        <w:r w:rsidR="006C4ACA">
          <w:rPr>
            <w:noProof/>
            <w:webHidden/>
          </w:rPr>
          <w:fldChar w:fldCharType="end"/>
        </w:r>
      </w:hyperlink>
    </w:p>
    <w:p w14:paraId="46485FF4" w14:textId="0283B7CB" w:rsidR="006C4ACA" w:rsidRDefault="009D1534">
      <w:pPr>
        <w:pStyle w:val="TOC3"/>
        <w:rPr>
          <w:rFonts w:asciiTheme="minorHAnsi" w:eastAsiaTheme="minorEastAsia" w:hAnsiTheme="minorHAnsi" w:cstheme="minorBidi"/>
          <w:noProof/>
          <w:color w:val="auto"/>
          <w:sz w:val="22"/>
          <w:szCs w:val="22"/>
        </w:rPr>
      </w:pPr>
      <w:hyperlink w:anchor="_Toc27414329" w:history="1">
        <w:r w:rsidR="006C4ACA" w:rsidRPr="00E549CF">
          <w:rPr>
            <w:rStyle w:val="Hyperlink"/>
            <w:noProof/>
          </w:rPr>
          <w:t>Figure 10.2.1: Notification rate per 100,000 population of unspecified HBV, by sex and year, Victoria, 2014–2018</w:t>
        </w:r>
        <w:r w:rsidR="006C4ACA">
          <w:rPr>
            <w:noProof/>
            <w:webHidden/>
          </w:rPr>
          <w:tab/>
        </w:r>
        <w:r w:rsidR="006C4ACA">
          <w:rPr>
            <w:noProof/>
            <w:webHidden/>
          </w:rPr>
          <w:fldChar w:fldCharType="begin"/>
        </w:r>
        <w:r w:rsidR="006C4ACA">
          <w:rPr>
            <w:noProof/>
            <w:webHidden/>
          </w:rPr>
          <w:instrText xml:space="preserve"> PAGEREF _Toc27414329 \h </w:instrText>
        </w:r>
        <w:r w:rsidR="006C4ACA">
          <w:rPr>
            <w:noProof/>
            <w:webHidden/>
          </w:rPr>
        </w:r>
        <w:r w:rsidR="006C4ACA">
          <w:rPr>
            <w:noProof/>
            <w:webHidden/>
          </w:rPr>
          <w:fldChar w:fldCharType="separate"/>
        </w:r>
        <w:r w:rsidR="005D1A57">
          <w:rPr>
            <w:noProof/>
            <w:webHidden/>
          </w:rPr>
          <w:t>118</w:t>
        </w:r>
        <w:r w:rsidR="006C4ACA">
          <w:rPr>
            <w:noProof/>
            <w:webHidden/>
          </w:rPr>
          <w:fldChar w:fldCharType="end"/>
        </w:r>
      </w:hyperlink>
    </w:p>
    <w:p w14:paraId="6195E3AA" w14:textId="1E446C63" w:rsidR="006C4ACA" w:rsidRDefault="009D1534">
      <w:pPr>
        <w:pStyle w:val="TOC3"/>
        <w:rPr>
          <w:rFonts w:asciiTheme="minorHAnsi" w:eastAsiaTheme="minorEastAsia" w:hAnsiTheme="minorHAnsi" w:cstheme="minorBidi"/>
          <w:noProof/>
          <w:color w:val="auto"/>
          <w:sz w:val="22"/>
          <w:szCs w:val="22"/>
        </w:rPr>
      </w:pPr>
      <w:hyperlink w:anchor="_Toc27414330" w:history="1">
        <w:r w:rsidR="006C4ACA" w:rsidRPr="00E549CF">
          <w:rPr>
            <w:rStyle w:val="Hyperlink"/>
            <w:noProof/>
          </w:rPr>
          <w:t>Figure 10.2.2: Notification rate per 100,000 population of unspecified HBV, by age group and year, Victoria, 2014–2018</w:t>
        </w:r>
        <w:r w:rsidR="006C4ACA">
          <w:rPr>
            <w:noProof/>
            <w:webHidden/>
          </w:rPr>
          <w:tab/>
        </w:r>
        <w:r w:rsidR="006C4ACA">
          <w:rPr>
            <w:noProof/>
            <w:webHidden/>
          </w:rPr>
          <w:fldChar w:fldCharType="begin"/>
        </w:r>
        <w:r w:rsidR="006C4ACA">
          <w:rPr>
            <w:noProof/>
            <w:webHidden/>
          </w:rPr>
          <w:instrText xml:space="preserve"> PAGEREF _Toc27414330 \h </w:instrText>
        </w:r>
        <w:r w:rsidR="006C4ACA">
          <w:rPr>
            <w:noProof/>
            <w:webHidden/>
          </w:rPr>
        </w:r>
        <w:r w:rsidR="006C4ACA">
          <w:rPr>
            <w:noProof/>
            <w:webHidden/>
          </w:rPr>
          <w:fldChar w:fldCharType="separate"/>
        </w:r>
        <w:r w:rsidR="005D1A57">
          <w:rPr>
            <w:noProof/>
            <w:webHidden/>
          </w:rPr>
          <w:t>119</w:t>
        </w:r>
        <w:r w:rsidR="006C4ACA">
          <w:rPr>
            <w:noProof/>
            <w:webHidden/>
          </w:rPr>
          <w:fldChar w:fldCharType="end"/>
        </w:r>
      </w:hyperlink>
    </w:p>
    <w:p w14:paraId="4E4BCA4C" w14:textId="68D78FF7" w:rsidR="006C4ACA" w:rsidRDefault="009D1534">
      <w:pPr>
        <w:pStyle w:val="TOC3"/>
        <w:rPr>
          <w:rFonts w:asciiTheme="minorHAnsi" w:eastAsiaTheme="minorEastAsia" w:hAnsiTheme="minorHAnsi" w:cstheme="minorBidi"/>
          <w:noProof/>
          <w:color w:val="auto"/>
          <w:sz w:val="22"/>
          <w:szCs w:val="22"/>
        </w:rPr>
      </w:pPr>
      <w:hyperlink w:anchor="_Toc27414331" w:history="1">
        <w:r w:rsidR="006C4ACA" w:rsidRPr="00E549CF">
          <w:rPr>
            <w:rStyle w:val="Hyperlink"/>
            <w:noProof/>
          </w:rPr>
          <w:t>Figure 10.2.3: Notification rate per 100,000 population of unspecified HBV, by ICS and year, Victoria, 2014–2018</w:t>
        </w:r>
        <w:r w:rsidR="006C4ACA">
          <w:rPr>
            <w:noProof/>
            <w:webHidden/>
          </w:rPr>
          <w:tab/>
        </w:r>
        <w:r w:rsidR="006C4ACA">
          <w:rPr>
            <w:noProof/>
            <w:webHidden/>
          </w:rPr>
          <w:fldChar w:fldCharType="begin"/>
        </w:r>
        <w:r w:rsidR="006C4ACA">
          <w:rPr>
            <w:noProof/>
            <w:webHidden/>
          </w:rPr>
          <w:instrText xml:space="preserve"> PAGEREF _Toc27414331 \h </w:instrText>
        </w:r>
        <w:r w:rsidR="006C4ACA">
          <w:rPr>
            <w:noProof/>
            <w:webHidden/>
          </w:rPr>
        </w:r>
        <w:r w:rsidR="006C4ACA">
          <w:rPr>
            <w:noProof/>
            <w:webHidden/>
          </w:rPr>
          <w:fldChar w:fldCharType="separate"/>
        </w:r>
        <w:r w:rsidR="005D1A57">
          <w:rPr>
            <w:noProof/>
            <w:webHidden/>
          </w:rPr>
          <w:t>119</w:t>
        </w:r>
        <w:r w:rsidR="006C4ACA">
          <w:rPr>
            <w:noProof/>
            <w:webHidden/>
          </w:rPr>
          <w:fldChar w:fldCharType="end"/>
        </w:r>
      </w:hyperlink>
    </w:p>
    <w:p w14:paraId="4C9CA1C5" w14:textId="0F5823BC" w:rsidR="006C4ACA" w:rsidRDefault="009D1534">
      <w:pPr>
        <w:pStyle w:val="TOC3"/>
        <w:rPr>
          <w:rFonts w:asciiTheme="minorHAnsi" w:eastAsiaTheme="minorEastAsia" w:hAnsiTheme="minorHAnsi" w:cstheme="minorBidi"/>
          <w:noProof/>
          <w:color w:val="auto"/>
          <w:sz w:val="22"/>
          <w:szCs w:val="22"/>
        </w:rPr>
      </w:pPr>
      <w:hyperlink w:anchor="_Toc27414332" w:history="1">
        <w:r w:rsidR="006C4ACA" w:rsidRPr="00E549CF">
          <w:rPr>
            <w:rStyle w:val="Hyperlink"/>
            <w:noProof/>
          </w:rPr>
          <w:t>Figure 10.3: Notification rate per 100,000 population of unspecified hepatitis C, by state/territory and year, 2014–2018</w:t>
        </w:r>
        <w:r w:rsidR="006C4ACA">
          <w:rPr>
            <w:noProof/>
            <w:webHidden/>
          </w:rPr>
          <w:tab/>
        </w:r>
        <w:r w:rsidR="006C4ACA">
          <w:rPr>
            <w:noProof/>
            <w:webHidden/>
          </w:rPr>
          <w:fldChar w:fldCharType="begin"/>
        </w:r>
        <w:r w:rsidR="006C4ACA">
          <w:rPr>
            <w:noProof/>
            <w:webHidden/>
          </w:rPr>
          <w:instrText xml:space="preserve"> PAGEREF _Toc27414332 \h </w:instrText>
        </w:r>
        <w:r w:rsidR="006C4ACA">
          <w:rPr>
            <w:noProof/>
            <w:webHidden/>
          </w:rPr>
        </w:r>
        <w:r w:rsidR="006C4ACA">
          <w:rPr>
            <w:noProof/>
            <w:webHidden/>
          </w:rPr>
          <w:fldChar w:fldCharType="separate"/>
        </w:r>
        <w:r w:rsidR="005D1A57">
          <w:rPr>
            <w:noProof/>
            <w:webHidden/>
          </w:rPr>
          <w:t>121</w:t>
        </w:r>
        <w:r w:rsidR="006C4ACA">
          <w:rPr>
            <w:noProof/>
            <w:webHidden/>
          </w:rPr>
          <w:fldChar w:fldCharType="end"/>
        </w:r>
      </w:hyperlink>
    </w:p>
    <w:p w14:paraId="2FF6EC71" w14:textId="4347F133" w:rsidR="006C4ACA" w:rsidRDefault="009D1534">
      <w:pPr>
        <w:pStyle w:val="TOC3"/>
        <w:rPr>
          <w:rFonts w:asciiTheme="minorHAnsi" w:eastAsiaTheme="minorEastAsia" w:hAnsiTheme="minorHAnsi" w:cstheme="minorBidi"/>
          <w:noProof/>
          <w:color w:val="auto"/>
          <w:sz w:val="22"/>
          <w:szCs w:val="22"/>
        </w:rPr>
      </w:pPr>
      <w:hyperlink w:anchor="_Toc27414333" w:history="1">
        <w:r w:rsidR="006C4ACA" w:rsidRPr="00E549CF">
          <w:rPr>
            <w:rStyle w:val="Hyperlink"/>
            <w:noProof/>
          </w:rPr>
          <w:t>Figure 10.3.1: Notification rate per 100,000 population of unspecified hepatitis C, by sex and year, Victoria, 2014–2018</w:t>
        </w:r>
        <w:r w:rsidR="006C4ACA">
          <w:rPr>
            <w:noProof/>
            <w:webHidden/>
          </w:rPr>
          <w:tab/>
        </w:r>
        <w:r w:rsidR="006C4ACA">
          <w:rPr>
            <w:noProof/>
            <w:webHidden/>
          </w:rPr>
          <w:fldChar w:fldCharType="begin"/>
        </w:r>
        <w:r w:rsidR="006C4ACA">
          <w:rPr>
            <w:noProof/>
            <w:webHidden/>
          </w:rPr>
          <w:instrText xml:space="preserve"> PAGEREF _Toc27414333 \h </w:instrText>
        </w:r>
        <w:r w:rsidR="006C4ACA">
          <w:rPr>
            <w:noProof/>
            <w:webHidden/>
          </w:rPr>
        </w:r>
        <w:r w:rsidR="006C4ACA">
          <w:rPr>
            <w:noProof/>
            <w:webHidden/>
          </w:rPr>
          <w:fldChar w:fldCharType="separate"/>
        </w:r>
        <w:r w:rsidR="005D1A57">
          <w:rPr>
            <w:noProof/>
            <w:webHidden/>
          </w:rPr>
          <w:t>121</w:t>
        </w:r>
        <w:r w:rsidR="006C4ACA">
          <w:rPr>
            <w:noProof/>
            <w:webHidden/>
          </w:rPr>
          <w:fldChar w:fldCharType="end"/>
        </w:r>
      </w:hyperlink>
    </w:p>
    <w:p w14:paraId="2ED977C7" w14:textId="3B3F8B9B" w:rsidR="006C4ACA" w:rsidRDefault="009D1534">
      <w:pPr>
        <w:pStyle w:val="TOC3"/>
        <w:rPr>
          <w:rFonts w:asciiTheme="minorHAnsi" w:eastAsiaTheme="minorEastAsia" w:hAnsiTheme="minorHAnsi" w:cstheme="minorBidi"/>
          <w:noProof/>
          <w:color w:val="auto"/>
          <w:sz w:val="22"/>
          <w:szCs w:val="22"/>
        </w:rPr>
      </w:pPr>
      <w:hyperlink w:anchor="_Toc27414334" w:history="1">
        <w:r w:rsidR="006C4ACA" w:rsidRPr="00E549CF">
          <w:rPr>
            <w:rStyle w:val="Hyperlink"/>
            <w:noProof/>
          </w:rPr>
          <w:t>Figure 10.3.2: Notification rate per 100,000 population of unspecified hepatitis C, by age group and year, Victoria, 2014–2018</w:t>
        </w:r>
        <w:r w:rsidR="006C4ACA">
          <w:rPr>
            <w:noProof/>
            <w:webHidden/>
          </w:rPr>
          <w:tab/>
        </w:r>
        <w:r w:rsidR="006C4ACA">
          <w:rPr>
            <w:noProof/>
            <w:webHidden/>
          </w:rPr>
          <w:fldChar w:fldCharType="begin"/>
        </w:r>
        <w:r w:rsidR="006C4ACA">
          <w:rPr>
            <w:noProof/>
            <w:webHidden/>
          </w:rPr>
          <w:instrText xml:space="preserve"> PAGEREF _Toc27414334 \h </w:instrText>
        </w:r>
        <w:r w:rsidR="006C4ACA">
          <w:rPr>
            <w:noProof/>
            <w:webHidden/>
          </w:rPr>
        </w:r>
        <w:r w:rsidR="006C4ACA">
          <w:rPr>
            <w:noProof/>
            <w:webHidden/>
          </w:rPr>
          <w:fldChar w:fldCharType="separate"/>
        </w:r>
        <w:r w:rsidR="005D1A57">
          <w:rPr>
            <w:noProof/>
            <w:webHidden/>
          </w:rPr>
          <w:t>122</w:t>
        </w:r>
        <w:r w:rsidR="006C4ACA">
          <w:rPr>
            <w:noProof/>
            <w:webHidden/>
          </w:rPr>
          <w:fldChar w:fldCharType="end"/>
        </w:r>
      </w:hyperlink>
    </w:p>
    <w:p w14:paraId="67D4E721" w14:textId="75724CEE" w:rsidR="006C4ACA" w:rsidRDefault="009D1534">
      <w:pPr>
        <w:pStyle w:val="TOC3"/>
        <w:rPr>
          <w:rFonts w:asciiTheme="minorHAnsi" w:eastAsiaTheme="minorEastAsia" w:hAnsiTheme="minorHAnsi" w:cstheme="minorBidi"/>
          <w:noProof/>
          <w:color w:val="auto"/>
          <w:sz w:val="22"/>
          <w:szCs w:val="22"/>
        </w:rPr>
      </w:pPr>
      <w:hyperlink w:anchor="_Toc27414335" w:history="1">
        <w:r w:rsidR="006C4ACA" w:rsidRPr="00E549CF">
          <w:rPr>
            <w:rStyle w:val="Hyperlink"/>
            <w:noProof/>
          </w:rPr>
          <w:t>Figure 10.3.3: Notification rate of unspecified hepatitis C by ICS and year, Victoria, 2014–2018</w:t>
        </w:r>
        <w:r w:rsidR="006C4ACA">
          <w:rPr>
            <w:noProof/>
            <w:webHidden/>
          </w:rPr>
          <w:tab/>
        </w:r>
        <w:r w:rsidR="006C4ACA">
          <w:rPr>
            <w:noProof/>
            <w:webHidden/>
          </w:rPr>
          <w:fldChar w:fldCharType="begin"/>
        </w:r>
        <w:r w:rsidR="006C4ACA">
          <w:rPr>
            <w:noProof/>
            <w:webHidden/>
          </w:rPr>
          <w:instrText xml:space="preserve"> PAGEREF _Toc27414335 \h </w:instrText>
        </w:r>
        <w:r w:rsidR="006C4ACA">
          <w:rPr>
            <w:noProof/>
            <w:webHidden/>
          </w:rPr>
        </w:r>
        <w:r w:rsidR="006C4ACA">
          <w:rPr>
            <w:noProof/>
            <w:webHidden/>
          </w:rPr>
          <w:fldChar w:fldCharType="separate"/>
        </w:r>
        <w:r w:rsidR="005D1A57">
          <w:rPr>
            <w:noProof/>
            <w:webHidden/>
          </w:rPr>
          <w:t>122</w:t>
        </w:r>
        <w:r w:rsidR="006C4ACA">
          <w:rPr>
            <w:noProof/>
            <w:webHidden/>
          </w:rPr>
          <w:fldChar w:fldCharType="end"/>
        </w:r>
      </w:hyperlink>
    </w:p>
    <w:p w14:paraId="6DB3D505" w14:textId="0214D7A5" w:rsidR="006C4ACA" w:rsidRDefault="009D1534">
      <w:pPr>
        <w:pStyle w:val="TOC3"/>
        <w:rPr>
          <w:rFonts w:asciiTheme="minorHAnsi" w:eastAsiaTheme="minorEastAsia" w:hAnsiTheme="minorHAnsi" w:cstheme="minorBidi"/>
          <w:noProof/>
          <w:color w:val="auto"/>
          <w:sz w:val="22"/>
          <w:szCs w:val="22"/>
        </w:rPr>
      </w:pPr>
      <w:hyperlink w:anchor="_Toc27414336" w:history="1">
        <w:r w:rsidR="006C4ACA" w:rsidRPr="00E549CF">
          <w:rPr>
            <w:rStyle w:val="Hyperlink"/>
            <w:noProof/>
          </w:rPr>
          <w:t>Figure 11.2: Proportion of female breast cancers diagnosed at stages 1 and 2, by age, Indigenous status and language spoken at home, 2014–2016</w:t>
        </w:r>
        <w:r w:rsidR="006C4ACA">
          <w:rPr>
            <w:noProof/>
            <w:webHidden/>
          </w:rPr>
          <w:tab/>
        </w:r>
        <w:r w:rsidR="006C4ACA">
          <w:rPr>
            <w:noProof/>
            <w:webHidden/>
          </w:rPr>
          <w:fldChar w:fldCharType="begin"/>
        </w:r>
        <w:r w:rsidR="006C4ACA">
          <w:rPr>
            <w:noProof/>
            <w:webHidden/>
          </w:rPr>
          <w:instrText xml:space="preserve"> PAGEREF _Toc27414336 \h </w:instrText>
        </w:r>
        <w:r w:rsidR="006C4ACA">
          <w:rPr>
            <w:noProof/>
            <w:webHidden/>
          </w:rPr>
        </w:r>
        <w:r w:rsidR="006C4ACA">
          <w:rPr>
            <w:noProof/>
            <w:webHidden/>
          </w:rPr>
          <w:fldChar w:fldCharType="separate"/>
        </w:r>
        <w:r w:rsidR="005D1A57">
          <w:rPr>
            <w:noProof/>
            <w:webHidden/>
          </w:rPr>
          <w:t>127</w:t>
        </w:r>
        <w:r w:rsidR="006C4ACA">
          <w:rPr>
            <w:noProof/>
            <w:webHidden/>
          </w:rPr>
          <w:fldChar w:fldCharType="end"/>
        </w:r>
      </w:hyperlink>
    </w:p>
    <w:p w14:paraId="27002092" w14:textId="727CF3BE" w:rsidR="006C4ACA" w:rsidRDefault="009D1534">
      <w:pPr>
        <w:pStyle w:val="TOC3"/>
        <w:rPr>
          <w:rFonts w:asciiTheme="minorHAnsi" w:eastAsiaTheme="minorEastAsia" w:hAnsiTheme="minorHAnsi" w:cstheme="minorBidi"/>
          <w:noProof/>
          <w:color w:val="auto"/>
          <w:sz w:val="22"/>
          <w:szCs w:val="22"/>
        </w:rPr>
      </w:pPr>
      <w:hyperlink w:anchor="_Toc27414337" w:history="1">
        <w:r w:rsidR="006C4ACA" w:rsidRPr="00E549CF">
          <w:rPr>
            <w:rStyle w:val="Hyperlink"/>
            <w:noProof/>
          </w:rPr>
          <w:t>Figure 11.2.1: Proportion of female breast cancers diagnosed at stages 1 and 2, by remoteness area, ICS and SES, 2014–2016</w:t>
        </w:r>
        <w:r w:rsidR="006C4ACA">
          <w:rPr>
            <w:noProof/>
            <w:webHidden/>
          </w:rPr>
          <w:tab/>
        </w:r>
        <w:r w:rsidR="006C4ACA">
          <w:rPr>
            <w:noProof/>
            <w:webHidden/>
          </w:rPr>
          <w:fldChar w:fldCharType="begin"/>
        </w:r>
        <w:r w:rsidR="006C4ACA">
          <w:rPr>
            <w:noProof/>
            <w:webHidden/>
          </w:rPr>
          <w:instrText xml:space="preserve"> PAGEREF _Toc27414337 \h </w:instrText>
        </w:r>
        <w:r w:rsidR="006C4ACA">
          <w:rPr>
            <w:noProof/>
            <w:webHidden/>
          </w:rPr>
        </w:r>
        <w:r w:rsidR="006C4ACA">
          <w:rPr>
            <w:noProof/>
            <w:webHidden/>
          </w:rPr>
          <w:fldChar w:fldCharType="separate"/>
        </w:r>
        <w:r w:rsidR="005D1A57">
          <w:rPr>
            <w:noProof/>
            <w:webHidden/>
          </w:rPr>
          <w:t>128</w:t>
        </w:r>
        <w:r w:rsidR="006C4ACA">
          <w:rPr>
            <w:noProof/>
            <w:webHidden/>
          </w:rPr>
          <w:fldChar w:fldCharType="end"/>
        </w:r>
      </w:hyperlink>
    </w:p>
    <w:p w14:paraId="4AEE4F57" w14:textId="10E64B19" w:rsidR="006C4ACA" w:rsidRDefault="009D1534">
      <w:pPr>
        <w:pStyle w:val="TOC3"/>
        <w:rPr>
          <w:rFonts w:asciiTheme="minorHAnsi" w:eastAsiaTheme="minorEastAsia" w:hAnsiTheme="minorHAnsi" w:cstheme="minorBidi"/>
          <w:noProof/>
          <w:color w:val="auto"/>
          <w:sz w:val="22"/>
          <w:szCs w:val="22"/>
        </w:rPr>
      </w:pPr>
      <w:hyperlink w:anchor="_Toc27414338" w:history="1">
        <w:r w:rsidR="006C4ACA" w:rsidRPr="00E549CF">
          <w:rPr>
            <w:rStyle w:val="Hyperlink"/>
            <w:noProof/>
          </w:rPr>
          <w:t>Figure 11.3: Proportion of colorectal cancers diagnosed at stages 1 and 2, by age, sex, Indigenous status and language spoken at home, 2014–2016</w:t>
        </w:r>
        <w:r w:rsidR="006C4ACA">
          <w:rPr>
            <w:noProof/>
            <w:webHidden/>
          </w:rPr>
          <w:tab/>
        </w:r>
        <w:r w:rsidR="006C4ACA">
          <w:rPr>
            <w:noProof/>
            <w:webHidden/>
          </w:rPr>
          <w:fldChar w:fldCharType="begin"/>
        </w:r>
        <w:r w:rsidR="006C4ACA">
          <w:rPr>
            <w:noProof/>
            <w:webHidden/>
          </w:rPr>
          <w:instrText xml:space="preserve"> PAGEREF _Toc27414338 \h </w:instrText>
        </w:r>
        <w:r w:rsidR="006C4ACA">
          <w:rPr>
            <w:noProof/>
            <w:webHidden/>
          </w:rPr>
        </w:r>
        <w:r w:rsidR="006C4ACA">
          <w:rPr>
            <w:noProof/>
            <w:webHidden/>
          </w:rPr>
          <w:fldChar w:fldCharType="separate"/>
        </w:r>
        <w:r w:rsidR="005D1A57">
          <w:rPr>
            <w:noProof/>
            <w:webHidden/>
          </w:rPr>
          <w:t>130</w:t>
        </w:r>
        <w:r w:rsidR="006C4ACA">
          <w:rPr>
            <w:noProof/>
            <w:webHidden/>
          </w:rPr>
          <w:fldChar w:fldCharType="end"/>
        </w:r>
      </w:hyperlink>
    </w:p>
    <w:p w14:paraId="33668F54" w14:textId="2079A9A6" w:rsidR="006C4ACA" w:rsidRDefault="009D1534">
      <w:pPr>
        <w:pStyle w:val="TOC3"/>
        <w:rPr>
          <w:rFonts w:asciiTheme="minorHAnsi" w:eastAsiaTheme="minorEastAsia" w:hAnsiTheme="minorHAnsi" w:cstheme="minorBidi"/>
          <w:noProof/>
          <w:color w:val="auto"/>
          <w:sz w:val="22"/>
          <w:szCs w:val="22"/>
        </w:rPr>
      </w:pPr>
      <w:hyperlink w:anchor="_Toc27414339" w:history="1">
        <w:r w:rsidR="006C4ACA" w:rsidRPr="00E549CF">
          <w:rPr>
            <w:rStyle w:val="Hyperlink"/>
            <w:noProof/>
          </w:rPr>
          <w:t>Figure 11.3.1: Proportion of colorectal cancers diagnosed at stages 1 and 2, by remoteness area, ICS and SES, 2014–2016</w:t>
        </w:r>
        <w:r w:rsidR="006C4ACA">
          <w:rPr>
            <w:noProof/>
            <w:webHidden/>
          </w:rPr>
          <w:tab/>
        </w:r>
        <w:r w:rsidR="006C4ACA">
          <w:rPr>
            <w:noProof/>
            <w:webHidden/>
          </w:rPr>
          <w:fldChar w:fldCharType="begin"/>
        </w:r>
        <w:r w:rsidR="006C4ACA">
          <w:rPr>
            <w:noProof/>
            <w:webHidden/>
          </w:rPr>
          <w:instrText xml:space="preserve"> PAGEREF _Toc27414339 \h </w:instrText>
        </w:r>
        <w:r w:rsidR="006C4ACA">
          <w:rPr>
            <w:noProof/>
            <w:webHidden/>
          </w:rPr>
        </w:r>
        <w:r w:rsidR="006C4ACA">
          <w:rPr>
            <w:noProof/>
            <w:webHidden/>
          </w:rPr>
          <w:fldChar w:fldCharType="separate"/>
        </w:r>
        <w:r w:rsidR="005D1A57">
          <w:rPr>
            <w:noProof/>
            <w:webHidden/>
          </w:rPr>
          <w:t>131</w:t>
        </w:r>
        <w:r w:rsidR="006C4ACA">
          <w:rPr>
            <w:noProof/>
            <w:webHidden/>
          </w:rPr>
          <w:fldChar w:fldCharType="end"/>
        </w:r>
      </w:hyperlink>
    </w:p>
    <w:p w14:paraId="00955160" w14:textId="76EA7FED" w:rsidR="006C4ACA" w:rsidRDefault="009D1534">
      <w:pPr>
        <w:pStyle w:val="TOC3"/>
        <w:rPr>
          <w:rFonts w:asciiTheme="minorHAnsi" w:eastAsiaTheme="minorEastAsia" w:hAnsiTheme="minorHAnsi" w:cstheme="minorBidi"/>
          <w:noProof/>
          <w:color w:val="auto"/>
          <w:sz w:val="22"/>
          <w:szCs w:val="22"/>
        </w:rPr>
      </w:pPr>
      <w:hyperlink w:anchor="_Toc27414340" w:history="1">
        <w:r w:rsidR="006C4ACA" w:rsidRPr="00E549CF">
          <w:rPr>
            <w:rStyle w:val="Hyperlink"/>
            <w:noProof/>
          </w:rPr>
          <w:t>Figure 11.6: Proportion of all solid tumours diagnosed at the metastatic stage, by age, sex, Indigenous status and language spoken at home, 2014–2016</w:t>
        </w:r>
        <w:r w:rsidR="006C4ACA">
          <w:rPr>
            <w:noProof/>
            <w:webHidden/>
          </w:rPr>
          <w:tab/>
        </w:r>
        <w:r w:rsidR="006C4ACA">
          <w:rPr>
            <w:noProof/>
            <w:webHidden/>
          </w:rPr>
          <w:fldChar w:fldCharType="begin"/>
        </w:r>
        <w:r w:rsidR="006C4ACA">
          <w:rPr>
            <w:noProof/>
            <w:webHidden/>
          </w:rPr>
          <w:instrText xml:space="preserve"> PAGEREF _Toc27414340 \h </w:instrText>
        </w:r>
        <w:r w:rsidR="006C4ACA">
          <w:rPr>
            <w:noProof/>
            <w:webHidden/>
          </w:rPr>
        </w:r>
        <w:r w:rsidR="006C4ACA">
          <w:rPr>
            <w:noProof/>
            <w:webHidden/>
          </w:rPr>
          <w:fldChar w:fldCharType="separate"/>
        </w:r>
        <w:r w:rsidR="005D1A57">
          <w:rPr>
            <w:noProof/>
            <w:webHidden/>
          </w:rPr>
          <w:t>134</w:t>
        </w:r>
        <w:r w:rsidR="006C4ACA">
          <w:rPr>
            <w:noProof/>
            <w:webHidden/>
          </w:rPr>
          <w:fldChar w:fldCharType="end"/>
        </w:r>
      </w:hyperlink>
    </w:p>
    <w:p w14:paraId="7B5F8AC4" w14:textId="6AD2AD84" w:rsidR="006C4ACA" w:rsidRDefault="009D1534">
      <w:pPr>
        <w:pStyle w:val="TOC3"/>
        <w:rPr>
          <w:rFonts w:asciiTheme="minorHAnsi" w:eastAsiaTheme="minorEastAsia" w:hAnsiTheme="minorHAnsi" w:cstheme="minorBidi"/>
          <w:noProof/>
          <w:color w:val="auto"/>
          <w:sz w:val="22"/>
          <w:szCs w:val="22"/>
        </w:rPr>
      </w:pPr>
      <w:hyperlink w:anchor="_Toc27414341" w:history="1">
        <w:r w:rsidR="006C4ACA" w:rsidRPr="00E549CF">
          <w:rPr>
            <w:rStyle w:val="Hyperlink"/>
            <w:noProof/>
          </w:rPr>
          <w:t>Figure 11.6.1: Proportion of all solid tumours diagnosed at the metastatic stage, by remoteness area, ICS and SES, 2014–2016</w:t>
        </w:r>
        <w:r w:rsidR="006C4ACA">
          <w:rPr>
            <w:noProof/>
            <w:webHidden/>
          </w:rPr>
          <w:tab/>
        </w:r>
        <w:r w:rsidR="006C4ACA">
          <w:rPr>
            <w:noProof/>
            <w:webHidden/>
          </w:rPr>
          <w:fldChar w:fldCharType="begin"/>
        </w:r>
        <w:r w:rsidR="006C4ACA">
          <w:rPr>
            <w:noProof/>
            <w:webHidden/>
          </w:rPr>
          <w:instrText xml:space="preserve"> PAGEREF _Toc27414341 \h </w:instrText>
        </w:r>
        <w:r w:rsidR="006C4ACA">
          <w:rPr>
            <w:noProof/>
            <w:webHidden/>
          </w:rPr>
        </w:r>
        <w:r w:rsidR="006C4ACA">
          <w:rPr>
            <w:noProof/>
            <w:webHidden/>
          </w:rPr>
          <w:fldChar w:fldCharType="separate"/>
        </w:r>
        <w:r w:rsidR="005D1A57">
          <w:rPr>
            <w:noProof/>
            <w:webHidden/>
          </w:rPr>
          <w:t>135</w:t>
        </w:r>
        <w:r w:rsidR="006C4ACA">
          <w:rPr>
            <w:noProof/>
            <w:webHidden/>
          </w:rPr>
          <w:fldChar w:fldCharType="end"/>
        </w:r>
      </w:hyperlink>
    </w:p>
    <w:p w14:paraId="1B5B7891" w14:textId="4C561550" w:rsidR="006C4ACA" w:rsidRDefault="009D1534">
      <w:pPr>
        <w:pStyle w:val="TOC3"/>
        <w:rPr>
          <w:rFonts w:asciiTheme="minorHAnsi" w:eastAsiaTheme="minorEastAsia" w:hAnsiTheme="minorHAnsi" w:cstheme="minorBidi"/>
          <w:noProof/>
          <w:color w:val="auto"/>
          <w:sz w:val="22"/>
          <w:szCs w:val="22"/>
        </w:rPr>
      </w:pPr>
      <w:hyperlink w:anchor="_Toc27414342" w:history="1">
        <w:r w:rsidR="006C4ACA" w:rsidRPr="00E549CF">
          <w:rPr>
            <w:rStyle w:val="Hyperlink"/>
            <w:noProof/>
          </w:rPr>
          <w:t>Figure 12.1: Median days (and interquartile range) from diagnosis to start of primary curative treatment (overall), by year, 2014 and 2016</w:t>
        </w:r>
        <w:r w:rsidR="006C4ACA">
          <w:rPr>
            <w:noProof/>
            <w:webHidden/>
          </w:rPr>
          <w:tab/>
        </w:r>
        <w:r w:rsidR="006C4ACA">
          <w:rPr>
            <w:noProof/>
            <w:webHidden/>
          </w:rPr>
          <w:fldChar w:fldCharType="begin"/>
        </w:r>
        <w:r w:rsidR="006C4ACA">
          <w:rPr>
            <w:noProof/>
            <w:webHidden/>
          </w:rPr>
          <w:instrText xml:space="preserve"> PAGEREF _Toc27414342 \h </w:instrText>
        </w:r>
        <w:r w:rsidR="006C4ACA">
          <w:rPr>
            <w:noProof/>
            <w:webHidden/>
          </w:rPr>
        </w:r>
        <w:r w:rsidR="006C4ACA">
          <w:rPr>
            <w:noProof/>
            <w:webHidden/>
          </w:rPr>
          <w:fldChar w:fldCharType="separate"/>
        </w:r>
        <w:r w:rsidR="005D1A57">
          <w:rPr>
            <w:noProof/>
            <w:webHidden/>
          </w:rPr>
          <w:t>137</w:t>
        </w:r>
        <w:r w:rsidR="006C4ACA">
          <w:rPr>
            <w:noProof/>
            <w:webHidden/>
          </w:rPr>
          <w:fldChar w:fldCharType="end"/>
        </w:r>
      </w:hyperlink>
    </w:p>
    <w:p w14:paraId="1F2D1F54" w14:textId="4E32A682" w:rsidR="006C4ACA" w:rsidRDefault="009D1534">
      <w:pPr>
        <w:pStyle w:val="TOC3"/>
        <w:rPr>
          <w:rFonts w:asciiTheme="minorHAnsi" w:eastAsiaTheme="minorEastAsia" w:hAnsiTheme="minorHAnsi" w:cstheme="minorBidi"/>
          <w:noProof/>
          <w:color w:val="auto"/>
          <w:sz w:val="22"/>
          <w:szCs w:val="22"/>
        </w:rPr>
      </w:pPr>
      <w:hyperlink w:anchor="_Toc27414343" w:history="1">
        <w:r w:rsidR="006C4ACA" w:rsidRPr="00E549CF">
          <w:rPr>
            <w:rStyle w:val="Hyperlink"/>
            <w:noProof/>
          </w:rPr>
          <w:t>Figure 12.1.1: Median days from diagnosis to start of primary curative treatment (breast), by year, 2014 and 2016</w:t>
        </w:r>
        <w:r w:rsidR="006C4ACA">
          <w:rPr>
            <w:noProof/>
            <w:webHidden/>
          </w:rPr>
          <w:tab/>
        </w:r>
        <w:r w:rsidR="006C4ACA">
          <w:rPr>
            <w:noProof/>
            <w:webHidden/>
          </w:rPr>
          <w:fldChar w:fldCharType="begin"/>
        </w:r>
        <w:r w:rsidR="006C4ACA">
          <w:rPr>
            <w:noProof/>
            <w:webHidden/>
          </w:rPr>
          <w:instrText xml:space="preserve"> PAGEREF _Toc27414343 \h </w:instrText>
        </w:r>
        <w:r w:rsidR="006C4ACA">
          <w:rPr>
            <w:noProof/>
            <w:webHidden/>
          </w:rPr>
        </w:r>
        <w:r w:rsidR="006C4ACA">
          <w:rPr>
            <w:noProof/>
            <w:webHidden/>
          </w:rPr>
          <w:fldChar w:fldCharType="separate"/>
        </w:r>
        <w:r w:rsidR="005D1A57">
          <w:rPr>
            <w:noProof/>
            <w:webHidden/>
          </w:rPr>
          <w:t>139</w:t>
        </w:r>
        <w:r w:rsidR="006C4ACA">
          <w:rPr>
            <w:noProof/>
            <w:webHidden/>
          </w:rPr>
          <w:fldChar w:fldCharType="end"/>
        </w:r>
      </w:hyperlink>
    </w:p>
    <w:p w14:paraId="2117AC63" w14:textId="66D873AF" w:rsidR="006C4ACA" w:rsidRDefault="009D1534">
      <w:pPr>
        <w:pStyle w:val="TOC3"/>
        <w:rPr>
          <w:rFonts w:asciiTheme="minorHAnsi" w:eastAsiaTheme="minorEastAsia" w:hAnsiTheme="minorHAnsi" w:cstheme="minorBidi"/>
          <w:noProof/>
          <w:color w:val="auto"/>
          <w:sz w:val="22"/>
          <w:szCs w:val="22"/>
        </w:rPr>
      </w:pPr>
      <w:hyperlink w:anchor="_Toc27414344" w:history="1">
        <w:r w:rsidR="006C4ACA" w:rsidRPr="00E549CF">
          <w:rPr>
            <w:rStyle w:val="Hyperlink"/>
            <w:noProof/>
          </w:rPr>
          <w:t>Figure 12.1.2: Median days from diagnosis to start of primary curative treatment (colorectal), by year, 2014 and 2016</w:t>
        </w:r>
        <w:r w:rsidR="006C4ACA">
          <w:rPr>
            <w:noProof/>
            <w:webHidden/>
          </w:rPr>
          <w:tab/>
        </w:r>
        <w:r w:rsidR="006C4ACA">
          <w:rPr>
            <w:noProof/>
            <w:webHidden/>
          </w:rPr>
          <w:fldChar w:fldCharType="begin"/>
        </w:r>
        <w:r w:rsidR="006C4ACA">
          <w:rPr>
            <w:noProof/>
            <w:webHidden/>
          </w:rPr>
          <w:instrText xml:space="preserve"> PAGEREF _Toc27414344 \h </w:instrText>
        </w:r>
        <w:r w:rsidR="006C4ACA">
          <w:rPr>
            <w:noProof/>
            <w:webHidden/>
          </w:rPr>
        </w:r>
        <w:r w:rsidR="006C4ACA">
          <w:rPr>
            <w:noProof/>
            <w:webHidden/>
          </w:rPr>
          <w:fldChar w:fldCharType="separate"/>
        </w:r>
        <w:r w:rsidR="005D1A57">
          <w:rPr>
            <w:noProof/>
            <w:webHidden/>
          </w:rPr>
          <w:t>140</w:t>
        </w:r>
        <w:r w:rsidR="006C4ACA">
          <w:rPr>
            <w:noProof/>
            <w:webHidden/>
          </w:rPr>
          <w:fldChar w:fldCharType="end"/>
        </w:r>
      </w:hyperlink>
    </w:p>
    <w:p w14:paraId="243D27C2" w14:textId="1F1984C2" w:rsidR="006C4ACA" w:rsidRDefault="009D1534">
      <w:pPr>
        <w:pStyle w:val="TOC3"/>
        <w:rPr>
          <w:rFonts w:asciiTheme="minorHAnsi" w:eastAsiaTheme="minorEastAsia" w:hAnsiTheme="minorHAnsi" w:cstheme="minorBidi"/>
          <w:noProof/>
          <w:color w:val="auto"/>
          <w:sz w:val="22"/>
          <w:szCs w:val="22"/>
        </w:rPr>
      </w:pPr>
      <w:hyperlink w:anchor="_Toc27414345" w:history="1">
        <w:r w:rsidR="006C4ACA" w:rsidRPr="00E549CF">
          <w:rPr>
            <w:rStyle w:val="Hyperlink"/>
            <w:noProof/>
          </w:rPr>
          <w:t>Figure 12.1.3: Median days from diagnosis to start of primary curative treatment (genitourinary), by year, 2014 and 2016</w:t>
        </w:r>
        <w:r w:rsidR="006C4ACA">
          <w:rPr>
            <w:noProof/>
            <w:webHidden/>
          </w:rPr>
          <w:tab/>
        </w:r>
        <w:r w:rsidR="006C4ACA">
          <w:rPr>
            <w:noProof/>
            <w:webHidden/>
          </w:rPr>
          <w:fldChar w:fldCharType="begin"/>
        </w:r>
        <w:r w:rsidR="006C4ACA">
          <w:rPr>
            <w:noProof/>
            <w:webHidden/>
          </w:rPr>
          <w:instrText xml:space="preserve"> PAGEREF _Toc27414345 \h </w:instrText>
        </w:r>
        <w:r w:rsidR="006C4ACA">
          <w:rPr>
            <w:noProof/>
            <w:webHidden/>
          </w:rPr>
        </w:r>
        <w:r w:rsidR="006C4ACA">
          <w:rPr>
            <w:noProof/>
            <w:webHidden/>
          </w:rPr>
          <w:fldChar w:fldCharType="separate"/>
        </w:r>
        <w:r w:rsidR="005D1A57">
          <w:rPr>
            <w:noProof/>
            <w:webHidden/>
          </w:rPr>
          <w:t>141</w:t>
        </w:r>
        <w:r w:rsidR="006C4ACA">
          <w:rPr>
            <w:noProof/>
            <w:webHidden/>
          </w:rPr>
          <w:fldChar w:fldCharType="end"/>
        </w:r>
      </w:hyperlink>
    </w:p>
    <w:p w14:paraId="592B167D" w14:textId="6EBBC1E6" w:rsidR="006C4ACA" w:rsidRDefault="009D1534">
      <w:pPr>
        <w:pStyle w:val="TOC3"/>
        <w:rPr>
          <w:rFonts w:asciiTheme="minorHAnsi" w:eastAsiaTheme="minorEastAsia" w:hAnsiTheme="minorHAnsi" w:cstheme="minorBidi"/>
          <w:noProof/>
          <w:color w:val="auto"/>
          <w:sz w:val="22"/>
          <w:szCs w:val="22"/>
        </w:rPr>
      </w:pPr>
      <w:hyperlink w:anchor="_Toc27414346" w:history="1">
        <w:r w:rsidR="006C4ACA" w:rsidRPr="00E549CF">
          <w:rPr>
            <w:rStyle w:val="Hyperlink"/>
            <w:noProof/>
          </w:rPr>
          <w:t>Figure 12.1.4: Median days from diagnosis to start of primary curative treatment (haematological), by year, 2014 and 2016</w:t>
        </w:r>
        <w:r w:rsidR="006C4ACA">
          <w:rPr>
            <w:noProof/>
            <w:webHidden/>
          </w:rPr>
          <w:tab/>
        </w:r>
        <w:r w:rsidR="006C4ACA">
          <w:rPr>
            <w:noProof/>
            <w:webHidden/>
          </w:rPr>
          <w:fldChar w:fldCharType="begin"/>
        </w:r>
        <w:r w:rsidR="006C4ACA">
          <w:rPr>
            <w:noProof/>
            <w:webHidden/>
          </w:rPr>
          <w:instrText xml:space="preserve"> PAGEREF _Toc27414346 \h </w:instrText>
        </w:r>
        <w:r w:rsidR="006C4ACA">
          <w:rPr>
            <w:noProof/>
            <w:webHidden/>
          </w:rPr>
        </w:r>
        <w:r w:rsidR="006C4ACA">
          <w:rPr>
            <w:noProof/>
            <w:webHidden/>
          </w:rPr>
          <w:fldChar w:fldCharType="separate"/>
        </w:r>
        <w:r w:rsidR="005D1A57">
          <w:rPr>
            <w:noProof/>
            <w:webHidden/>
          </w:rPr>
          <w:t>142</w:t>
        </w:r>
        <w:r w:rsidR="006C4ACA">
          <w:rPr>
            <w:noProof/>
            <w:webHidden/>
          </w:rPr>
          <w:fldChar w:fldCharType="end"/>
        </w:r>
      </w:hyperlink>
    </w:p>
    <w:p w14:paraId="650AB185" w14:textId="12CEE143" w:rsidR="006C4ACA" w:rsidRDefault="009D1534">
      <w:pPr>
        <w:pStyle w:val="TOC3"/>
        <w:rPr>
          <w:rFonts w:asciiTheme="minorHAnsi" w:eastAsiaTheme="minorEastAsia" w:hAnsiTheme="minorHAnsi" w:cstheme="minorBidi"/>
          <w:noProof/>
          <w:color w:val="auto"/>
          <w:sz w:val="22"/>
          <w:szCs w:val="22"/>
        </w:rPr>
      </w:pPr>
      <w:hyperlink w:anchor="_Toc27414347" w:history="1">
        <w:r w:rsidR="006C4ACA" w:rsidRPr="00E549CF">
          <w:rPr>
            <w:rStyle w:val="Hyperlink"/>
            <w:noProof/>
          </w:rPr>
          <w:t>Figure 12.4: Proportion of patients with non-metastatic lung cancer receiving radical radiotherapy as part of their primary treatment, by age, sex, Indigenous status, language spoken at home, remoteness area, SES and ICS, 2014–2016</w:t>
        </w:r>
        <w:r w:rsidR="006C4ACA">
          <w:rPr>
            <w:noProof/>
            <w:webHidden/>
          </w:rPr>
          <w:tab/>
        </w:r>
        <w:r w:rsidR="006C4ACA">
          <w:rPr>
            <w:noProof/>
            <w:webHidden/>
          </w:rPr>
          <w:fldChar w:fldCharType="begin"/>
        </w:r>
        <w:r w:rsidR="006C4ACA">
          <w:rPr>
            <w:noProof/>
            <w:webHidden/>
          </w:rPr>
          <w:instrText xml:space="preserve"> PAGEREF _Toc27414347 \h </w:instrText>
        </w:r>
        <w:r w:rsidR="006C4ACA">
          <w:rPr>
            <w:noProof/>
            <w:webHidden/>
          </w:rPr>
        </w:r>
        <w:r w:rsidR="006C4ACA">
          <w:rPr>
            <w:noProof/>
            <w:webHidden/>
          </w:rPr>
          <w:fldChar w:fldCharType="separate"/>
        </w:r>
        <w:r w:rsidR="005D1A57">
          <w:rPr>
            <w:noProof/>
            <w:webHidden/>
          </w:rPr>
          <w:t>145</w:t>
        </w:r>
        <w:r w:rsidR="006C4ACA">
          <w:rPr>
            <w:noProof/>
            <w:webHidden/>
          </w:rPr>
          <w:fldChar w:fldCharType="end"/>
        </w:r>
      </w:hyperlink>
    </w:p>
    <w:p w14:paraId="66491BAC" w14:textId="3284100A" w:rsidR="006C4ACA" w:rsidRDefault="009D1534">
      <w:pPr>
        <w:pStyle w:val="TOC3"/>
        <w:rPr>
          <w:rFonts w:asciiTheme="minorHAnsi" w:eastAsiaTheme="minorEastAsia" w:hAnsiTheme="minorHAnsi" w:cstheme="minorBidi"/>
          <w:noProof/>
          <w:color w:val="auto"/>
          <w:sz w:val="22"/>
          <w:szCs w:val="22"/>
        </w:rPr>
      </w:pPr>
      <w:hyperlink w:anchor="_Toc27414348" w:history="1">
        <w:r w:rsidR="006C4ACA" w:rsidRPr="00E549CF">
          <w:rPr>
            <w:rStyle w:val="Hyperlink"/>
            <w:noProof/>
          </w:rPr>
          <w:t>Figure 12.4.1: Proportion of patients with non-metastatic breast cancer receiving radical radiotherapy as part of their primary treatment, by age, sex, Indigenous status, language spoken at home, remoteness area, SES and ICS, 2014–2016</w:t>
        </w:r>
        <w:r w:rsidR="006C4ACA">
          <w:rPr>
            <w:noProof/>
            <w:webHidden/>
          </w:rPr>
          <w:tab/>
        </w:r>
        <w:r w:rsidR="006C4ACA">
          <w:rPr>
            <w:noProof/>
            <w:webHidden/>
          </w:rPr>
          <w:fldChar w:fldCharType="begin"/>
        </w:r>
        <w:r w:rsidR="006C4ACA">
          <w:rPr>
            <w:noProof/>
            <w:webHidden/>
          </w:rPr>
          <w:instrText xml:space="preserve"> PAGEREF _Toc27414348 \h </w:instrText>
        </w:r>
        <w:r w:rsidR="006C4ACA">
          <w:rPr>
            <w:noProof/>
            <w:webHidden/>
          </w:rPr>
        </w:r>
        <w:r w:rsidR="006C4ACA">
          <w:rPr>
            <w:noProof/>
            <w:webHidden/>
          </w:rPr>
          <w:fldChar w:fldCharType="separate"/>
        </w:r>
        <w:r w:rsidR="005D1A57">
          <w:rPr>
            <w:noProof/>
            <w:webHidden/>
          </w:rPr>
          <w:t>146</w:t>
        </w:r>
        <w:r w:rsidR="006C4ACA">
          <w:rPr>
            <w:noProof/>
            <w:webHidden/>
          </w:rPr>
          <w:fldChar w:fldCharType="end"/>
        </w:r>
      </w:hyperlink>
    </w:p>
    <w:p w14:paraId="1DB785F4" w14:textId="266B6267" w:rsidR="006C4ACA" w:rsidRDefault="009D1534">
      <w:pPr>
        <w:pStyle w:val="TOC3"/>
        <w:rPr>
          <w:rFonts w:asciiTheme="minorHAnsi" w:eastAsiaTheme="minorEastAsia" w:hAnsiTheme="minorHAnsi" w:cstheme="minorBidi"/>
          <w:noProof/>
          <w:color w:val="auto"/>
          <w:sz w:val="22"/>
          <w:szCs w:val="22"/>
        </w:rPr>
      </w:pPr>
      <w:hyperlink w:anchor="_Toc27414349" w:history="1">
        <w:r w:rsidR="006C4ACA" w:rsidRPr="00E549CF">
          <w:rPr>
            <w:rStyle w:val="Hyperlink"/>
            <w:noProof/>
          </w:rPr>
          <w:t>Figure 12.4.2: Proportion of patients with non-metastatic colorectal cancer receiving radical radiotherapy as part of their primary treatment, by age, sex, Indigenous status, language spoken at home, remoteness area, SES and ICS, 2014–2016</w:t>
        </w:r>
        <w:r w:rsidR="006C4ACA">
          <w:rPr>
            <w:noProof/>
            <w:webHidden/>
          </w:rPr>
          <w:tab/>
        </w:r>
        <w:r w:rsidR="006C4ACA">
          <w:rPr>
            <w:noProof/>
            <w:webHidden/>
          </w:rPr>
          <w:fldChar w:fldCharType="begin"/>
        </w:r>
        <w:r w:rsidR="006C4ACA">
          <w:rPr>
            <w:noProof/>
            <w:webHidden/>
          </w:rPr>
          <w:instrText xml:space="preserve"> PAGEREF _Toc27414349 \h </w:instrText>
        </w:r>
        <w:r w:rsidR="006C4ACA">
          <w:rPr>
            <w:noProof/>
            <w:webHidden/>
          </w:rPr>
        </w:r>
        <w:r w:rsidR="006C4ACA">
          <w:rPr>
            <w:noProof/>
            <w:webHidden/>
          </w:rPr>
          <w:fldChar w:fldCharType="separate"/>
        </w:r>
        <w:r w:rsidR="005D1A57">
          <w:rPr>
            <w:noProof/>
            <w:webHidden/>
          </w:rPr>
          <w:t>147</w:t>
        </w:r>
        <w:r w:rsidR="006C4ACA">
          <w:rPr>
            <w:noProof/>
            <w:webHidden/>
          </w:rPr>
          <w:fldChar w:fldCharType="end"/>
        </w:r>
      </w:hyperlink>
    </w:p>
    <w:p w14:paraId="249AADC5" w14:textId="350E6179" w:rsidR="006C4ACA" w:rsidRDefault="009D1534">
      <w:pPr>
        <w:pStyle w:val="TOC3"/>
        <w:rPr>
          <w:rFonts w:asciiTheme="minorHAnsi" w:eastAsiaTheme="minorEastAsia" w:hAnsiTheme="minorHAnsi" w:cstheme="minorBidi"/>
          <w:noProof/>
          <w:color w:val="auto"/>
          <w:sz w:val="22"/>
          <w:szCs w:val="22"/>
        </w:rPr>
      </w:pPr>
      <w:hyperlink w:anchor="_Toc27414350" w:history="1">
        <w:r w:rsidR="006C4ACA" w:rsidRPr="00E549CF">
          <w:rPr>
            <w:rStyle w:val="Hyperlink"/>
            <w:noProof/>
          </w:rPr>
          <w:t>Figure 12.4.3: Proportion of patients with non-metastatic oesophageal cancer receiving radical radiotherapy as part of their primary treatment, by age, sex, Indigenous status, language spoken at home, remoteness area, SES and ICS, 2014–2016</w:t>
        </w:r>
        <w:r w:rsidR="006C4ACA">
          <w:rPr>
            <w:noProof/>
            <w:webHidden/>
          </w:rPr>
          <w:tab/>
        </w:r>
        <w:r w:rsidR="006C4ACA">
          <w:rPr>
            <w:noProof/>
            <w:webHidden/>
          </w:rPr>
          <w:fldChar w:fldCharType="begin"/>
        </w:r>
        <w:r w:rsidR="006C4ACA">
          <w:rPr>
            <w:noProof/>
            <w:webHidden/>
          </w:rPr>
          <w:instrText xml:space="preserve"> PAGEREF _Toc27414350 \h </w:instrText>
        </w:r>
        <w:r w:rsidR="006C4ACA">
          <w:rPr>
            <w:noProof/>
            <w:webHidden/>
          </w:rPr>
        </w:r>
        <w:r w:rsidR="006C4ACA">
          <w:rPr>
            <w:noProof/>
            <w:webHidden/>
          </w:rPr>
          <w:fldChar w:fldCharType="separate"/>
        </w:r>
        <w:r w:rsidR="005D1A57">
          <w:rPr>
            <w:noProof/>
            <w:webHidden/>
          </w:rPr>
          <w:t>148</w:t>
        </w:r>
        <w:r w:rsidR="006C4ACA">
          <w:rPr>
            <w:noProof/>
            <w:webHidden/>
          </w:rPr>
          <w:fldChar w:fldCharType="end"/>
        </w:r>
      </w:hyperlink>
    </w:p>
    <w:p w14:paraId="5D092705" w14:textId="2F76D6BF" w:rsidR="006C4ACA" w:rsidRDefault="009D1534">
      <w:pPr>
        <w:pStyle w:val="TOC3"/>
        <w:rPr>
          <w:rFonts w:asciiTheme="minorHAnsi" w:eastAsiaTheme="minorEastAsia" w:hAnsiTheme="minorHAnsi" w:cstheme="minorBidi"/>
          <w:noProof/>
          <w:color w:val="auto"/>
          <w:sz w:val="22"/>
          <w:szCs w:val="22"/>
        </w:rPr>
      </w:pPr>
      <w:hyperlink w:anchor="_Toc27414351" w:history="1">
        <w:r w:rsidR="006C4ACA" w:rsidRPr="00E549CF">
          <w:rPr>
            <w:rStyle w:val="Hyperlink"/>
            <w:noProof/>
          </w:rPr>
          <w:t>Figure 12.5: Proportion of patients (overall) receiving systemic anti-cancer therapy within recommended timelines, by age (A), sex (B), Indigenous status (C), language spoken at home (D), remoteness area (E), SES (F) and ICS (G), Victoria, 2014–2016</w:t>
        </w:r>
        <w:r w:rsidR="006C4ACA">
          <w:rPr>
            <w:noProof/>
            <w:webHidden/>
          </w:rPr>
          <w:tab/>
        </w:r>
        <w:r w:rsidR="006C4ACA">
          <w:rPr>
            <w:noProof/>
            <w:webHidden/>
          </w:rPr>
          <w:fldChar w:fldCharType="begin"/>
        </w:r>
        <w:r w:rsidR="006C4ACA">
          <w:rPr>
            <w:noProof/>
            <w:webHidden/>
          </w:rPr>
          <w:instrText xml:space="preserve"> PAGEREF _Toc27414351 \h </w:instrText>
        </w:r>
        <w:r w:rsidR="006C4ACA">
          <w:rPr>
            <w:noProof/>
            <w:webHidden/>
          </w:rPr>
        </w:r>
        <w:r w:rsidR="006C4ACA">
          <w:rPr>
            <w:noProof/>
            <w:webHidden/>
          </w:rPr>
          <w:fldChar w:fldCharType="separate"/>
        </w:r>
        <w:r w:rsidR="005D1A57">
          <w:rPr>
            <w:noProof/>
            <w:webHidden/>
          </w:rPr>
          <w:t>150</w:t>
        </w:r>
        <w:r w:rsidR="006C4ACA">
          <w:rPr>
            <w:noProof/>
            <w:webHidden/>
          </w:rPr>
          <w:fldChar w:fldCharType="end"/>
        </w:r>
      </w:hyperlink>
    </w:p>
    <w:p w14:paraId="432ADD75" w14:textId="4A393B63" w:rsidR="006C4ACA" w:rsidRDefault="009D1534">
      <w:pPr>
        <w:pStyle w:val="TOC3"/>
        <w:rPr>
          <w:rFonts w:asciiTheme="minorHAnsi" w:eastAsiaTheme="minorEastAsia" w:hAnsiTheme="minorHAnsi" w:cstheme="minorBidi"/>
          <w:noProof/>
          <w:color w:val="auto"/>
          <w:sz w:val="22"/>
          <w:szCs w:val="22"/>
        </w:rPr>
      </w:pPr>
      <w:hyperlink w:anchor="_Toc27414352" w:history="1">
        <w:r w:rsidR="006C4ACA" w:rsidRPr="00E549CF">
          <w:rPr>
            <w:rStyle w:val="Hyperlink"/>
            <w:noProof/>
          </w:rPr>
          <w:t>Figure 12.5.1: Proportion of lung cancer patients receiving systemic anti-cancer therapy within recommended timelines, by age (A), sex (B), Indigenous status (C), language spoken at home (D), remoteness area (E), SES (F) and ICS (G), Victoria, 2014–201</w:t>
        </w:r>
        <w:r w:rsidR="006C4ACA">
          <w:rPr>
            <w:noProof/>
            <w:webHidden/>
          </w:rPr>
          <w:tab/>
        </w:r>
        <w:r w:rsidR="006C4ACA">
          <w:rPr>
            <w:noProof/>
            <w:webHidden/>
          </w:rPr>
          <w:fldChar w:fldCharType="begin"/>
        </w:r>
        <w:r w:rsidR="006C4ACA">
          <w:rPr>
            <w:noProof/>
            <w:webHidden/>
          </w:rPr>
          <w:instrText xml:space="preserve"> PAGEREF _Toc27414352 \h </w:instrText>
        </w:r>
        <w:r w:rsidR="006C4ACA">
          <w:rPr>
            <w:noProof/>
            <w:webHidden/>
          </w:rPr>
        </w:r>
        <w:r w:rsidR="006C4ACA">
          <w:rPr>
            <w:noProof/>
            <w:webHidden/>
          </w:rPr>
          <w:fldChar w:fldCharType="separate"/>
        </w:r>
        <w:r w:rsidR="005D1A57">
          <w:rPr>
            <w:noProof/>
            <w:webHidden/>
          </w:rPr>
          <w:t>151</w:t>
        </w:r>
        <w:r w:rsidR="006C4ACA">
          <w:rPr>
            <w:noProof/>
            <w:webHidden/>
          </w:rPr>
          <w:fldChar w:fldCharType="end"/>
        </w:r>
      </w:hyperlink>
    </w:p>
    <w:p w14:paraId="5E7EA7E5" w14:textId="1BAFE226" w:rsidR="006C4ACA" w:rsidRDefault="009D1534">
      <w:pPr>
        <w:pStyle w:val="TOC3"/>
        <w:rPr>
          <w:rFonts w:asciiTheme="minorHAnsi" w:eastAsiaTheme="minorEastAsia" w:hAnsiTheme="minorHAnsi" w:cstheme="minorBidi"/>
          <w:noProof/>
          <w:color w:val="auto"/>
          <w:sz w:val="22"/>
          <w:szCs w:val="22"/>
        </w:rPr>
      </w:pPr>
      <w:hyperlink w:anchor="_Toc27414353" w:history="1">
        <w:r w:rsidR="006C4ACA" w:rsidRPr="00E549CF">
          <w:rPr>
            <w:rStyle w:val="Hyperlink"/>
            <w:noProof/>
          </w:rPr>
          <w:t>Figure 12.5.2: Proportion of breast cancer patients receiving systemic anti-cancer therapy within recommended timelines, by age (A), sex (B), Indigenous status (C), language spoken at home (D), remoteness area (E), SES (F) and ICS (G), Victoria, 2014–2016</w:t>
        </w:r>
        <w:r w:rsidR="006C4ACA">
          <w:rPr>
            <w:noProof/>
            <w:webHidden/>
          </w:rPr>
          <w:tab/>
        </w:r>
        <w:r w:rsidR="006C4ACA">
          <w:rPr>
            <w:noProof/>
            <w:webHidden/>
          </w:rPr>
          <w:fldChar w:fldCharType="begin"/>
        </w:r>
        <w:r w:rsidR="006C4ACA">
          <w:rPr>
            <w:noProof/>
            <w:webHidden/>
          </w:rPr>
          <w:instrText xml:space="preserve"> PAGEREF _Toc27414353 \h </w:instrText>
        </w:r>
        <w:r w:rsidR="006C4ACA">
          <w:rPr>
            <w:noProof/>
            <w:webHidden/>
          </w:rPr>
        </w:r>
        <w:r w:rsidR="006C4ACA">
          <w:rPr>
            <w:noProof/>
            <w:webHidden/>
          </w:rPr>
          <w:fldChar w:fldCharType="separate"/>
        </w:r>
        <w:r w:rsidR="005D1A57">
          <w:rPr>
            <w:noProof/>
            <w:webHidden/>
          </w:rPr>
          <w:t>153</w:t>
        </w:r>
        <w:r w:rsidR="006C4ACA">
          <w:rPr>
            <w:noProof/>
            <w:webHidden/>
          </w:rPr>
          <w:fldChar w:fldCharType="end"/>
        </w:r>
      </w:hyperlink>
    </w:p>
    <w:p w14:paraId="3BFBE697" w14:textId="647C935F" w:rsidR="006C4ACA" w:rsidRDefault="009D1534">
      <w:pPr>
        <w:pStyle w:val="TOC3"/>
        <w:rPr>
          <w:rFonts w:asciiTheme="minorHAnsi" w:eastAsiaTheme="minorEastAsia" w:hAnsiTheme="minorHAnsi" w:cstheme="minorBidi"/>
          <w:noProof/>
          <w:color w:val="auto"/>
          <w:sz w:val="22"/>
          <w:szCs w:val="22"/>
        </w:rPr>
      </w:pPr>
      <w:hyperlink w:anchor="_Toc27414354" w:history="1">
        <w:r w:rsidR="006C4ACA" w:rsidRPr="00E549CF">
          <w:rPr>
            <w:rStyle w:val="Hyperlink"/>
            <w:noProof/>
          </w:rPr>
          <w:t>Figure 12.5.3: Proportion of colorectal cancer patients receiving systemic anti-cancer therapy within recommended timelines, by age (A), sex (B), Indigenous status (C), language spoken at home (D), remoteness area (E), SES (F) and ICS (G), Victoria, 2014–2016</w:t>
        </w:r>
        <w:r w:rsidR="006C4ACA">
          <w:rPr>
            <w:noProof/>
            <w:webHidden/>
          </w:rPr>
          <w:tab/>
        </w:r>
        <w:r w:rsidR="006C4ACA">
          <w:rPr>
            <w:noProof/>
            <w:webHidden/>
          </w:rPr>
          <w:fldChar w:fldCharType="begin"/>
        </w:r>
        <w:r w:rsidR="006C4ACA">
          <w:rPr>
            <w:noProof/>
            <w:webHidden/>
          </w:rPr>
          <w:instrText xml:space="preserve"> PAGEREF _Toc27414354 \h </w:instrText>
        </w:r>
        <w:r w:rsidR="006C4ACA">
          <w:rPr>
            <w:noProof/>
            <w:webHidden/>
          </w:rPr>
        </w:r>
        <w:r w:rsidR="006C4ACA">
          <w:rPr>
            <w:noProof/>
            <w:webHidden/>
          </w:rPr>
          <w:fldChar w:fldCharType="separate"/>
        </w:r>
        <w:r w:rsidR="005D1A57">
          <w:rPr>
            <w:noProof/>
            <w:webHidden/>
          </w:rPr>
          <w:t>154</w:t>
        </w:r>
        <w:r w:rsidR="006C4ACA">
          <w:rPr>
            <w:noProof/>
            <w:webHidden/>
          </w:rPr>
          <w:fldChar w:fldCharType="end"/>
        </w:r>
      </w:hyperlink>
    </w:p>
    <w:p w14:paraId="49CA05FF" w14:textId="09B03C24" w:rsidR="006C4ACA" w:rsidRDefault="009D1534">
      <w:pPr>
        <w:pStyle w:val="TOC3"/>
        <w:rPr>
          <w:rFonts w:asciiTheme="minorHAnsi" w:eastAsiaTheme="minorEastAsia" w:hAnsiTheme="minorHAnsi" w:cstheme="minorBidi"/>
          <w:noProof/>
          <w:color w:val="auto"/>
          <w:sz w:val="22"/>
          <w:szCs w:val="22"/>
        </w:rPr>
      </w:pPr>
      <w:hyperlink w:anchor="_Toc27414355" w:history="1">
        <w:r w:rsidR="006C4ACA" w:rsidRPr="00E549CF">
          <w:rPr>
            <w:rStyle w:val="Hyperlink"/>
            <w:noProof/>
          </w:rPr>
          <w:t>Figure 12.5.4 Proportion of ovarian cancer patients receiving systemic anti-cancer therapy within recommended timelines, by age (A), sex (B), Indigenous status (C), language spoken at home (D), remoteness area (E), SES (F) and ICS (G), Victoria, 2014–2016</w:t>
        </w:r>
        <w:r w:rsidR="006C4ACA">
          <w:rPr>
            <w:noProof/>
            <w:webHidden/>
          </w:rPr>
          <w:tab/>
        </w:r>
        <w:r w:rsidR="006C4ACA">
          <w:rPr>
            <w:noProof/>
            <w:webHidden/>
          </w:rPr>
          <w:fldChar w:fldCharType="begin"/>
        </w:r>
        <w:r w:rsidR="006C4ACA">
          <w:rPr>
            <w:noProof/>
            <w:webHidden/>
          </w:rPr>
          <w:instrText xml:space="preserve"> PAGEREF _Toc27414355 \h </w:instrText>
        </w:r>
        <w:r w:rsidR="006C4ACA">
          <w:rPr>
            <w:noProof/>
            <w:webHidden/>
          </w:rPr>
        </w:r>
        <w:r w:rsidR="006C4ACA">
          <w:rPr>
            <w:noProof/>
            <w:webHidden/>
          </w:rPr>
          <w:fldChar w:fldCharType="separate"/>
        </w:r>
        <w:r w:rsidR="005D1A57">
          <w:rPr>
            <w:noProof/>
            <w:webHidden/>
          </w:rPr>
          <w:t>156</w:t>
        </w:r>
        <w:r w:rsidR="006C4ACA">
          <w:rPr>
            <w:noProof/>
            <w:webHidden/>
          </w:rPr>
          <w:fldChar w:fldCharType="end"/>
        </w:r>
      </w:hyperlink>
    </w:p>
    <w:p w14:paraId="6654EAFD" w14:textId="1AB97B3A" w:rsidR="006C4ACA" w:rsidRDefault="009D1534">
      <w:pPr>
        <w:pStyle w:val="TOC3"/>
        <w:rPr>
          <w:rFonts w:asciiTheme="minorHAnsi" w:eastAsiaTheme="minorEastAsia" w:hAnsiTheme="minorHAnsi" w:cstheme="minorBidi"/>
          <w:noProof/>
          <w:color w:val="auto"/>
          <w:sz w:val="22"/>
          <w:szCs w:val="22"/>
        </w:rPr>
      </w:pPr>
      <w:hyperlink w:anchor="_Toc27414356" w:history="1">
        <w:r w:rsidR="006C4ACA" w:rsidRPr="00E549CF">
          <w:rPr>
            <w:rStyle w:val="Hyperlink"/>
            <w:noProof/>
          </w:rPr>
          <w:t>Figure 12.6: Proportion and number of cancer-related oesophagectomies and pancreatectomies taking place at appropriate volume (facilities), by year, 2014–2016</w:t>
        </w:r>
        <w:r w:rsidR="006C4ACA">
          <w:rPr>
            <w:noProof/>
            <w:webHidden/>
          </w:rPr>
          <w:tab/>
        </w:r>
        <w:r w:rsidR="006C4ACA">
          <w:rPr>
            <w:noProof/>
            <w:webHidden/>
          </w:rPr>
          <w:fldChar w:fldCharType="begin"/>
        </w:r>
        <w:r w:rsidR="006C4ACA">
          <w:rPr>
            <w:noProof/>
            <w:webHidden/>
          </w:rPr>
          <w:instrText xml:space="preserve"> PAGEREF _Toc27414356 \h </w:instrText>
        </w:r>
        <w:r w:rsidR="006C4ACA">
          <w:rPr>
            <w:noProof/>
            <w:webHidden/>
          </w:rPr>
        </w:r>
        <w:r w:rsidR="006C4ACA">
          <w:rPr>
            <w:noProof/>
            <w:webHidden/>
          </w:rPr>
          <w:fldChar w:fldCharType="separate"/>
        </w:r>
        <w:r w:rsidR="005D1A57">
          <w:rPr>
            <w:noProof/>
            <w:webHidden/>
          </w:rPr>
          <w:t>159</w:t>
        </w:r>
        <w:r w:rsidR="006C4ACA">
          <w:rPr>
            <w:noProof/>
            <w:webHidden/>
          </w:rPr>
          <w:fldChar w:fldCharType="end"/>
        </w:r>
      </w:hyperlink>
    </w:p>
    <w:p w14:paraId="62C7E691" w14:textId="5293CC79" w:rsidR="006C4ACA" w:rsidRDefault="009D1534">
      <w:pPr>
        <w:pStyle w:val="TOC3"/>
        <w:rPr>
          <w:rFonts w:asciiTheme="minorHAnsi" w:eastAsiaTheme="minorEastAsia" w:hAnsiTheme="minorHAnsi" w:cstheme="minorBidi"/>
          <w:noProof/>
          <w:color w:val="auto"/>
          <w:sz w:val="22"/>
          <w:szCs w:val="22"/>
        </w:rPr>
      </w:pPr>
      <w:hyperlink w:anchor="_Toc27414357" w:history="1">
        <w:r w:rsidR="006C4ACA" w:rsidRPr="00E549CF">
          <w:rPr>
            <w:rStyle w:val="Hyperlink"/>
            <w:noProof/>
          </w:rPr>
          <w:t>Figure 12.8: Proportion of admitted cancer separations with a LOS &gt; 1 who have been coded as having malnutrition, by year, 2012–2017</w:t>
        </w:r>
        <w:r w:rsidR="006C4ACA">
          <w:rPr>
            <w:noProof/>
            <w:webHidden/>
          </w:rPr>
          <w:tab/>
        </w:r>
        <w:r w:rsidR="006C4ACA">
          <w:rPr>
            <w:noProof/>
            <w:webHidden/>
          </w:rPr>
          <w:fldChar w:fldCharType="begin"/>
        </w:r>
        <w:r w:rsidR="006C4ACA">
          <w:rPr>
            <w:noProof/>
            <w:webHidden/>
          </w:rPr>
          <w:instrText xml:space="preserve"> PAGEREF _Toc27414357 \h </w:instrText>
        </w:r>
        <w:r w:rsidR="006C4ACA">
          <w:rPr>
            <w:noProof/>
            <w:webHidden/>
          </w:rPr>
        </w:r>
        <w:r w:rsidR="006C4ACA">
          <w:rPr>
            <w:noProof/>
            <w:webHidden/>
          </w:rPr>
          <w:fldChar w:fldCharType="separate"/>
        </w:r>
        <w:r w:rsidR="005D1A57">
          <w:rPr>
            <w:noProof/>
            <w:webHidden/>
          </w:rPr>
          <w:t>162</w:t>
        </w:r>
        <w:r w:rsidR="006C4ACA">
          <w:rPr>
            <w:noProof/>
            <w:webHidden/>
          </w:rPr>
          <w:fldChar w:fldCharType="end"/>
        </w:r>
      </w:hyperlink>
    </w:p>
    <w:p w14:paraId="29E52FC7" w14:textId="397A9A92" w:rsidR="006C4ACA" w:rsidRDefault="009D1534">
      <w:pPr>
        <w:pStyle w:val="TOC3"/>
        <w:rPr>
          <w:rFonts w:asciiTheme="minorHAnsi" w:eastAsiaTheme="minorEastAsia" w:hAnsiTheme="minorHAnsi" w:cstheme="minorBidi"/>
          <w:noProof/>
          <w:color w:val="auto"/>
          <w:sz w:val="22"/>
          <w:szCs w:val="22"/>
        </w:rPr>
      </w:pPr>
      <w:hyperlink w:anchor="_Toc27414358" w:history="1">
        <w:r w:rsidR="006C4ACA" w:rsidRPr="00E549CF">
          <w:rPr>
            <w:rStyle w:val="Hyperlink"/>
            <w:noProof/>
          </w:rPr>
          <w:t>Figure 12.9: Proportion of cancer patients who reported being involved in decisions about their care and treatment as much as they wanted to in 2018</w:t>
        </w:r>
        <w:r w:rsidR="006C4ACA">
          <w:rPr>
            <w:noProof/>
            <w:webHidden/>
          </w:rPr>
          <w:tab/>
        </w:r>
        <w:r w:rsidR="006C4ACA">
          <w:rPr>
            <w:noProof/>
            <w:webHidden/>
          </w:rPr>
          <w:fldChar w:fldCharType="begin"/>
        </w:r>
        <w:r w:rsidR="006C4ACA">
          <w:rPr>
            <w:noProof/>
            <w:webHidden/>
          </w:rPr>
          <w:instrText xml:space="preserve"> PAGEREF _Toc27414358 \h </w:instrText>
        </w:r>
        <w:r w:rsidR="006C4ACA">
          <w:rPr>
            <w:noProof/>
            <w:webHidden/>
          </w:rPr>
        </w:r>
        <w:r w:rsidR="006C4ACA">
          <w:rPr>
            <w:noProof/>
            <w:webHidden/>
          </w:rPr>
          <w:fldChar w:fldCharType="separate"/>
        </w:r>
        <w:r w:rsidR="005D1A57">
          <w:rPr>
            <w:noProof/>
            <w:webHidden/>
          </w:rPr>
          <w:t>163</w:t>
        </w:r>
        <w:r w:rsidR="006C4ACA">
          <w:rPr>
            <w:noProof/>
            <w:webHidden/>
          </w:rPr>
          <w:fldChar w:fldCharType="end"/>
        </w:r>
      </w:hyperlink>
    </w:p>
    <w:p w14:paraId="5866BCBC" w14:textId="28D8CB5C" w:rsidR="006C4ACA" w:rsidRDefault="009D1534">
      <w:pPr>
        <w:pStyle w:val="TOC3"/>
        <w:rPr>
          <w:rFonts w:asciiTheme="minorHAnsi" w:eastAsiaTheme="minorEastAsia" w:hAnsiTheme="minorHAnsi" w:cstheme="minorBidi"/>
          <w:noProof/>
          <w:color w:val="auto"/>
          <w:sz w:val="22"/>
          <w:szCs w:val="22"/>
        </w:rPr>
      </w:pPr>
      <w:hyperlink w:anchor="_Toc27414359" w:history="1">
        <w:r w:rsidR="006C4ACA" w:rsidRPr="00E549CF">
          <w:rPr>
            <w:rStyle w:val="Hyperlink"/>
            <w:noProof/>
          </w:rPr>
          <w:t>Figure 12.10: Proportion of documented evidence of multidisciplinary team recommendations, 2014, 2015 and 2017</w:t>
        </w:r>
        <w:r w:rsidR="006C4ACA">
          <w:rPr>
            <w:noProof/>
            <w:webHidden/>
          </w:rPr>
          <w:tab/>
        </w:r>
        <w:r w:rsidR="006C4ACA">
          <w:rPr>
            <w:noProof/>
            <w:webHidden/>
          </w:rPr>
          <w:fldChar w:fldCharType="begin"/>
        </w:r>
        <w:r w:rsidR="006C4ACA">
          <w:rPr>
            <w:noProof/>
            <w:webHidden/>
          </w:rPr>
          <w:instrText xml:space="preserve"> PAGEREF _Toc27414359 \h </w:instrText>
        </w:r>
        <w:r w:rsidR="006C4ACA">
          <w:rPr>
            <w:noProof/>
            <w:webHidden/>
          </w:rPr>
        </w:r>
        <w:r w:rsidR="006C4ACA">
          <w:rPr>
            <w:noProof/>
            <w:webHidden/>
          </w:rPr>
          <w:fldChar w:fldCharType="separate"/>
        </w:r>
        <w:r w:rsidR="005D1A57">
          <w:rPr>
            <w:noProof/>
            <w:webHidden/>
          </w:rPr>
          <w:t>164</w:t>
        </w:r>
        <w:r w:rsidR="006C4ACA">
          <w:rPr>
            <w:noProof/>
            <w:webHidden/>
          </w:rPr>
          <w:fldChar w:fldCharType="end"/>
        </w:r>
      </w:hyperlink>
    </w:p>
    <w:p w14:paraId="78635129" w14:textId="7CA4FAAA" w:rsidR="006C4ACA" w:rsidRDefault="009D1534">
      <w:pPr>
        <w:pStyle w:val="TOC3"/>
        <w:rPr>
          <w:rFonts w:asciiTheme="minorHAnsi" w:eastAsiaTheme="minorEastAsia" w:hAnsiTheme="minorHAnsi" w:cstheme="minorBidi"/>
          <w:noProof/>
          <w:color w:val="auto"/>
          <w:sz w:val="22"/>
          <w:szCs w:val="22"/>
        </w:rPr>
      </w:pPr>
      <w:hyperlink w:anchor="_Toc27414360" w:history="1">
        <w:r w:rsidR="006C4ACA" w:rsidRPr="00E549CF">
          <w:rPr>
            <w:rStyle w:val="Hyperlink"/>
            <w:noProof/>
          </w:rPr>
          <w:t>Figure 12.10.2: Number (and percentage) of audited patients who had documented evidence of multidisciplinary team presented by tumour stream (all ICSs combined) of Victorians diagnosed in 2017</w:t>
        </w:r>
        <w:r w:rsidR="006C4ACA">
          <w:rPr>
            <w:noProof/>
            <w:webHidden/>
          </w:rPr>
          <w:tab/>
        </w:r>
        <w:r w:rsidR="006C4ACA">
          <w:rPr>
            <w:noProof/>
            <w:webHidden/>
          </w:rPr>
          <w:fldChar w:fldCharType="begin"/>
        </w:r>
        <w:r w:rsidR="006C4ACA">
          <w:rPr>
            <w:noProof/>
            <w:webHidden/>
          </w:rPr>
          <w:instrText xml:space="preserve"> PAGEREF _Toc27414360 \h </w:instrText>
        </w:r>
        <w:r w:rsidR="006C4ACA">
          <w:rPr>
            <w:noProof/>
            <w:webHidden/>
          </w:rPr>
        </w:r>
        <w:r w:rsidR="006C4ACA">
          <w:rPr>
            <w:noProof/>
            <w:webHidden/>
          </w:rPr>
          <w:fldChar w:fldCharType="separate"/>
        </w:r>
        <w:r w:rsidR="005D1A57">
          <w:rPr>
            <w:noProof/>
            <w:webHidden/>
          </w:rPr>
          <w:t>165</w:t>
        </w:r>
        <w:r w:rsidR="006C4ACA">
          <w:rPr>
            <w:noProof/>
            <w:webHidden/>
          </w:rPr>
          <w:fldChar w:fldCharType="end"/>
        </w:r>
      </w:hyperlink>
    </w:p>
    <w:p w14:paraId="152D7C12" w14:textId="5D6737AF" w:rsidR="006C4ACA" w:rsidRDefault="009D1534">
      <w:pPr>
        <w:pStyle w:val="TOC3"/>
        <w:rPr>
          <w:rFonts w:asciiTheme="minorHAnsi" w:eastAsiaTheme="minorEastAsia" w:hAnsiTheme="minorHAnsi" w:cstheme="minorBidi"/>
          <w:noProof/>
          <w:color w:val="auto"/>
          <w:sz w:val="22"/>
          <w:szCs w:val="22"/>
        </w:rPr>
      </w:pPr>
      <w:hyperlink w:anchor="_Toc27414361" w:history="1">
        <w:r w:rsidR="006C4ACA" w:rsidRPr="00E549CF">
          <w:rPr>
            <w:rStyle w:val="Hyperlink"/>
            <w:noProof/>
          </w:rPr>
          <w:t>Figure 12.12: Proportion of patients receiving specialist palliative care within 12 months prior to death, by ICS, 2014–2016</w:t>
        </w:r>
        <w:r w:rsidR="006C4ACA">
          <w:rPr>
            <w:noProof/>
            <w:webHidden/>
          </w:rPr>
          <w:tab/>
        </w:r>
        <w:r w:rsidR="006C4ACA">
          <w:rPr>
            <w:noProof/>
            <w:webHidden/>
          </w:rPr>
          <w:fldChar w:fldCharType="begin"/>
        </w:r>
        <w:r w:rsidR="006C4ACA">
          <w:rPr>
            <w:noProof/>
            <w:webHidden/>
          </w:rPr>
          <w:instrText xml:space="preserve"> PAGEREF _Toc27414361 \h </w:instrText>
        </w:r>
        <w:r w:rsidR="006C4ACA">
          <w:rPr>
            <w:noProof/>
            <w:webHidden/>
          </w:rPr>
        </w:r>
        <w:r w:rsidR="006C4ACA">
          <w:rPr>
            <w:noProof/>
            <w:webHidden/>
          </w:rPr>
          <w:fldChar w:fldCharType="separate"/>
        </w:r>
        <w:r w:rsidR="005D1A57">
          <w:rPr>
            <w:noProof/>
            <w:webHidden/>
          </w:rPr>
          <w:t>167</w:t>
        </w:r>
        <w:r w:rsidR="006C4ACA">
          <w:rPr>
            <w:noProof/>
            <w:webHidden/>
          </w:rPr>
          <w:fldChar w:fldCharType="end"/>
        </w:r>
      </w:hyperlink>
    </w:p>
    <w:p w14:paraId="0CFD80DB" w14:textId="5875224A" w:rsidR="006C4ACA" w:rsidRDefault="009D1534">
      <w:pPr>
        <w:pStyle w:val="TOC3"/>
        <w:rPr>
          <w:rFonts w:asciiTheme="minorHAnsi" w:eastAsiaTheme="minorEastAsia" w:hAnsiTheme="minorHAnsi" w:cstheme="minorBidi"/>
          <w:noProof/>
          <w:color w:val="auto"/>
          <w:sz w:val="22"/>
          <w:szCs w:val="22"/>
        </w:rPr>
      </w:pPr>
      <w:hyperlink w:anchor="_Toc27414362" w:history="1">
        <w:r w:rsidR="006C4ACA" w:rsidRPr="00E549CF">
          <w:rPr>
            <w:rStyle w:val="Hyperlink"/>
            <w:noProof/>
          </w:rPr>
          <w:t>Figure 12.13: Proportion of patients receiving aggressive interventions (SACT, radical radiation, ICU) within 30 days prior to death, by year, 2014–2016</w:t>
        </w:r>
        <w:r w:rsidR="006C4ACA">
          <w:rPr>
            <w:noProof/>
            <w:webHidden/>
          </w:rPr>
          <w:tab/>
        </w:r>
        <w:r w:rsidR="006C4ACA">
          <w:rPr>
            <w:noProof/>
            <w:webHidden/>
          </w:rPr>
          <w:fldChar w:fldCharType="begin"/>
        </w:r>
        <w:r w:rsidR="006C4ACA">
          <w:rPr>
            <w:noProof/>
            <w:webHidden/>
          </w:rPr>
          <w:instrText xml:space="preserve"> PAGEREF _Toc27414362 \h </w:instrText>
        </w:r>
        <w:r w:rsidR="006C4ACA">
          <w:rPr>
            <w:noProof/>
            <w:webHidden/>
          </w:rPr>
        </w:r>
        <w:r w:rsidR="006C4ACA">
          <w:rPr>
            <w:noProof/>
            <w:webHidden/>
          </w:rPr>
          <w:fldChar w:fldCharType="separate"/>
        </w:r>
        <w:r w:rsidR="005D1A57">
          <w:rPr>
            <w:noProof/>
            <w:webHidden/>
          </w:rPr>
          <w:t>169</w:t>
        </w:r>
        <w:r w:rsidR="006C4ACA">
          <w:rPr>
            <w:noProof/>
            <w:webHidden/>
          </w:rPr>
          <w:fldChar w:fldCharType="end"/>
        </w:r>
      </w:hyperlink>
    </w:p>
    <w:p w14:paraId="7444FB84" w14:textId="4F0D700A" w:rsidR="006C4ACA" w:rsidRDefault="009D1534">
      <w:pPr>
        <w:pStyle w:val="TOC3"/>
        <w:rPr>
          <w:rFonts w:asciiTheme="minorHAnsi" w:eastAsiaTheme="minorEastAsia" w:hAnsiTheme="minorHAnsi" w:cstheme="minorBidi"/>
          <w:noProof/>
          <w:color w:val="auto"/>
          <w:sz w:val="22"/>
          <w:szCs w:val="22"/>
        </w:rPr>
      </w:pPr>
      <w:hyperlink w:anchor="_Toc27414363" w:history="1">
        <w:r w:rsidR="006C4ACA" w:rsidRPr="00E549CF">
          <w:rPr>
            <w:rStyle w:val="Hyperlink"/>
            <w:noProof/>
          </w:rPr>
          <w:t>Figure 12.14: Proportion of deaths due to cancer that occur in hospitals, by ICS and state, 2014–2016</w:t>
        </w:r>
        <w:r w:rsidR="006C4ACA">
          <w:rPr>
            <w:noProof/>
            <w:webHidden/>
          </w:rPr>
          <w:tab/>
        </w:r>
        <w:r w:rsidR="006C4ACA">
          <w:rPr>
            <w:noProof/>
            <w:webHidden/>
          </w:rPr>
          <w:fldChar w:fldCharType="begin"/>
        </w:r>
        <w:r w:rsidR="006C4ACA">
          <w:rPr>
            <w:noProof/>
            <w:webHidden/>
          </w:rPr>
          <w:instrText xml:space="preserve"> PAGEREF _Toc27414363 \h </w:instrText>
        </w:r>
        <w:r w:rsidR="006C4ACA">
          <w:rPr>
            <w:noProof/>
            <w:webHidden/>
          </w:rPr>
        </w:r>
        <w:r w:rsidR="006C4ACA">
          <w:rPr>
            <w:noProof/>
            <w:webHidden/>
          </w:rPr>
          <w:fldChar w:fldCharType="separate"/>
        </w:r>
        <w:r w:rsidR="005D1A57">
          <w:rPr>
            <w:noProof/>
            <w:webHidden/>
          </w:rPr>
          <w:t>171</w:t>
        </w:r>
        <w:r w:rsidR="006C4ACA">
          <w:rPr>
            <w:noProof/>
            <w:webHidden/>
          </w:rPr>
          <w:fldChar w:fldCharType="end"/>
        </w:r>
      </w:hyperlink>
    </w:p>
    <w:p w14:paraId="1571EC5E" w14:textId="1DF9166F" w:rsidR="006C4ACA" w:rsidRDefault="009D1534">
      <w:pPr>
        <w:pStyle w:val="TOC3"/>
        <w:rPr>
          <w:rFonts w:asciiTheme="minorHAnsi" w:eastAsiaTheme="minorEastAsia" w:hAnsiTheme="minorHAnsi" w:cstheme="minorBidi"/>
          <w:noProof/>
          <w:color w:val="auto"/>
          <w:sz w:val="22"/>
          <w:szCs w:val="22"/>
        </w:rPr>
      </w:pPr>
      <w:hyperlink w:anchor="_Toc27414364" w:history="1">
        <w:r w:rsidR="006C4ACA" w:rsidRPr="00E549CF">
          <w:rPr>
            <w:rStyle w:val="Hyperlink"/>
            <w:noProof/>
          </w:rPr>
          <w:t>Figure 13.1: Trends in one-year relative survival from all cancers (combined)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_Toc27414364 \h </w:instrText>
        </w:r>
        <w:r w:rsidR="006C4ACA">
          <w:rPr>
            <w:noProof/>
            <w:webHidden/>
          </w:rPr>
        </w:r>
        <w:r w:rsidR="006C4ACA">
          <w:rPr>
            <w:noProof/>
            <w:webHidden/>
          </w:rPr>
          <w:fldChar w:fldCharType="separate"/>
        </w:r>
        <w:r w:rsidR="005D1A57">
          <w:rPr>
            <w:noProof/>
            <w:webHidden/>
          </w:rPr>
          <w:t>173</w:t>
        </w:r>
        <w:r w:rsidR="006C4ACA">
          <w:rPr>
            <w:noProof/>
            <w:webHidden/>
          </w:rPr>
          <w:fldChar w:fldCharType="end"/>
        </w:r>
      </w:hyperlink>
    </w:p>
    <w:p w14:paraId="4E859DE6" w14:textId="2830466A" w:rsidR="006C4ACA" w:rsidRDefault="009D1534">
      <w:pPr>
        <w:pStyle w:val="TOC3"/>
        <w:rPr>
          <w:rFonts w:asciiTheme="minorHAnsi" w:eastAsiaTheme="minorEastAsia" w:hAnsiTheme="minorHAnsi" w:cstheme="minorBidi"/>
          <w:noProof/>
          <w:color w:val="auto"/>
          <w:sz w:val="22"/>
          <w:szCs w:val="22"/>
        </w:rPr>
      </w:pPr>
      <w:hyperlink w:anchor="_Toc27414365" w:history="1">
        <w:r w:rsidR="006C4ACA" w:rsidRPr="00E549CF">
          <w:rPr>
            <w:rStyle w:val="Hyperlink"/>
            <w:noProof/>
          </w:rPr>
          <w:t>Figure 13.2: Trends in one-year relative survival from lung cancer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_Toc27414365 \h </w:instrText>
        </w:r>
        <w:r w:rsidR="006C4ACA">
          <w:rPr>
            <w:noProof/>
            <w:webHidden/>
          </w:rPr>
        </w:r>
        <w:r w:rsidR="006C4ACA">
          <w:rPr>
            <w:noProof/>
            <w:webHidden/>
          </w:rPr>
          <w:fldChar w:fldCharType="separate"/>
        </w:r>
        <w:r w:rsidR="005D1A57">
          <w:rPr>
            <w:noProof/>
            <w:webHidden/>
          </w:rPr>
          <w:t>175</w:t>
        </w:r>
        <w:r w:rsidR="006C4ACA">
          <w:rPr>
            <w:noProof/>
            <w:webHidden/>
          </w:rPr>
          <w:fldChar w:fldCharType="end"/>
        </w:r>
      </w:hyperlink>
    </w:p>
    <w:p w14:paraId="770772E4" w14:textId="1EB4E74F" w:rsidR="006C4ACA" w:rsidRDefault="009D1534">
      <w:pPr>
        <w:pStyle w:val="TOC3"/>
        <w:rPr>
          <w:rFonts w:asciiTheme="minorHAnsi" w:eastAsiaTheme="minorEastAsia" w:hAnsiTheme="minorHAnsi" w:cstheme="minorBidi"/>
          <w:noProof/>
          <w:color w:val="auto"/>
          <w:sz w:val="22"/>
          <w:szCs w:val="22"/>
        </w:rPr>
      </w:pPr>
      <w:hyperlink w:anchor="_Toc27414366" w:history="1">
        <w:r w:rsidR="006C4ACA" w:rsidRPr="00E549CF">
          <w:rPr>
            <w:rStyle w:val="Hyperlink"/>
            <w:noProof/>
          </w:rPr>
          <w:t>Figure 13.3: Trends in one-year relative survival from pancreatic cancer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_Toc27414366 \h </w:instrText>
        </w:r>
        <w:r w:rsidR="006C4ACA">
          <w:rPr>
            <w:noProof/>
            <w:webHidden/>
          </w:rPr>
        </w:r>
        <w:r w:rsidR="006C4ACA">
          <w:rPr>
            <w:noProof/>
            <w:webHidden/>
          </w:rPr>
          <w:fldChar w:fldCharType="separate"/>
        </w:r>
        <w:r w:rsidR="005D1A57">
          <w:rPr>
            <w:noProof/>
            <w:webHidden/>
          </w:rPr>
          <w:t>177</w:t>
        </w:r>
        <w:r w:rsidR="006C4ACA">
          <w:rPr>
            <w:noProof/>
            <w:webHidden/>
          </w:rPr>
          <w:fldChar w:fldCharType="end"/>
        </w:r>
      </w:hyperlink>
    </w:p>
    <w:p w14:paraId="73CF9C12" w14:textId="1A84173B" w:rsidR="006C4ACA" w:rsidRDefault="009D1534">
      <w:pPr>
        <w:pStyle w:val="TOC3"/>
        <w:rPr>
          <w:rFonts w:asciiTheme="minorHAnsi" w:eastAsiaTheme="minorEastAsia" w:hAnsiTheme="minorHAnsi" w:cstheme="minorBidi"/>
          <w:noProof/>
          <w:color w:val="auto"/>
          <w:sz w:val="22"/>
          <w:szCs w:val="22"/>
        </w:rPr>
      </w:pPr>
      <w:hyperlink w:anchor="_Toc27414367" w:history="1">
        <w:r w:rsidR="006C4ACA" w:rsidRPr="00E549CF">
          <w:rPr>
            <w:rStyle w:val="Hyperlink"/>
            <w:noProof/>
          </w:rPr>
          <w:t>Figure 13.4: Trends in one-year relative survival from ovarian cancer overall (A) and by age (B), remoteness (C) and ICS (D), Victoria, by year, 2010–2016</w:t>
        </w:r>
        <w:r w:rsidR="006C4ACA">
          <w:rPr>
            <w:noProof/>
            <w:webHidden/>
          </w:rPr>
          <w:tab/>
        </w:r>
        <w:r w:rsidR="006C4ACA">
          <w:rPr>
            <w:noProof/>
            <w:webHidden/>
          </w:rPr>
          <w:fldChar w:fldCharType="begin"/>
        </w:r>
        <w:r w:rsidR="006C4ACA">
          <w:rPr>
            <w:noProof/>
            <w:webHidden/>
          </w:rPr>
          <w:instrText xml:space="preserve"> PAGEREF _Toc27414367 \h </w:instrText>
        </w:r>
        <w:r w:rsidR="006C4ACA">
          <w:rPr>
            <w:noProof/>
            <w:webHidden/>
          </w:rPr>
        </w:r>
        <w:r w:rsidR="006C4ACA">
          <w:rPr>
            <w:noProof/>
            <w:webHidden/>
          </w:rPr>
          <w:fldChar w:fldCharType="separate"/>
        </w:r>
        <w:r w:rsidR="005D1A57">
          <w:rPr>
            <w:noProof/>
            <w:webHidden/>
          </w:rPr>
          <w:t>179</w:t>
        </w:r>
        <w:r w:rsidR="006C4ACA">
          <w:rPr>
            <w:noProof/>
            <w:webHidden/>
          </w:rPr>
          <w:fldChar w:fldCharType="end"/>
        </w:r>
      </w:hyperlink>
    </w:p>
    <w:p w14:paraId="7EA3597E" w14:textId="2504A3C0" w:rsidR="006C4ACA" w:rsidRDefault="009D1534">
      <w:pPr>
        <w:pStyle w:val="TOC3"/>
        <w:rPr>
          <w:rFonts w:asciiTheme="minorHAnsi" w:eastAsiaTheme="minorEastAsia" w:hAnsiTheme="minorHAnsi" w:cstheme="minorBidi"/>
          <w:noProof/>
          <w:color w:val="auto"/>
          <w:sz w:val="22"/>
          <w:szCs w:val="22"/>
        </w:rPr>
      </w:pPr>
      <w:hyperlink w:anchor="_Toc27414368" w:history="1">
        <w:r w:rsidR="006C4ACA" w:rsidRPr="00E549CF">
          <w:rPr>
            <w:rStyle w:val="Hyperlink"/>
            <w:noProof/>
          </w:rPr>
          <w:t>Figure 13.5: Trends in one-year relative survival from colorectal cancer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_Toc27414368 \h </w:instrText>
        </w:r>
        <w:r w:rsidR="006C4ACA">
          <w:rPr>
            <w:noProof/>
            <w:webHidden/>
          </w:rPr>
        </w:r>
        <w:r w:rsidR="006C4ACA">
          <w:rPr>
            <w:noProof/>
            <w:webHidden/>
          </w:rPr>
          <w:fldChar w:fldCharType="separate"/>
        </w:r>
        <w:r w:rsidR="005D1A57">
          <w:rPr>
            <w:noProof/>
            <w:webHidden/>
          </w:rPr>
          <w:t>181</w:t>
        </w:r>
        <w:r w:rsidR="006C4ACA">
          <w:rPr>
            <w:noProof/>
            <w:webHidden/>
          </w:rPr>
          <w:fldChar w:fldCharType="end"/>
        </w:r>
      </w:hyperlink>
    </w:p>
    <w:p w14:paraId="5BAD39D2" w14:textId="3B50F028" w:rsidR="006C4ACA" w:rsidRDefault="009D1534">
      <w:pPr>
        <w:pStyle w:val="TOC3"/>
        <w:rPr>
          <w:rFonts w:asciiTheme="minorHAnsi" w:eastAsiaTheme="minorEastAsia" w:hAnsiTheme="minorHAnsi" w:cstheme="minorBidi"/>
          <w:noProof/>
          <w:color w:val="auto"/>
          <w:sz w:val="22"/>
          <w:szCs w:val="22"/>
        </w:rPr>
      </w:pPr>
      <w:hyperlink w:anchor="_Toc27414369" w:history="1">
        <w:r w:rsidR="006C4ACA" w:rsidRPr="00E549CF">
          <w:rPr>
            <w:rStyle w:val="Hyperlink"/>
            <w:noProof/>
          </w:rPr>
          <w:t>Figure 13.6: Trends in one-year relative survival from brain cancer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_Toc27414369 \h </w:instrText>
        </w:r>
        <w:r w:rsidR="006C4ACA">
          <w:rPr>
            <w:noProof/>
            <w:webHidden/>
          </w:rPr>
        </w:r>
        <w:r w:rsidR="006C4ACA">
          <w:rPr>
            <w:noProof/>
            <w:webHidden/>
          </w:rPr>
          <w:fldChar w:fldCharType="separate"/>
        </w:r>
        <w:r w:rsidR="005D1A57">
          <w:rPr>
            <w:noProof/>
            <w:webHidden/>
          </w:rPr>
          <w:t>183</w:t>
        </w:r>
        <w:r w:rsidR="006C4ACA">
          <w:rPr>
            <w:noProof/>
            <w:webHidden/>
          </w:rPr>
          <w:fldChar w:fldCharType="end"/>
        </w:r>
      </w:hyperlink>
    </w:p>
    <w:p w14:paraId="1F9021A8" w14:textId="1FD440CA" w:rsidR="006C4ACA" w:rsidRDefault="009D1534">
      <w:pPr>
        <w:pStyle w:val="TOC3"/>
        <w:rPr>
          <w:rFonts w:asciiTheme="minorHAnsi" w:eastAsiaTheme="minorEastAsia" w:hAnsiTheme="minorHAnsi" w:cstheme="minorBidi"/>
          <w:noProof/>
          <w:color w:val="auto"/>
          <w:sz w:val="22"/>
          <w:szCs w:val="22"/>
        </w:rPr>
      </w:pPr>
      <w:hyperlink w:anchor="_Toc27414370" w:history="1">
        <w:r w:rsidR="006C4ACA" w:rsidRPr="00E549CF">
          <w:rPr>
            <w:rStyle w:val="Hyperlink"/>
            <w:noProof/>
          </w:rPr>
          <w:t>Figure 13.7: Trends in one-year relative survival from oesophagus cancer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_Toc27414370 \h </w:instrText>
        </w:r>
        <w:r w:rsidR="006C4ACA">
          <w:rPr>
            <w:noProof/>
            <w:webHidden/>
          </w:rPr>
        </w:r>
        <w:r w:rsidR="006C4ACA">
          <w:rPr>
            <w:noProof/>
            <w:webHidden/>
          </w:rPr>
          <w:fldChar w:fldCharType="separate"/>
        </w:r>
        <w:r w:rsidR="005D1A57">
          <w:rPr>
            <w:noProof/>
            <w:webHidden/>
          </w:rPr>
          <w:t>185</w:t>
        </w:r>
        <w:r w:rsidR="006C4ACA">
          <w:rPr>
            <w:noProof/>
            <w:webHidden/>
          </w:rPr>
          <w:fldChar w:fldCharType="end"/>
        </w:r>
      </w:hyperlink>
    </w:p>
    <w:p w14:paraId="7767E0E0" w14:textId="5014ECD4" w:rsidR="006C4ACA" w:rsidRDefault="009D1534">
      <w:pPr>
        <w:pStyle w:val="TOC3"/>
        <w:rPr>
          <w:rFonts w:asciiTheme="minorHAnsi" w:eastAsiaTheme="minorEastAsia" w:hAnsiTheme="minorHAnsi" w:cstheme="minorBidi"/>
          <w:noProof/>
          <w:color w:val="auto"/>
          <w:sz w:val="22"/>
          <w:szCs w:val="22"/>
        </w:rPr>
      </w:pPr>
      <w:hyperlink w:anchor="_Toc27414371" w:history="1">
        <w:r w:rsidR="006C4ACA" w:rsidRPr="00E549CF">
          <w:rPr>
            <w:rStyle w:val="Hyperlink"/>
            <w:noProof/>
          </w:rPr>
          <w:t>Figure 13.8: Trends in one-year relative survival from acute myeloid leukaemia overall (A) and by sex (B), age (C), remoteness (D) and ICS (E), Victoria, by year, 2010–2016</w:t>
        </w:r>
        <w:r w:rsidR="006C4ACA">
          <w:rPr>
            <w:noProof/>
            <w:webHidden/>
          </w:rPr>
          <w:tab/>
        </w:r>
        <w:r w:rsidR="006C4ACA">
          <w:rPr>
            <w:noProof/>
            <w:webHidden/>
          </w:rPr>
          <w:fldChar w:fldCharType="begin"/>
        </w:r>
        <w:r w:rsidR="006C4ACA">
          <w:rPr>
            <w:noProof/>
            <w:webHidden/>
          </w:rPr>
          <w:instrText xml:space="preserve"> PAGEREF _Toc27414371 \h </w:instrText>
        </w:r>
        <w:r w:rsidR="006C4ACA">
          <w:rPr>
            <w:noProof/>
            <w:webHidden/>
          </w:rPr>
        </w:r>
        <w:r w:rsidR="006C4ACA">
          <w:rPr>
            <w:noProof/>
            <w:webHidden/>
          </w:rPr>
          <w:fldChar w:fldCharType="separate"/>
        </w:r>
        <w:r w:rsidR="005D1A57">
          <w:rPr>
            <w:noProof/>
            <w:webHidden/>
          </w:rPr>
          <w:t>187</w:t>
        </w:r>
        <w:r w:rsidR="006C4ACA">
          <w:rPr>
            <w:noProof/>
            <w:webHidden/>
          </w:rPr>
          <w:fldChar w:fldCharType="end"/>
        </w:r>
      </w:hyperlink>
    </w:p>
    <w:p w14:paraId="672AF014" w14:textId="016C0AA1" w:rsidR="006C4ACA" w:rsidRDefault="009D1534">
      <w:pPr>
        <w:pStyle w:val="TOC3"/>
        <w:rPr>
          <w:rFonts w:asciiTheme="minorHAnsi" w:eastAsiaTheme="minorEastAsia" w:hAnsiTheme="minorHAnsi" w:cstheme="minorBidi"/>
          <w:noProof/>
          <w:color w:val="auto"/>
          <w:sz w:val="22"/>
          <w:szCs w:val="22"/>
        </w:rPr>
      </w:pPr>
      <w:hyperlink w:anchor="_Toc27414372" w:history="1">
        <w:r w:rsidR="006C4ACA" w:rsidRPr="00E549CF">
          <w:rPr>
            <w:rStyle w:val="Hyperlink"/>
            <w:noProof/>
          </w:rPr>
          <w:t>Figure 13.9: Five-year relative survival from all cancers (nationally) combined and selected cancer types, by sex, 2010–2014</w:t>
        </w:r>
        <w:r w:rsidR="006C4ACA">
          <w:rPr>
            <w:noProof/>
            <w:webHidden/>
          </w:rPr>
          <w:tab/>
        </w:r>
        <w:r w:rsidR="006C4ACA">
          <w:rPr>
            <w:noProof/>
            <w:webHidden/>
          </w:rPr>
          <w:fldChar w:fldCharType="begin"/>
        </w:r>
        <w:r w:rsidR="006C4ACA">
          <w:rPr>
            <w:noProof/>
            <w:webHidden/>
          </w:rPr>
          <w:instrText xml:space="preserve"> PAGEREF _Toc27414372 \h </w:instrText>
        </w:r>
        <w:r w:rsidR="006C4ACA">
          <w:rPr>
            <w:noProof/>
            <w:webHidden/>
          </w:rPr>
        </w:r>
        <w:r w:rsidR="006C4ACA">
          <w:rPr>
            <w:noProof/>
            <w:webHidden/>
          </w:rPr>
          <w:fldChar w:fldCharType="separate"/>
        </w:r>
        <w:r w:rsidR="005D1A57">
          <w:rPr>
            <w:noProof/>
            <w:webHidden/>
          </w:rPr>
          <w:t>189</w:t>
        </w:r>
        <w:r w:rsidR="006C4ACA">
          <w:rPr>
            <w:noProof/>
            <w:webHidden/>
          </w:rPr>
          <w:fldChar w:fldCharType="end"/>
        </w:r>
      </w:hyperlink>
    </w:p>
    <w:p w14:paraId="75490F19" w14:textId="4722CA81" w:rsidR="006C4ACA" w:rsidRDefault="009D1534">
      <w:pPr>
        <w:pStyle w:val="TOC3"/>
        <w:rPr>
          <w:rFonts w:asciiTheme="minorHAnsi" w:eastAsiaTheme="minorEastAsia" w:hAnsiTheme="minorHAnsi" w:cstheme="minorBidi"/>
          <w:noProof/>
          <w:color w:val="auto"/>
          <w:sz w:val="22"/>
          <w:szCs w:val="22"/>
        </w:rPr>
      </w:pPr>
      <w:hyperlink w:anchor="_Toc27414373" w:history="1">
        <w:r w:rsidR="006C4ACA" w:rsidRPr="00E549CF">
          <w:rPr>
            <w:rStyle w:val="Hyperlink"/>
            <w:noProof/>
          </w:rPr>
          <w:t>Figure 13.9.2: Five-year relative survival from all cancers combined,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_Toc27414373 \h </w:instrText>
        </w:r>
        <w:r w:rsidR="006C4ACA">
          <w:rPr>
            <w:noProof/>
            <w:webHidden/>
          </w:rPr>
        </w:r>
        <w:r w:rsidR="006C4ACA">
          <w:rPr>
            <w:noProof/>
            <w:webHidden/>
          </w:rPr>
          <w:fldChar w:fldCharType="separate"/>
        </w:r>
        <w:r w:rsidR="005D1A57">
          <w:rPr>
            <w:noProof/>
            <w:webHidden/>
          </w:rPr>
          <w:t>190</w:t>
        </w:r>
        <w:r w:rsidR="006C4ACA">
          <w:rPr>
            <w:noProof/>
            <w:webHidden/>
          </w:rPr>
          <w:fldChar w:fldCharType="end"/>
        </w:r>
      </w:hyperlink>
    </w:p>
    <w:p w14:paraId="0ED51823" w14:textId="7E739043" w:rsidR="006C4ACA" w:rsidRDefault="009D1534">
      <w:pPr>
        <w:pStyle w:val="TOC3"/>
        <w:rPr>
          <w:rFonts w:asciiTheme="minorHAnsi" w:eastAsiaTheme="minorEastAsia" w:hAnsiTheme="minorHAnsi" w:cstheme="minorBidi"/>
          <w:noProof/>
          <w:color w:val="auto"/>
          <w:sz w:val="22"/>
          <w:szCs w:val="22"/>
        </w:rPr>
      </w:pPr>
      <w:hyperlink w:anchor="_Toc27414374" w:history="1">
        <w:r w:rsidR="006C4ACA" w:rsidRPr="00E549CF">
          <w:rPr>
            <w:rStyle w:val="Hyperlink"/>
            <w:noProof/>
          </w:rPr>
          <w:t>Figure 13.10: Five-year relative survival from lung cancer (nationally), by age and sex, 2010–2014</w:t>
        </w:r>
        <w:r w:rsidR="006C4ACA">
          <w:rPr>
            <w:noProof/>
            <w:webHidden/>
          </w:rPr>
          <w:tab/>
        </w:r>
        <w:r w:rsidR="006C4ACA">
          <w:rPr>
            <w:noProof/>
            <w:webHidden/>
          </w:rPr>
          <w:fldChar w:fldCharType="begin"/>
        </w:r>
        <w:r w:rsidR="006C4ACA">
          <w:rPr>
            <w:noProof/>
            <w:webHidden/>
          </w:rPr>
          <w:instrText xml:space="preserve"> PAGEREF _Toc27414374 \h </w:instrText>
        </w:r>
        <w:r w:rsidR="006C4ACA">
          <w:rPr>
            <w:noProof/>
            <w:webHidden/>
          </w:rPr>
        </w:r>
        <w:r w:rsidR="006C4ACA">
          <w:rPr>
            <w:noProof/>
            <w:webHidden/>
          </w:rPr>
          <w:fldChar w:fldCharType="separate"/>
        </w:r>
        <w:r w:rsidR="005D1A57">
          <w:rPr>
            <w:noProof/>
            <w:webHidden/>
          </w:rPr>
          <w:t>193</w:t>
        </w:r>
        <w:r w:rsidR="006C4ACA">
          <w:rPr>
            <w:noProof/>
            <w:webHidden/>
          </w:rPr>
          <w:fldChar w:fldCharType="end"/>
        </w:r>
      </w:hyperlink>
    </w:p>
    <w:p w14:paraId="200BB97A" w14:textId="66D1E635" w:rsidR="006C4ACA" w:rsidRDefault="009D1534">
      <w:pPr>
        <w:pStyle w:val="TOC3"/>
        <w:rPr>
          <w:rFonts w:asciiTheme="minorHAnsi" w:eastAsiaTheme="minorEastAsia" w:hAnsiTheme="minorHAnsi" w:cstheme="minorBidi"/>
          <w:noProof/>
          <w:color w:val="auto"/>
          <w:sz w:val="22"/>
          <w:szCs w:val="22"/>
        </w:rPr>
      </w:pPr>
      <w:hyperlink w:anchor="_Toc27414375" w:history="1">
        <w:r w:rsidR="006C4ACA" w:rsidRPr="00E549CF">
          <w:rPr>
            <w:rStyle w:val="Hyperlink"/>
            <w:noProof/>
          </w:rPr>
          <w:t>Figure 13.10.1: Five-year relative survival from lung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_Toc27414375 \h </w:instrText>
        </w:r>
        <w:r w:rsidR="006C4ACA">
          <w:rPr>
            <w:noProof/>
            <w:webHidden/>
          </w:rPr>
        </w:r>
        <w:r w:rsidR="006C4ACA">
          <w:rPr>
            <w:noProof/>
            <w:webHidden/>
          </w:rPr>
          <w:fldChar w:fldCharType="separate"/>
        </w:r>
        <w:r w:rsidR="005D1A57">
          <w:rPr>
            <w:noProof/>
            <w:webHidden/>
          </w:rPr>
          <w:t>193</w:t>
        </w:r>
        <w:r w:rsidR="006C4ACA">
          <w:rPr>
            <w:noProof/>
            <w:webHidden/>
          </w:rPr>
          <w:fldChar w:fldCharType="end"/>
        </w:r>
      </w:hyperlink>
    </w:p>
    <w:p w14:paraId="7CD75116" w14:textId="57CB2C4E" w:rsidR="006C4ACA" w:rsidRDefault="009D1534">
      <w:pPr>
        <w:pStyle w:val="TOC3"/>
        <w:rPr>
          <w:rFonts w:asciiTheme="minorHAnsi" w:eastAsiaTheme="minorEastAsia" w:hAnsiTheme="minorHAnsi" w:cstheme="minorBidi"/>
          <w:noProof/>
          <w:color w:val="auto"/>
          <w:sz w:val="22"/>
          <w:szCs w:val="22"/>
        </w:rPr>
      </w:pPr>
      <w:hyperlink w:anchor="_Toc27414376" w:history="1">
        <w:r w:rsidR="006C4ACA" w:rsidRPr="00E549CF">
          <w:rPr>
            <w:rStyle w:val="Hyperlink"/>
            <w:noProof/>
          </w:rPr>
          <w:t>Figure 13.11: Five-year relative survival from pancreatic cancer (nationally), by age and sex, 2010–2014</w:t>
        </w:r>
        <w:r w:rsidR="006C4ACA">
          <w:rPr>
            <w:noProof/>
            <w:webHidden/>
          </w:rPr>
          <w:tab/>
        </w:r>
        <w:r w:rsidR="006C4ACA">
          <w:rPr>
            <w:noProof/>
            <w:webHidden/>
          </w:rPr>
          <w:fldChar w:fldCharType="begin"/>
        </w:r>
        <w:r w:rsidR="006C4ACA">
          <w:rPr>
            <w:noProof/>
            <w:webHidden/>
          </w:rPr>
          <w:instrText xml:space="preserve"> PAGEREF _Toc27414376 \h </w:instrText>
        </w:r>
        <w:r w:rsidR="006C4ACA">
          <w:rPr>
            <w:noProof/>
            <w:webHidden/>
          </w:rPr>
        </w:r>
        <w:r w:rsidR="006C4ACA">
          <w:rPr>
            <w:noProof/>
            <w:webHidden/>
          </w:rPr>
          <w:fldChar w:fldCharType="separate"/>
        </w:r>
        <w:r w:rsidR="005D1A57">
          <w:rPr>
            <w:noProof/>
            <w:webHidden/>
          </w:rPr>
          <w:t>195</w:t>
        </w:r>
        <w:r w:rsidR="006C4ACA">
          <w:rPr>
            <w:noProof/>
            <w:webHidden/>
          </w:rPr>
          <w:fldChar w:fldCharType="end"/>
        </w:r>
      </w:hyperlink>
    </w:p>
    <w:p w14:paraId="6B4EBC0A" w14:textId="5CAE7929" w:rsidR="006C4ACA" w:rsidRDefault="009D1534">
      <w:pPr>
        <w:pStyle w:val="TOC3"/>
        <w:rPr>
          <w:rFonts w:asciiTheme="minorHAnsi" w:eastAsiaTheme="minorEastAsia" w:hAnsiTheme="minorHAnsi" w:cstheme="minorBidi"/>
          <w:noProof/>
          <w:color w:val="auto"/>
          <w:sz w:val="22"/>
          <w:szCs w:val="22"/>
        </w:rPr>
      </w:pPr>
      <w:hyperlink w:anchor="_Toc27414377" w:history="1">
        <w:r w:rsidR="006C4ACA" w:rsidRPr="00E549CF">
          <w:rPr>
            <w:rStyle w:val="Hyperlink"/>
            <w:noProof/>
          </w:rPr>
          <w:t>Figure 13.11.1: Five-year relative survival from pancreatic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_Toc27414377 \h </w:instrText>
        </w:r>
        <w:r w:rsidR="006C4ACA">
          <w:rPr>
            <w:noProof/>
            <w:webHidden/>
          </w:rPr>
        </w:r>
        <w:r w:rsidR="006C4ACA">
          <w:rPr>
            <w:noProof/>
            <w:webHidden/>
          </w:rPr>
          <w:fldChar w:fldCharType="separate"/>
        </w:r>
        <w:r w:rsidR="005D1A57">
          <w:rPr>
            <w:noProof/>
            <w:webHidden/>
          </w:rPr>
          <w:t>195</w:t>
        </w:r>
        <w:r w:rsidR="006C4ACA">
          <w:rPr>
            <w:noProof/>
            <w:webHidden/>
          </w:rPr>
          <w:fldChar w:fldCharType="end"/>
        </w:r>
      </w:hyperlink>
    </w:p>
    <w:p w14:paraId="4690BFFF" w14:textId="203A4C45" w:rsidR="006C4ACA" w:rsidRDefault="009D1534">
      <w:pPr>
        <w:pStyle w:val="TOC3"/>
        <w:rPr>
          <w:rFonts w:asciiTheme="minorHAnsi" w:eastAsiaTheme="minorEastAsia" w:hAnsiTheme="minorHAnsi" w:cstheme="minorBidi"/>
          <w:noProof/>
          <w:color w:val="auto"/>
          <w:sz w:val="22"/>
          <w:szCs w:val="22"/>
        </w:rPr>
      </w:pPr>
      <w:hyperlink w:anchor="_Toc27414378" w:history="1">
        <w:r w:rsidR="006C4ACA" w:rsidRPr="00E549CF">
          <w:rPr>
            <w:rStyle w:val="Hyperlink"/>
            <w:noProof/>
          </w:rPr>
          <w:t>Figure 13.12: Five-year relative survival from ovarian cancer (nationally), by age, 2010–2014</w:t>
        </w:r>
        <w:r w:rsidR="006C4ACA">
          <w:rPr>
            <w:noProof/>
            <w:webHidden/>
          </w:rPr>
          <w:tab/>
        </w:r>
        <w:r w:rsidR="006C4ACA">
          <w:rPr>
            <w:noProof/>
            <w:webHidden/>
          </w:rPr>
          <w:fldChar w:fldCharType="begin"/>
        </w:r>
        <w:r w:rsidR="006C4ACA">
          <w:rPr>
            <w:noProof/>
            <w:webHidden/>
          </w:rPr>
          <w:instrText xml:space="preserve"> PAGEREF _Toc27414378 \h </w:instrText>
        </w:r>
        <w:r w:rsidR="006C4ACA">
          <w:rPr>
            <w:noProof/>
            <w:webHidden/>
          </w:rPr>
        </w:r>
        <w:r w:rsidR="006C4ACA">
          <w:rPr>
            <w:noProof/>
            <w:webHidden/>
          </w:rPr>
          <w:fldChar w:fldCharType="separate"/>
        </w:r>
        <w:r w:rsidR="005D1A57">
          <w:rPr>
            <w:noProof/>
            <w:webHidden/>
          </w:rPr>
          <w:t>197</w:t>
        </w:r>
        <w:r w:rsidR="006C4ACA">
          <w:rPr>
            <w:noProof/>
            <w:webHidden/>
          </w:rPr>
          <w:fldChar w:fldCharType="end"/>
        </w:r>
      </w:hyperlink>
    </w:p>
    <w:p w14:paraId="3A2276EC" w14:textId="6C92B4FF" w:rsidR="006C4ACA" w:rsidRDefault="009D1534">
      <w:pPr>
        <w:pStyle w:val="TOC3"/>
        <w:rPr>
          <w:rFonts w:asciiTheme="minorHAnsi" w:eastAsiaTheme="minorEastAsia" w:hAnsiTheme="minorHAnsi" w:cstheme="minorBidi"/>
          <w:noProof/>
          <w:color w:val="auto"/>
          <w:sz w:val="22"/>
          <w:szCs w:val="22"/>
        </w:rPr>
      </w:pPr>
      <w:hyperlink w:anchor="_Toc27414379" w:history="1">
        <w:r w:rsidR="006C4ACA" w:rsidRPr="00E549CF">
          <w:rPr>
            <w:rStyle w:val="Hyperlink"/>
            <w:noProof/>
          </w:rPr>
          <w:t>Figure 13.12.1: Five-year relative survival from ovarian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_Toc27414379 \h </w:instrText>
        </w:r>
        <w:r w:rsidR="006C4ACA">
          <w:rPr>
            <w:noProof/>
            <w:webHidden/>
          </w:rPr>
        </w:r>
        <w:r w:rsidR="006C4ACA">
          <w:rPr>
            <w:noProof/>
            <w:webHidden/>
          </w:rPr>
          <w:fldChar w:fldCharType="separate"/>
        </w:r>
        <w:r w:rsidR="005D1A57">
          <w:rPr>
            <w:noProof/>
            <w:webHidden/>
          </w:rPr>
          <w:t>197</w:t>
        </w:r>
        <w:r w:rsidR="006C4ACA">
          <w:rPr>
            <w:noProof/>
            <w:webHidden/>
          </w:rPr>
          <w:fldChar w:fldCharType="end"/>
        </w:r>
      </w:hyperlink>
    </w:p>
    <w:p w14:paraId="57391B0B" w14:textId="71747520" w:rsidR="006C4ACA" w:rsidRDefault="009D1534">
      <w:pPr>
        <w:pStyle w:val="TOC3"/>
        <w:rPr>
          <w:rFonts w:asciiTheme="minorHAnsi" w:eastAsiaTheme="minorEastAsia" w:hAnsiTheme="minorHAnsi" w:cstheme="minorBidi"/>
          <w:noProof/>
          <w:color w:val="auto"/>
          <w:sz w:val="22"/>
          <w:szCs w:val="22"/>
        </w:rPr>
      </w:pPr>
      <w:hyperlink w:anchor="_Toc27414380" w:history="1">
        <w:r w:rsidR="006C4ACA" w:rsidRPr="00E549CF">
          <w:rPr>
            <w:rStyle w:val="Hyperlink"/>
            <w:noProof/>
          </w:rPr>
          <w:t>Figure 13.13: Five-year relative survival from colorectal cancer (nationally), by age and sex, 2010–2014</w:t>
        </w:r>
        <w:r w:rsidR="006C4ACA">
          <w:rPr>
            <w:noProof/>
            <w:webHidden/>
          </w:rPr>
          <w:tab/>
        </w:r>
        <w:r w:rsidR="006C4ACA">
          <w:rPr>
            <w:noProof/>
            <w:webHidden/>
          </w:rPr>
          <w:fldChar w:fldCharType="begin"/>
        </w:r>
        <w:r w:rsidR="006C4ACA">
          <w:rPr>
            <w:noProof/>
            <w:webHidden/>
          </w:rPr>
          <w:instrText xml:space="preserve"> PAGEREF _Toc27414380 \h </w:instrText>
        </w:r>
        <w:r w:rsidR="006C4ACA">
          <w:rPr>
            <w:noProof/>
            <w:webHidden/>
          </w:rPr>
        </w:r>
        <w:r w:rsidR="006C4ACA">
          <w:rPr>
            <w:noProof/>
            <w:webHidden/>
          </w:rPr>
          <w:fldChar w:fldCharType="separate"/>
        </w:r>
        <w:r w:rsidR="005D1A57">
          <w:rPr>
            <w:noProof/>
            <w:webHidden/>
          </w:rPr>
          <w:t>199</w:t>
        </w:r>
        <w:r w:rsidR="006C4ACA">
          <w:rPr>
            <w:noProof/>
            <w:webHidden/>
          </w:rPr>
          <w:fldChar w:fldCharType="end"/>
        </w:r>
      </w:hyperlink>
    </w:p>
    <w:p w14:paraId="44CF50A2" w14:textId="6C31EE62" w:rsidR="006C4ACA" w:rsidRDefault="009D1534">
      <w:pPr>
        <w:pStyle w:val="TOC3"/>
        <w:rPr>
          <w:rFonts w:asciiTheme="minorHAnsi" w:eastAsiaTheme="minorEastAsia" w:hAnsiTheme="minorHAnsi" w:cstheme="minorBidi"/>
          <w:noProof/>
          <w:color w:val="auto"/>
          <w:sz w:val="22"/>
          <w:szCs w:val="22"/>
        </w:rPr>
      </w:pPr>
      <w:hyperlink w:anchor="_Toc27414381" w:history="1">
        <w:r w:rsidR="006C4ACA" w:rsidRPr="00E549CF">
          <w:rPr>
            <w:rStyle w:val="Hyperlink"/>
            <w:noProof/>
          </w:rPr>
          <w:t>Figure 13.13.1: Five-year relative survival from colorectal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_Toc27414381 \h </w:instrText>
        </w:r>
        <w:r w:rsidR="006C4ACA">
          <w:rPr>
            <w:noProof/>
            <w:webHidden/>
          </w:rPr>
        </w:r>
        <w:r w:rsidR="006C4ACA">
          <w:rPr>
            <w:noProof/>
            <w:webHidden/>
          </w:rPr>
          <w:fldChar w:fldCharType="separate"/>
        </w:r>
        <w:r w:rsidR="005D1A57">
          <w:rPr>
            <w:noProof/>
            <w:webHidden/>
          </w:rPr>
          <w:t>199</w:t>
        </w:r>
        <w:r w:rsidR="006C4ACA">
          <w:rPr>
            <w:noProof/>
            <w:webHidden/>
          </w:rPr>
          <w:fldChar w:fldCharType="end"/>
        </w:r>
      </w:hyperlink>
    </w:p>
    <w:p w14:paraId="6055364F" w14:textId="6DB4747B" w:rsidR="006C4ACA" w:rsidRDefault="009D1534">
      <w:pPr>
        <w:pStyle w:val="TOC3"/>
        <w:rPr>
          <w:rFonts w:asciiTheme="minorHAnsi" w:eastAsiaTheme="minorEastAsia" w:hAnsiTheme="minorHAnsi" w:cstheme="minorBidi"/>
          <w:noProof/>
          <w:color w:val="auto"/>
          <w:sz w:val="22"/>
          <w:szCs w:val="22"/>
        </w:rPr>
      </w:pPr>
      <w:hyperlink w:anchor="_Toc27414382" w:history="1">
        <w:r w:rsidR="006C4ACA" w:rsidRPr="00E549CF">
          <w:rPr>
            <w:rStyle w:val="Hyperlink"/>
            <w:noProof/>
          </w:rPr>
          <w:t>Figure 13.14: Five-year relative survival from brain cancer (nationally), by age and sex, 2010–2014</w:t>
        </w:r>
        <w:r w:rsidR="006C4ACA">
          <w:rPr>
            <w:noProof/>
            <w:webHidden/>
          </w:rPr>
          <w:tab/>
        </w:r>
        <w:r w:rsidR="006C4ACA">
          <w:rPr>
            <w:noProof/>
            <w:webHidden/>
          </w:rPr>
          <w:fldChar w:fldCharType="begin"/>
        </w:r>
        <w:r w:rsidR="006C4ACA">
          <w:rPr>
            <w:noProof/>
            <w:webHidden/>
          </w:rPr>
          <w:instrText xml:space="preserve"> PAGEREF _Toc27414382 \h </w:instrText>
        </w:r>
        <w:r w:rsidR="006C4ACA">
          <w:rPr>
            <w:noProof/>
            <w:webHidden/>
          </w:rPr>
        </w:r>
        <w:r w:rsidR="006C4ACA">
          <w:rPr>
            <w:noProof/>
            <w:webHidden/>
          </w:rPr>
          <w:fldChar w:fldCharType="separate"/>
        </w:r>
        <w:r w:rsidR="005D1A57">
          <w:rPr>
            <w:noProof/>
            <w:webHidden/>
          </w:rPr>
          <w:t>201</w:t>
        </w:r>
        <w:r w:rsidR="006C4ACA">
          <w:rPr>
            <w:noProof/>
            <w:webHidden/>
          </w:rPr>
          <w:fldChar w:fldCharType="end"/>
        </w:r>
      </w:hyperlink>
    </w:p>
    <w:p w14:paraId="40115E46" w14:textId="05C59CDF" w:rsidR="006C4ACA" w:rsidRDefault="009D1534">
      <w:pPr>
        <w:pStyle w:val="TOC3"/>
        <w:rPr>
          <w:rFonts w:asciiTheme="minorHAnsi" w:eastAsiaTheme="minorEastAsia" w:hAnsiTheme="minorHAnsi" w:cstheme="minorBidi"/>
          <w:noProof/>
          <w:color w:val="auto"/>
          <w:sz w:val="22"/>
          <w:szCs w:val="22"/>
        </w:rPr>
      </w:pPr>
      <w:hyperlink w:anchor="_Toc27414383" w:history="1">
        <w:r w:rsidR="006C4ACA" w:rsidRPr="00E549CF">
          <w:rPr>
            <w:rStyle w:val="Hyperlink"/>
            <w:noProof/>
          </w:rPr>
          <w:t>Figure 13.14.1: Five-year relative survival from brain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_Toc27414383 \h </w:instrText>
        </w:r>
        <w:r w:rsidR="006C4ACA">
          <w:rPr>
            <w:noProof/>
            <w:webHidden/>
          </w:rPr>
        </w:r>
        <w:r w:rsidR="006C4ACA">
          <w:rPr>
            <w:noProof/>
            <w:webHidden/>
          </w:rPr>
          <w:fldChar w:fldCharType="separate"/>
        </w:r>
        <w:r w:rsidR="005D1A57">
          <w:rPr>
            <w:noProof/>
            <w:webHidden/>
          </w:rPr>
          <w:t>201</w:t>
        </w:r>
        <w:r w:rsidR="006C4ACA">
          <w:rPr>
            <w:noProof/>
            <w:webHidden/>
          </w:rPr>
          <w:fldChar w:fldCharType="end"/>
        </w:r>
      </w:hyperlink>
    </w:p>
    <w:p w14:paraId="755A7AA5" w14:textId="242F0901" w:rsidR="006C4ACA" w:rsidRDefault="009D1534">
      <w:pPr>
        <w:pStyle w:val="TOC3"/>
        <w:rPr>
          <w:rFonts w:asciiTheme="minorHAnsi" w:eastAsiaTheme="minorEastAsia" w:hAnsiTheme="minorHAnsi" w:cstheme="minorBidi"/>
          <w:noProof/>
          <w:color w:val="auto"/>
          <w:sz w:val="22"/>
          <w:szCs w:val="22"/>
        </w:rPr>
      </w:pPr>
      <w:hyperlink w:anchor="_Toc27414384" w:history="1">
        <w:r w:rsidR="006C4ACA" w:rsidRPr="00E549CF">
          <w:rPr>
            <w:rStyle w:val="Hyperlink"/>
            <w:noProof/>
          </w:rPr>
          <w:t>Figure 13.15: Five-year relative survival from oesophagus cancer (nationally), by age and sex, 2010–2014</w:t>
        </w:r>
        <w:r w:rsidR="006C4ACA">
          <w:rPr>
            <w:noProof/>
            <w:webHidden/>
          </w:rPr>
          <w:tab/>
        </w:r>
        <w:r w:rsidR="006C4ACA">
          <w:rPr>
            <w:noProof/>
            <w:webHidden/>
          </w:rPr>
          <w:fldChar w:fldCharType="begin"/>
        </w:r>
        <w:r w:rsidR="006C4ACA">
          <w:rPr>
            <w:noProof/>
            <w:webHidden/>
          </w:rPr>
          <w:instrText xml:space="preserve"> PAGEREF _Toc27414384 \h </w:instrText>
        </w:r>
        <w:r w:rsidR="006C4ACA">
          <w:rPr>
            <w:noProof/>
            <w:webHidden/>
          </w:rPr>
        </w:r>
        <w:r w:rsidR="006C4ACA">
          <w:rPr>
            <w:noProof/>
            <w:webHidden/>
          </w:rPr>
          <w:fldChar w:fldCharType="separate"/>
        </w:r>
        <w:r w:rsidR="005D1A57">
          <w:rPr>
            <w:noProof/>
            <w:webHidden/>
          </w:rPr>
          <w:t>203</w:t>
        </w:r>
        <w:r w:rsidR="006C4ACA">
          <w:rPr>
            <w:noProof/>
            <w:webHidden/>
          </w:rPr>
          <w:fldChar w:fldCharType="end"/>
        </w:r>
      </w:hyperlink>
    </w:p>
    <w:p w14:paraId="2B1FF644" w14:textId="36079193" w:rsidR="006C4ACA" w:rsidRDefault="009D1534">
      <w:pPr>
        <w:pStyle w:val="TOC3"/>
        <w:rPr>
          <w:rFonts w:asciiTheme="minorHAnsi" w:eastAsiaTheme="minorEastAsia" w:hAnsiTheme="minorHAnsi" w:cstheme="minorBidi"/>
          <w:noProof/>
          <w:color w:val="auto"/>
          <w:sz w:val="22"/>
          <w:szCs w:val="22"/>
        </w:rPr>
      </w:pPr>
      <w:hyperlink w:anchor="_Toc27414385" w:history="1">
        <w:r w:rsidR="006C4ACA" w:rsidRPr="00E549CF">
          <w:rPr>
            <w:rStyle w:val="Hyperlink"/>
            <w:noProof/>
          </w:rPr>
          <w:t>Figure 13.15.1: Five-year relative survival from oesophagus cancer,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_Toc27414385 \h </w:instrText>
        </w:r>
        <w:r w:rsidR="006C4ACA">
          <w:rPr>
            <w:noProof/>
            <w:webHidden/>
          </w:rPr>
        </w:r>
        <w:r w:rsidR="006C4ACA">
          <w:rPr>
            <w:noProof/>
            <w:webHidden/>
          </w:rPr>
          <w:fldChar w:fldCharType="separate"/>
        </w:r>
        <w:r w:rsidR="005D1A57">
          <w:rPr>
            <w:noProof/>
            <w:webHidden/>
          </w:rPr>
          <w:t>203</w:t>
        </w:r>
        <w:r w:rsidR="006C4ACA">
          <w:rPr>
            <w:noProof/>
            <w:webHidden/>
          </w:rPr>
          <w:fldChar w:fldCharType="end"/>
        </w:r>
      </w:hyperlink>
    </w:p>
    <w:p w14:paraId="04375EF5" w14:textId="513A7F54" w:rsidR="006C4ACA" w:rsidRDefault="009D1534">
      <w:pPr>
        <w:pStyle w:val="TOC3"/>
        <w:rPr>
          <w:rFonts w:asciiTheme="minorHAnsi" w:eastAsiaTheme="minorEastAsia" w:hAnsiTheme="minorHAnsi" w:cstheme="minorBidi"/>
          <w:noProof/>
          <w:color w:val="auto"/>
          <w:sz w:val="22"/>
          <w:szCs w:val="22"/>
        </w:rPr>
      </w:pPr>
      <w:hyperlink w:anchor="_Toc27414386" w:history="1">
        <w:r w:rsidR="006C4ACA" w:rsidRPr="00E549CF">
          <w:rPr>
            <w:rStyle w:val="Hyperlink"/>
            <w:noProof/>
          </w:rPr>
          <w:t>Figure 13.16: Five-year relative survival from acute myeloid leukaemia, by age (A), remoteness (B), SES (C) and ICS (D), Victoria, 2010–2014</w:t>
        </w:r>
        <w:r w:rsidR="006C4ACA">
          <w:rPr>
            <w:noProof/>
            <w:webHidden/>
          </w:rPr>
          <w:tab/>
        </w:r>
        <w:r w:rsidR="006C4ACA">
          <w:rPr>
            <w:noProof/>
            <w:webHidden/>
          </w:rPr>
          <w:fldChar w:fldCharType="begin"/>
        </w:r>
        <w:r w:rsidR="006C4ACA">
          <w:rPr>
            <w:noProof/>
            <w:webHidden/>
          </w:rPr>
          <w:instrText xml:space="preserve"> PAGEREF _Toc27414386 \h </w:instrText>
        </w:r>
        <w:r w:rsidR="006C4ACA">
          <w:rPr>
            <w:noProof/>
            <w:webHidden/>
          </w:rPr>
        </w:r>
        <w:r w:rsidR="006C4ACA">
          <w:rPr>
            <w:noProof/>
            <w:webHidden/>
          </w:rPr>
          <w:fldChar w:fldCharType="separate"/>
        </w:r>
        <w:r w:rsidR="005D1A57">
          <w:rPr>
            <w:noProof/>
            <w:webHidden/>
          </w:rPr>
          <w:t>205</w:t>
        </w:r>
        <w:r w:rsidR="006C4ACA">
          <w:rPr>
            <w:noProof/>
            <w:webHidden/>
          </w:rPr>
          <w:fldChar w:fldCharType="end"/>
        </w:r>
      </w:hyperlink>
    </w:p>
    <w:p w14:paraId="5B427EB8" w14:textId="74691C0B" w:rsidR="006C4ACA" w:rsidRDefault="009D1534">
      <w:pPr>
        <w:pStyle w:val="TOC3"/>
        <w:rPr>
          <w:rFonts w:asciiTheme="minorHAnsi" w:eastAsiaTheme="minorEastAsia" w:hAnsiTheme="minorHAnsi" w:cstheme="minorBidi"/>
          <w:noProof/>
          <w:color w:val="auto"/>
          <w:sz w:val="22"/>
          <w:szCs w:val="22"/>
        </w:rPr>
      </w:pPr>
      <w:hyperlink w:anchor="_Toc27414387" w:history="1">
        <w:r w:rsidR="006C4ACA" w:rsidRPr="00E549CF">
          <w:rPr>
            <w:rStyle w:val="Hyperlink"/>
            <w:noProof/>
          </w:rPr>
          <w:t>Figure 15.1: Proportion of adults admitted to public hospitals due to cancer who reported being satisfied with the care received from all health professionals involved in their care in 2018</w:t>
        </w:r>
        <w:r w:rsidR="006C4ACA">
          <w:rPr>
            <w:noProof/>
            <w:webHidden/>
          </w:rPr>
          <w:tab/>
        </w:r>
        <w:r w:rsidR="006C4ACA">
          <w:rPr>
            <w:noProof/>
            <w:webHidden/>
          </w:rPr>
          <w:fldChar w:fldCharType="begin"/>
        </w:r>
        <w:r w:rsidR="006C4ACA">
          <w:rPr>
            <w:noProof/>
            <w:webHidden/>
          </w:rPr>
          <w:instrText xml:space="preserve"> PAGEREF _Toc27414387 \h </w:instrText>
        </w:r>
        <w:r w:rsidR="006C4ACA">
          <w:rPr>
            <w:noProof/>
            <w:webHidden/>
          </w:rPr>
        </w:r>
        <w:r w:rsidR="006C4ACA">
          <w:rPr>
            <w:noProof/>
            <w:webHidden/>
          </w:rPr>
          <w:fldChar w:fldCharType="separate"/>
        </w:r>
        <w:r w:rsidR="005D1A57">
          <w:rPr>
            <w:noProof/>
            <w:webHidden/>
          </w:rPr>
          <w:t>210</w:t>
        </w:r>
        <w:r w:rsidR="006C4ACA">
          <w:rPr>
            <w:noProof/>
            <w:webHidden/>
          </w:rPr>
          <w:fldChar w:fldCharType="end"/>
        </w:r>
      </w:hyperlink>
    </w:p>
    <w:p w14:paraId="21044F02" w14:textId="7E57F634" w:rsidR="006C4ACA" w:rsidRDefault="009D1534">
      <w:pPr>
        <w:pStyle w:val="TOC3"/>
        <w:rPr>
          <w:rFonts w:asciiTheme="minorHAnsi" w:eastAsiaTheme="minorEastAsia" w:hAnsiTheme="minorHAnsi" w:cstheme="minorBidi"/>
          <w:noProof/>
          <w:color w:val="auto"/>
          <w:sz w:val="22"/>
          <w:szCs w:val="22"/>
        </w:rPr>
      </w:pPr>
      <w:hyperlink w:anchor="_Toc27414388" w:history="1">
        <w:r w:rsidR="006C4ACA" w:rsidRPr="00E549CF">
          <w:rPr>
            <w:rStyle w:val="Hyperlink"/>
            <w:noProof/>
          </w:rPr>
          <w:t>Figure 16.1: Overall satisfaction with the breast screening process, 2014–2016</w:t>
        </w:r>
        <w:r w:rsidR="006C4ACA">
          <w:rPr>
            <w:noProof/>
            <w:webHidden/>
          </w:rPr>
          <w:tab/>
        </w:r>
        <w:r w:rsidR="006C4ACA">
          <w:rPr>
            <w:noProof/>
            <w:webHidden/>
          </w:rPr>
          <w:fldChar w:fldCharType="begin"/>
        </w:r>
        <w:r w:rsidR="006C4ACA">
          <w:rPr>
            <w:noProof/>
            <w:webHidden/>
          </w:rPr>
          <w:instrText xml:space="preserve"> PAGEREF _Toc27414388 \h </w:instrText>
        </w:r>
        <w:r w:rsidR="006C4ACA">
          <w:rPr>
            <w:noProof/>
            <w:webHidden/>
          </w:rPr>
        </w:r>
        <w:r w:rsidR="006C4ACA">
          <w:rPr>
            <w:noProof/>
            <w:webHidden/>
          </w:rPr>
          <w:fldChar w:fldCharType="separate"/>
        </w:r>
        <w:r w:rsidR="005D1A57">
          <w:rPr>
            <w:noProof/>
            <w:webHidden/>
          </w:rPr>
          <w:t>212</w:t>
        </w:r>
        <w:r w:rsidR="006C4ACA">
          <w:rPr>
            <w:noProof/>
            <w:webHidden/>
          </w:rPr>
          <w:fldChar w:fldCharType="end"/>
        </w:r>
      </w:hyperlink>
    </w:p>
    <w:p w14:paraId="3D57C45D" w14:textId="3299F00F" w:rsidR="006C4ACA" w:rsidRDefault="009D1534">
      <w:pPr>
        <w:pStyle w:val="TOC3"/>
        <w:rPr>
          <w:rFonts w:asciiTheme="minorHAnsi" w:eastAsiaTheme="minorEastAsia" w:hAnsiTheme="minorHAnsi" w:cstheme="minorBidi"/>
          <w:noProof/>
          <w:color w:val="auto"/>
          <w:sz w:val="22"/>
          <w:szCs w:val="22"/>
        </w:rPr>
      </w:pPr>
      <w:hyperlink w:anchor="_Toc27414389" w:history="1">
        <w:r w:rsidR="006C4ACA" w:rsidRPr="00E549CF">
          <w:rPr>
            <w:rStyle w:val="Hyperlink"/>
            <w:noProof/>
          </w:rPr>
          <w:t>Figure 16.2: Age-adjusted proportion of women screened during 2014 who rescreened within 27 months, first screening round, by state and territory, women aged 50–72 years</w:t>
        </w:r>
        <w:r w:rsidR="006C4ACA">
          <w:rPr>
            <w:noProof/>
            <w:webHidden/>
          </w:rPr>
          <w:tab/>
        </w:r>
        <w:r w:rsidR="006C4ACA">
          <w:rPr>
            <w:noProof/>
            <w:webHidden/>
          </w:rPr>
          <w:fldChar w:fldCharType="begin"/>
        </w:r>
        <w:r w:rsidR="006C4ACA">
          <w:rPr>
            <w:noProof/>
            <w:webHidden/>
          </w:rPr>
          <w:instrText xml:space="preserve"> PAGEREF _Toc27414389 \h </w:instrText>
        </w:r>
        <w:r w:rsidR="006C4ACA">
          <w:rPr>
            <w:noProof/>
            <w:webHidden/>
          </w:rPr>
        </w:r>
        <w:r w:rsidR="006C4ACA">
          <w:rPr>
            <w:noProof/>
            <w:webHidden/>
          </w:rPr>
          <w:fldChar w:fldCharType="separate"/>
        </w:r>
        <w:r w:rsidR="005D1A57">
          <w:rPr>
            <w:noProof/>
            <w:webHidden/>
          </w:rPr>
          <w:t>214</w:t>
        </w:r>
        <w:r w:rsidR="006C4ACA">
          <w:rPr>
            <w:noProof/>
            <w:webHidden/>
          </w:rPr>
          <w:fldChar w:fldCharType="end"/>
        </w:r>
      </w:hyperlink>
    </w:p>
    <w:p w14:paraId="6B14E5F2" w14:textId="19F93FDD" w:rsidR="006C4ACA" w:rsidRDefault="009D1534">
      <w:pPr>
        <w:pStyle w:val="TOC3"/>
        <w:rPr>
          <w:rFonts w:asciiTheme="minorHAnsi" w:eastAsiaTheme="minorEastAsia" w:hAnsiTheme="minorHAnsi" w:cstheme="minorBidi"/>
          <w:noProof/>
          <w:color w:val="auto"/>
          <w:sz w:val="22"/>
          <w:szCs w:val="22"/>
        </w:rPr>
      </w:pPr>
      <w:hyperlink w:anchor="_Toc27414390" w:history="1">
        <w:r w:rsidR="006C4ACA" w:rsidRPr="00E549CF">
          <w:rPr>
            <w:rStyle w:val="Hyperlink"/>
            <w:noProof/>
          </w:rPr>
          <w:t>Figure 16.3: Proportion and number of women aged 20–69 years who rescreened within three months of receiving a 27-month cervical screening register reminder letter sent in 2015, by state and territory</w:t>
        </w:r>
        <w:r w:rsidR="006C4ACA">
          <w:rPr>
            <w:noProof/>
            <w:webHidden/>
          </w:rPr>
          <w:tab/>
        </w:r>
        <w:r w:rsidR="006C4ACA">
          <w:rPr>
            <w:noProof/>
            <w:webHidden/>
          </w:rPr>
          <w:fldChar w:fldCharType="begin"/>
        </w:r>
        <w:r w:rsidR="006C4ACA">
          <w:rPr>
            <w:noProof/>
            <w:webHidden/>
          </w:rPr>
          <w:instrText xml:space="preserve"> PAGEREF _Toc27414390 \h </w:instrText>
        </w:r>
        <w:r w:rsidR="006C4ACA">
          <w:rPr>
            <w:noProof/>
            <w:webHidden/>
          </w:rPr>
        </w:r>
        <w:r w:rsidR="006C4ACA">
          <w:rPr>
            <w:noProof/>
            <w:webHidden/>
          </w:rPr>
          <w:fldChar w:fldCharType="separate"/>
        </w:r>
        <w:r w:rsidR="005D1A57">
          <w:rPr>
            <w:noProof/>
            <w:webHidden/>
          </w:rPr>
          <w:t>215</w:t>
        </w:r>
        <w:r w:rsidR="006C4ACA">
          <w:rPr>
            <w:noProof/>
            <w:webHidden/>
          </w:rPr>
          <w:fldChar w:fldCharType="end"/>
        </w:r>
      </w:hyperlink>
    </w:p>
    <w:p w14:paraId="1BC65DAB" w14:textId="357F9B2C" w:rsidR="006C4ACA" w:rsidRDefault="009D1534">
      <w:pPr>
        <w:pStyle w:val="TOC3"/>
        <w:rPr>
          <w:rFonts w:asciiTheme="minorHAnsi" w:eastAsiaTheme="minorEastAsia" w:hAnsiTheme="minorHAnsi" w:cstheme="minorBidi"/>
          <w:noProof/>
          <w:color w:val="auto"/>
          <w:sz w:val="22"/>
          <w:szCs w:val="22"/>
        </w:rPr>
      </w:pPr>
      <w:hyperlink w:anchor="_Toc27414391" w:history="1">
        <w:r w:rsidR="006C4ACA" w:rsidRPr="00E549CF">
          <w:rPr>
            <w:rStyle w:val="Hyperlink"/>
            <w:noProof/>
          </w:rPr>
          <w:t>Figure 16.4: Proportion of adults aged 50–74 who are rescreened (in subsequent rounds) by the National Bowel Cancer Screening Program, Victoria and Australia, 2014–2015 to 2016–2017</w:t>
        </w:r>
        <w:r w:rsidR="006C4ACA">
          <w:rPr>
            <w:noProof/>
            <w:webHidden/>
          </w:rPr>
          <w:tab/>
        </w:r>
        <w:r w:rsidR="006C4ACA">
          <w:rPr>
            <w:noProof/>
            <w:webHidden/>
          </w:rPr>
          <w:fldChar w:fldCharType="begin"/>
        </w:r>
        <w:r w:rsidR="006C4ACA">
          <w:rPr>
            <w:noProof/>
            <w:webHidden/>
          </w:rPr>
          <w:instrText xml:space="preserve"> PAGEREF _Toc27414391 \h </w:instrText>
        </w:r>
        <w:r w:rsidR="006C4ACA">
          <w:rPr>
            <w:noProof/>
            <w:webHidden/>
          </w:rPr>
        </w:r>
        <w:r w:rsidR="006C4ACA">
          <w:rPr>
            <w:noProof/>
            <w:webHidden/>
          </w:rPr>
          <w:fldChar w:fldCharType="separate"/>
        </w:r>
        <w:r w:rsidR="005D1A57">
          <w:rPr>
            <w:noProof/>
            <w:webHidden/>
          </w:rPr>
          <w:t>217</w:t>
        </w:r>
        <w:r w:rsidR="006C4ACA">
          <w:rPr>
            <w:noProof/>
            <w:webHidden/>
          </w:rPr>
          <w:fldChar w:fldCharType="end"/>
        </w:r>
      </w:hyperlink>
    </w:p>
    <w:p w14:paraId="24041A33" w14:textId="2BD97BE9" w:rsidR="006C4ACA" w:rsidRDefault="009D1534">
      <w:pPr>
        <w:pStyle w:val="TOC3"/>
        <w:rPr>
          <w:rFonts w:asciiTheme="minorHAnsi" w:eastAsiaTheme="minorEastAsia" w:hAnsiTheme="minorHAnsi" w:cstheme="minorBidi"/>
          <w:noProof/>
          <w:color w:val="auto"/>
          <w:sz w:val="22"/>
          <w:szCs w:val="22"/>
        </w:rPr>
      </w:pPr>
      <w:hyperlink w:anchor="_Toc27414392" w:history="1">
        <w:r w:rsidR="006C4ACA" w:rsidRPr="00E549CF">
          <w:rPr>
            <w:rStyle w:val="Hyperlink"/>
            <w:noProof/>
          </w:rPr>
          <w:t>Figure 17.1: Number of new enrolments in cancer interventions clinical trials in Victoria by year, 2014–2017</w:t>
        </w:r>
        <w:r w:rsidR="006C4ACA">
          <w:rPr>
            <w:noProof/>
            <w:webHidden/>
          </w:rPr>
          <w:tab/>
        </w:r>
        <w:r w:rsidR="006C4ACA">
          <w:rPr>
            <w:noProof/>
            <w:webHidden/>
          </w:rPr>
          <w:fldChar w:fldCharType="begin"/>
        </w:r>
        <w:r w:rsidR="006C4ACA">
          <w:rPr>
            <w:noProof/>
            <w:webHidden/>
          </w:rPr>
          <w:instrText xml:space="preserve"> PAGEREF _Toc27414392 \h </w:instrText>
        </w:r>
        <w:r w:rsidR="006C4ACA">
          <w:rPr>
            <w:noProof/>
            <w:webHidden/>
          </w:rPr>
        </w:r>
        <w:r w:rsidR="006C4ACA">
          <w:rPr>
            <w:noProof/>
            <w:webHidden/>
          </w:rPr>
          <w:fldChar w:fldCharType="separate"/>
        </w:r>
        <w:r w:rsidR="005D1A57">
          <w:rPr>
            <w:noProof/>
            <w:webHidden/>
          </w:rPr>
          <w:t>218</w:t>
        </w:r>
        <w:r w:rsidR="006C4ACA">
          <w:rPr>
            <w:noProof/>
            <w:webHidden/>
          </w:rPr>
          <w:fldChar w:fldCharType="end"/>
        </w:r>
      </w:hyperlink>
    </w:p>
    <w:p w14:paraId="4C6DEF64" w14:textId="507C2342" w:rsidR="006C4ACA" w:rsidRDefault="009D1534">
      <w:pPr>
        <w:pStyle w:val="TOC3"/>
        <w:rPr>
          <w:rFonts w:asciiTheme="minorHAnsi" w:eastAsiaTheme="minorEastAsia" w:hAnsiTheme="minorHAnsi" w:cstheme="minorBidi"/>
          <w:noProof/>
          <w:color w:val="auto"/>
          <w:sz w:val="22"/>
          <w:szCs w:val="22"/>
        </w:rPr>
      </w:pPr>
      <w:hyperlink w:anchor="_Toc27414393" w:history="1">
        <w:r w:rsidR="006C4ACA" w:rsidRPr="00E549CF">
          <w:rPr>
            <w:rStyle w:val="Hyperlink"/>
            <w:noProof/>
          </w:rPr>
          <w:t>Figure 17.1.2: Proportion of new enrolments in cancer intervention clinical trials in Victoria stratified by tumour stream, by year, 2014–2017</w:t>
        </w:r>
        <w:r w:rsidR="006C4ACA">
          <w:rPr>
            <w:noProof/>
            <w:webHidden/>
          </w:rPr>
          <w:tab/>
        </w:r>
        <w:r w:rsidR="006C4ACA">
          <w:rPr>
            <w:noProof/>
            <w:webHidden/>
          </w:rPr>
          <w:fldChar w:fldCharType="begin"/>
        </w:r>
        <w:r w:rsidR="006C4ACA">
          <w:rPr>
            <w:noProof/>
            <w:webHidden/>
          </w:rPr>
          <w:instrText xml:space="preserve"> PAGEREF _Toc27414393 \h </w:instrText>
        </w:r>
        <w:r w:rsidR="006C4ACA">
          <w:rPr>
            <w:noProof/>
            <w:webHidden/>
          </w:rPr>
        </w:r>
        <w:r w:rsidR="006C4ACA">
          <w:rPr>
            <w:noProof/>
            <w:webHidden/>
          </w:rPr>
          <w:fldChar w:fldCharType="separate"/>
        </w:r>
        <w:r w:rsidR="005D1A57">
          <w:rPr>
            <w:noProof/>
            <w:webHidden/>
          </w:rPr>
          <w:t>219</w:t>
        </w:r>
        <w:r w:rsidR="006C4ACA">
          <w:rPr>
            <w:noProof/>
            <w:webHidden/>
          </w:rPr>
          <w:fldChar w:fldCharType="end"/>
        </w:r>
      </w:hyperlink>
    </w:p>
    <w:p w14:paraId="3085B981" w14:textId="4971A914" w:rsidR="006C4ACA" w:rsidRDefault="009D1534">
      <w:pPr>
        <w:pStyle w:val="TOC3"/>
        <w:rPr>
          <w:rFonts w:asciiTheme="minorHAnsi" w:eastAsiaTheme="minorEastAsia" w:hAnsiTheme="minorHAnsi" w:cstheme="minorBidi"/>
          <w:noProof/>
          <w:color w:val="auto"/>
          <w:sz w:val="22"/>
          <w:szCs w:val="22"/>
        </w:rPr>
      </w:pPr>
      <w:hyperlink w:anchor="_Toc27414394" w:history="1">
        <w:r w:rsidR="006C4ACA" w:rsidRPr="00E549CF">
          <w:rPr>
            <w:rStyle w:val="Hyperlink"/>
            <w:noProof/>
          </w:rPr>
          <w:t>Figure 17.2: Number of recruiting cancer intervention clinical trials in Victoria, by year, 2014–2017</w:t>
        </w:r>
        <w:r w:rsidR="006C4ACA">
          <w:rPr>
            <w:noProof/>
            <w:webHidden/>
          </w:rPr>
          <w:tab/>
        </w:r>
        <w:r w:rsidR="006C4ACA">
          <w:rPr>
            <w:noProof/>
            <w:webHidden/>
          </w:rPr>
          <w:fldChar w:fldCharType="begin"/>
        </w:r>
        <w:r w:rsidR="006C4ACA">
          <w:rPr>
            <w:noProof/>
            <w:webHidden/>
          </w:rPr>
          <w:instrText xml:space="preserve"> PAGEREF _Toc27414394 \h </w:instrText>
        </w:r>
        <w:r w:rsidR="006C4ACA">
          <w:rPr>
            <w:noProof/>
            <w:webHidden/>
          </w:rPr>
        </w:r>
        <w:r w:rsidR="006C4ACA">
          <w:rPr>
            <w:noProof/>
            <w:webHidden/>
          </w:rPr>
          <w:fldChar w:fldCharType="separate"/>
        </w:r>
        <w:r w:rsidR="005D1A57">
          <w:rPr>
            <w:noProof/>
            <w:webHidden/>
          </w:rPr>
          <w:t>221</w:t>
        </w:r>
        <w:r w:rsidR="006C4ACA">
          <w:rPr>
            <w:noProof/>
            <w:webHidden/>
          </w:rPr>
          <w:fldChar w:fldCharType="end"/>
        </w:r>
      </w:hyperlink>
    </w:p>
    <w:p w14:paraId="152A4C1A" w14:textId="72F4BB88" w:rsidR="006C4ACA" w:rsidRDefault="009D1534">
      <w:pPr>
        <w:pStyle w:val="TOC3"/>
        <w:rPr>
          <w:rFonts w:asciiTheme="minorHAnsi" w:eastAsiaTheme="minorEastAsia" w:hAnsiTheme="minorHAnsi" w:cstheme="minorBidi"/>
          <w:noProof/>
          <w:color w:val="auto"/>
          <w:sz w:val="22"/>
          <w:szCs w:val="22"/>
        </w:rPr>
      </w:pPr>
      <w:hyperlink w:anchor="_Toc27414395" w:history="1">
        <w:r w:rsidR="006C4ACA" w:rsidRPr="00E549CF">
          <w:rPr>
            <w:rStyle w:val="Hyperlink"/>
            <w:noProof/>
          </w:rPr>
          <w:t>Figure 17.2.1: Proportion of recruiting cancer intervention clinical trials in Victoria, stratified by tumour stream by year, 2014–2017</w:t>
        </w:r>
        <w:r w:rsidR="006C4ACA">
          <w:rPr>
            <w:noProof/>
            <w:webHidden/>
          </w:rPr>
          <w:tab/>
        </w:r>
        <w:r w:rsidR="006C4ACA">
          <w:rPr>
            <w:noProof/>
            <w:webHidden/>
          </w:rPr>
          <w:fldChar w:fldCharType="begin"/>
        </w:r>
        <w:r w:rsidR="006C4ACA">
          <w:rPr>
            <w:noProof/>
            <w:webHidden/>
          </w:rPr>
          <w:instrText xml:space="preserve"> PAGEREF _Toc27414395 \h </w:instrText>
        </w:r>
        <w:r w:rsidR="006C4ACA">
          <w:rPr>
            <w:noProof/>
            <w:webHidden/>
          </w:rPr>
        </w:r>
        <w:r w:rsidR="006C4ACA">
          <w:rPr>
            <w:noProof/>
            <w:webHidden/>
          </w:rPr>
          <w:fldChar w:fldCharType="separate"/>
        </w:r>
        <w:r w:rsidR="005D1A57">
          <w:rPr>
            <w:noProof/>
            <w:webHidden/>
          </w:rPr>
          <w:t>221</w:t>
        </w:r>
        <w:r w:rsidR="006C4ACA">
          <w:rPr>
            <w:noProof/>
            <w:webHidden/>
          </w:rPr>
          <w:fldChar w:fldCharType="end"/>
        </w:r>
      </w:hyperlink>
    </w:p>
    <w:p w14:paraId="12B64ACE" w14:textId="5FB2447C" w:rsidR="006C4ACA" w:rsidRDefault="009D1534">
      <w:pPr>
        <w:pStyle w:val="TOC3"/>
        <w:rPr>
          <w:rFonts w:asciiTheme="minorHAnsi" w:eastAsiaTheme="minorEastAsia" w:hAnsiTheme="minorHAnsi" w:cstheme="minorBidi"/>
          <w:noProof/>
          <w:color w:val="auto"/>
          <w:sz w:val="22"/>
          <w:szCs w:val="22"/>
        </w:rPr>
      </w:pPr>
      <w:hyperlink w:anchor="_Toc27414396" w:history="1">
        <w:r w:rsidR="006C4ACA" w:rsidRPr="00E549CF">
          <w:rPr>
            <w:rStyle w:val="Hyperlink"/>
            <w:noProof/>
          </w:rPr>
          <w:t>Figure 17.3: Number of human research ethics committee approved cancer-related studies, by year, 2014–2018</w:t>
        </w:r>
        <w:r w:rsidR="006C4ACA">
          <w:rPr>
            <w:noProof/>
            <w:webHidden/>
          </w:rPr>
          <w:tab/>
        </w:r>
        <w:r w:rsidR="006C4ACA">
          <w:rPr>
            <w:noProof/>
            <w:webHidden/>
          </w:rPr>
          <w:fldChar w:fldCharType="begin"/>
        </w:r>
        <w:r w:rsidR="006C4ACA">
          <w:rPr>
            <w:noProof/>
            <w:webHidden/>
          </w:rPr>
          <w:instrText xml:space="preserve"> PAGEREF _Toc27414396 \h </w:instrText>
        </w:r>
        <w:r w:rsidR="006C4ACA">
          <w:rPr>
            <w:noProof/>
            <w:webHidden/>
          </w:rPr>
        </w:r>
        <w:r w:rsidR="006C4ACA">
          <w:rPr>
            <w:noProof/>
            <w:webHidden/>
          </w:rPr>
          <w:fldChar w:fldCharType="separate"/>
        </w:r>
        <w:r w:rsidR="005D1A57">
          <w:rPr>
            <w:noProof/>
            <w:webHidden/>
          </w:rPr>
          <w:t>223</w:t>
        </w:r>
        <w:r w:rsidR="006C4ACA">
          <w:rPr>
            <w:noProof/>
            <w:webHidden/>
          </w:rPr>
          <w:fldChar w:fldCharType="end"/>
        </w:r>
      </w:hyperlink>
    </w:p>
    <w:p w14:paraId="76606DA4" w14:textId="2035154C" w:rsidR="006C4ACA" w:rsidRDefault="009D1534">
      <w:pPr>
        <w:pStyle w:val="TOC3"/>
        <w:rPr>
          <w:rFonts w:asciiTheme="minorHAnsi" w:eastAsiaTheme="minorEastAsia" w:hAnsiTheme="minorHAnsi" w:cstheme="minorBidi"/>
          <w:noProof/>
          <w:color w:val="auto"/>
          <w:sz w:val="22"/>
          <w:szCs w:val="22"/>
        </w:rPr>
      </w:pPr>
      <w:hyperlink w:anchor="_Toc27414397" w:history="1">
        <w:r w:rsidR="006C4ACA" w:rsidRPr="00E549CF">
          <w:rPr>
            <w:rStyle w:val="Hyperlink"/>
            <w:noProof/>
          </w:rPr>
          <w:t>Figure 17.5: Quit ratio of ever smokers, by year, 2015–2017</w:t>
        </w:r>
        <w:r w:rsidR="006C4ACA">
          <w:rPr>
            <w:noProof/>
            <w:webHidden/>
          </w:rPr>
          <w:tab/>
        </w:r>
        <w:r w:rsidR="006C4ACA">
          <w:rPr>
            <w:noProof/>
            <w:webHidden/>
          </w:rPr>
          <w:fldChar w:fldCharType="begin"/>
        </w:r>
        <w:r w:rsidR="006C4ACA">
          <w:rPr>
            <w:noProof/>
            <w:webHidden/>
          </w:rPr>
          <w:instrText xml:space="preserve"> PAGEREF _Toc27414397 \h </w:instrText>
        </w:r>
        <w:r w:rsidR="006C4ACA">
          <w:rPr>
            <w:noProof/>
            <w:webHidden/>
          </w:rPr>
        </w:r>
        <w:r w:rsidR="006C4ACA">
          <w:rPr>
            <w:noProof/>
            <w:webHidden/>
          </w:rPr>
          <w:fldChar w:fldCharType="separate"/>
        </w:r>
        <w:r w:rsidR="005D1A57">
          <w:rPr>
            <w:noProof/>
            <w:webHidden/>
          </w:rPr>
          <w:t>225</w:t>
        </w:r>
        <w:r w:rsidR="006C4ACA">
          <w:rPr>
            <w:noProof/>
            <w:webHidden/>
          </w:rPr>
          <w:fldChar w:fldCharType="end"/>
        </w:r>
      </w:hyperlink>
    </w:p>
    <w:p w14:paraId="5AD875D2" w14:textId="6EE471A3" w:rsidR="00E928F9" w:rsidRPr="00497878" w:rsidRDefault="00A63984">
      <w:pPr>
        <w:rPr>
          <w:rFonts w:ascii="Arial" w:eastAsia="Times" w:hAnsi="Arial"/>
          <w:lang w:eastAsia="en-US"/>
        </w:rPr>
      </w:pPr>
      <w:r>
        <w:fldChar w:fldCharType="end"/>
      </w:r>
      <w:r w:rsidR="00E928F9" w:rsidRPr="00497878">
        <w:br w:type="page"/>
      </w:r>
    </w:p>
    <w:p w14:paraId="43AAE310" w14:textId="4751AB53" w:rsidR="00E928F9" w:rsidRDefault="00E928F9" w:rsidP="00E928F9">
      <w:pPr>
        <w:pStyle w:val="DHHSTOCheadingreport"/>
      </w:pPr>
      <w:r w:rsidRPr="00A63984">
        <w:lastRenderedPageBreak/>
        <w:t>Table</w:t>
      </w:r>
      <w:r w:rsidR="002614E3" w:rsidRPr="00A63984">
        <w:t>s</w:t>
      </w:r>
    </w:p>
    <w:p w14:paraId="47E85F1F" w14:textId="2C0CCE4B" w:rsidR="006C4ACA" w:rsidRDefault="00A63984">
      <w:pPr>
        <w:pStyle w:val="TOC3"/>
        <w:rPr>
          <w:rFonts w:asciiTheme="minorHAnsi" w:eastAsiaTheme="minorEastAsia" w:hAnsiTheme="minorHAnsi" w:cstheme="minorBidi"/>
          <w:noProof/>
          <w:color w:val="auto"/>
          <w:sz w:val="22"/>
          <w:szCs w:val="22"/>
        </w:rPr>
      </w:pPr>
      <w:r>
        <w:fldChar w:fldCharType="begin"/>
      </w:r>
      <w:r>
        <w:instrText xml:space="preserve"> TOC \h \z \t "DHHS table caption,3" </w:instrText>
      </w:r>
      <w:r>
        <w:fldChar w:fldCharType="separate"/>
      </w:r>
      <w:hyperlink w:anchor="_Toc27414398" w:history="1">
        <w:r w:rsidR="006C4ACA" w:rsidRPr="00687D83">
          <w:rPr>
            <w:rStyle w:val="Hyperlink"/>
            <w:noProof/>
          </w:rPr>
          <w:t>Table 2.1: Victorian death rate for all cancers combined by sex and year, 2010–2017</w:t>
        </w:r>
        <w:r w:rsidR="006C4ACA">
          <w:rPr>
            <w:noProof/>
            <w:webHidden/>
          </w:rPr>
          <w:tab/>
        </w:r>
        <w:r w:rsidR="006C4ACA">
          <w:rPr>
            <w:noProof/>
            <w:webHidden/>
          </w:rPr>
          <w:fldChar w:fldCharType="begin"/>
        </w:r>
        <w:r w:rsidR="006C4ACA">
          <w:rPr>
            <w:noProof/>
            <w:webHidden/>
          </w:rPr>
          <w:instrText xml:space="preserve"> PAGEREF _Toc27414398 \h </w:instrText>
        </w:r>
        <w:r w:rsidR="006C4ACA">
          <w:rPr>
            <w:noProof/>
            <w:webHidden/>
          </w:rPr>
        </w:r>
        <w:r w:rsidR="006C4ACA">
          <w:rPr>
            <w:noProof/>
            <w:webHidden/>
          </w:rPr>
          <w:fldChar w:fldCharType="separate"/>
        </w:r>
        <w:r w:rsidR="005D1A57">
          <w:rPr>
            <w:noProof/>
            <w:webHidden/>
          </w:rPr>
          <w:t>59</w:t>
        </w:r>
        <w:r w:rsidR="006C4ACA">
          <w:rPr>
            <w:noProof/>
            <w:webHidden/>
          </w:rPr>
          <w:fldChar w:fldCharType="end"/>
        </w:r>
      </w:hyperlink>
    </w:p>
    <w:p w14:paraId="38960F24" w14:textId="4197DF96" w:rsidR="006C4ACA" w:rsidRDefault="009D1534">
      <w:pPr>
        <w:pStyle w:val="TOC3"/>
        <w:rPr>
          <w:rFonts w:asciiTheme="minorHAnsi" w:eastAsiaTheme="minorEastAsia" w:hAnsiTheme="minorHAnsi" w:cstheme="minorBidi"/>
          <w:noProof/>
          <w:color w:val="auto"/>
          <w:sz w:val="22"/>
          <w:szCs w:val="22"/>
        </w:rPr>
      </w:pPr>
      <w:hyperlink w:anchor="_Toc27414399" w:history="1">
        <w:r w:rsidR="006C4ACA" w:rsidRPr="00687D83">
          <w:rPr>
            <w:rStyle w:val="Hyperlink"/>
            <w:noProof/>
          </w:rPr>
          <w:t>Table 2.1: Victorian premature death rate for all cancers combined, by sex and year, 2010–2017</w:t>
        </w:r>
        <w:r w:rsidR="006C4ACA">
          <w:rPr>
            <w:noProof/>
            <w:webHidden/>
          </w:rPr>
          <w:tab/>
        </w:r>
        <w:r w:rsidR="006C4ACA">
          <w:rPr>
            <w:noProof/>
            <w:webHidden/>
          </w:rPr>
          <w:fldChar w:fldCharType="begin"/>
        </w:r>
        <w:r w:rsidR="006C4ACA">
          <w:rPr>
            <w:noProof/>
            <w:webHidden/>
          </w:rPr>
          <w:instrText xml:space="preserve"> PAGEREF _Toc27414399 \h </w:instrText>
        </w:r>
        <w:r w:rsidR="006C4ACA">
          <w:rPr>
            <w:noProof/>
            <w:webHidden/>
          </w:rPr>
        </w:r>
        <w:r w:rsidR="006C4ACA">
          <w:rPr>
            <w:noProof/>
            <w:webHidden/>
          </w:rPr>
          <w:fldChar w:fldCharType="separate"/>
        </w:r>
        <w:r w:rsidR="005D1A57">
          <w:rPr>
            <w:noProof/>
            <w:webHidden/>
          </w:rPr>
          <w:t>64</w:t>
        </w:r>
        <w:r w:rsidR="006C4ACA">
          <w:rPr>
            <w:noProof/>
            <w:webHidden/>
          </w:rPr>
          <w:fldChar w:fldCharType="end"/>
        </w:r>
      </w:hyperlink>
    </w:p>
    <w:p w14:paraId="6FCF9A9D" w14:textId="3895860B" w:rsidR="006C4ACA" w:rsidRDefault="009D1534">
      <w:pPr>
        <w:pStyle w:val="TOC3"/>
        <w:rPr>
          <w:rFonts w:asciiTheme="minorHAnsi" w:eastAsiaTheme="minorEastAsia" w:hAnsiTheme="minorHAnsi" w:cstheme="minorBidi"/>
          <w:noProof/>
          <w:color w:val="auto"/>
          <w:sz w:val="22"/>
          <w:szCs w:val="22"/>
        </w:rPr>
      </w:pPr>
      <w:hyperlink w:anchor="_Toc27414400" w:history="1">
        <w:r w:rsidR="006C4ACA" w:rsidRPr="00687D83">
          <w:rPr>
            <w:rStyle w:val="Hyperlink"/>
            <w:noProof/>
          </w:rPr>
          <w:t>Table 4.1: Rate ratio of preventable cancer incidence in ICS of residence compared with the ICS of residence with the lowest adjusted incidence rate, grouped by year of diagnosis from 2014 to 2017</w:t>
        </w:r>
        <w:r w:rsidR="006C4ACA">
          <w:rPr>
            <w:noProof/>
            <w:webHidden/>
          </w:rPr>
          <w:tab/>
        </w:r>
        <w:r w:rsidR="006C4ACA">
          <w:rPr>
            <w:noProof/>
            <w:webHidden/>
          </w:rPr>
          <w:fldChar w:fldCharType="begin"/>
        </w:r>
        <w:r w:rsidR="006C4ACA">
          <w:rPr>
            <w:noProof/>
            <w:webHidden/>
          </w:rPr>
          <w:instrText xml:space="preserve"> PAGEREF _Toc27414400 \h </w:instrText>
        </w:r>
        <w:r w:rsidR="006C4ACA">
          <w:rPr>
            <w:noProof/>
            <w:webHidden/>
          </w:rPr>
        </w:r>
        <w:r w:rsidR="006C4ACA">
          <w:rPr>
            <w:noProof/>
            <w:webHidden/>
          </w:rPr>
          <w:fldChar w:fldCharType="separate"/>
        </w:r>
        <w:r w:rsidR="005D1A57">
          <w:rPr>
            <w:noProof/>
            <w:webHidden/>
          </w:rPr>
          <w:t>70</w:t>
        </w:r>
        <w:r w:rsidR="006C4ACA">
          <w:rPr>
            <w:noProof/>
            <w:webHidden/>
          </w:rPr>
          <w:fldChar w:fldCharType="end"/>
        </w:r>
      </w:hyperlink>
    </w:p>
    <w:p w14:paraId="0A6B5E44" w14:textId="60184E00" w:rsidR="006C4ACA" w:rsidRDefault="009D1534">
      <w:pPr>
        <w:pStyle w:val="TOC3"/>
        <w:rPr>
          <w:rFonts w:asciiTheme="minorHAnsi" w:eastAsiaTheme="minorEastAsia" w:hAnsiTheme="minorHAnsi" w:cstheme="minorBidi"/>
          <w:noProof/>
          <w:color w:val="auto"/>
          <w:sz w:val="22"/>
          <w:szCs w:val="22"/>
        </w:rPr>
      </w:pPr>
      <w:hyperlink w:anchor="_Toc27414401" w:history="1">
        <w:r w:rsidR="006C4ACA" w:rsidRPr="00687D83">
          <w:rPr>
            <w:rStyle w:val="Hyperlink"/>
            <w:noProof/>
          </w:rPr>
          <w:t>Table 4.2: Rate ratio of preventable cancer incidence (with confidence intervals) for Victoria in SES quintiles 1–4 (where SES 1 is most disadvantaged) compared with the least disadvantaged SES, grouped by year of diagnosis, 2014–2017</w:t>
        </w:r>
        <w:r w:rsidR="006C4ACA">
          <w:rPr>
            <w:noProof/>
            <w:webHidden/>
          </w:rPr>
          <w:tab/>
        </w:r>
        <w:r w:rsidR="006C4ACA">
          <w:rPr>
            <w:noProof/>
            <w:webHidden/>
          </w:rPr>
          <w:fldChar w:fldCharType="begin"/>
        </w:r>
        <w:r w:rsidR="006C4ACA">
          <w:rPr>
            <w:noProof/>
            <w:webHidden/>
          </w:rPr>
          <w:instrText xml:space="preserve"> PAGEREF _Toc27414401 \h </w:instrText>
        </w:r>
        <w:r w:rsidR="006C4ACA">
          <w:rPr>
            <w:noProof/>
            <w:webHidden/>
          </w:rPr>
        </w:r>
        <w:r w:rsidR="006C4ACA">
          <w:rPr>
            <w:noProof/>
            <w:webHidden/>
          </w:rPr>
          <w:fldChar w:fldCharType="separate"/>
        </w:r>
        <w:r w:rsidR="005D1A57">
          <w:rPr>
            <w:noProof/>
            <w:webHidden/>
          </w:rPr>
          <w:t>72</w:t>
        </w:r>
        <w:r w:rsidR="006C4ACA">
          <w:rPr>
            <w:noProof/>
            <w:webHidden/>
          </w:rPr>
          <w:fldChar w:fldCharType="end"/>
        </w:r>
      </w:hyperlink>
    </w:p>
    <w:p w14:paraId="540C1977" w14:textId="7128B533" w:rsidR="006C4ACA" w:rsidRDefault="009D1534">
      <w:pPr>
        <w:pStyle w:val="TOC3"/>
        <w:rPr>
          <w:rFonts w:asciiTheme="minorHAnsi" w:eastAsiaTheme="minorEastAsia" w:hAnsiTheme="minorHAnsi" w:cstheme="minorBidi"/>
          <w:noProof/>
          <w:color w:val="auto"/>
          <w:sz w:val="22"/>
          <w:szCs w:val="22"/>
        </w:rPr>
      </w:pPr>
      <w:hyperlink w:anchor="_Toc27414402" w:history="1">
        <w:r w:rsidR="006C4ACA" w:rsidRPr="00687D83">
          <w:rPr>
            <w:rStyle w:val="Hyperlink"/>
            <w:noProof/>
          </w:rPr>
          <w:t>Table 4.3: Rate ratio of preventable cancer incidence (with confidence intervals) between Aboriginal and non-Aboriginal Victorians, by year of diagnosis, 2014–2017</w:t>
        </w:r>
        <w:r w:rsidR="006C4ACA">
          <w:rPr>
            <w:noProof/>
            <w:webHidden/>
          </w:rPr>
          <w:tab/>
        </w:r>
        <w:r w:rsidR="006C4ACA">
          <w:rPr>
            <w:noProof/>
            <w:webHidden/>
          </w:rPr>
          <w:fldChar w:fldCharType="begin"/>
        </w:r>
        <w:r w:rsidR="006C4ACA">
          <w:rPr>
            <w:noProof/>
            <w:webHidden/>
          </w:rPr>
          <w:instrText xml:space="preserve"> PAGEREF _Toc27414402 \h </w:instrText>
        </w:r>
        <w:r w:rsidR="006C4ACA">
          <w:rPr>
            <w:noProof/>
            <w:webHidden/>
          </w:rPr>
        </w:r>
        <w:r w:rsidR="006C4ACA">
          <w:rPr>
            <w:noProof/>
            <w:webHidden/>
          </w:rPr>
          <w:fldChar w:fldCharType="separate"/>
        </w:r>
        <w:r w:rsidR="005D1A57">
          <w:rPr>
            <w:noProof/>
            <w:webHidden/>
          </w:rPr>
          <w:t>73</w:t>
        </w:r>
        <w:r w:rsidR="006C4ACA">
          <w:rPr>
            <w:noProof/>
            <w:webHidden/>
          </w:rPr>
          <w:fldChar w:fldCharType="end"/>
        </w:r>
      </w:hyperlink>
    </w:p>
    <w:p w14:paraId="6F39BDFF" w14:textId="744400EB" w:rsidR="006C4ACA" w:rsidRDefault="009D1534">
      <w:pPr>
        <w:pStyle w:val="TOC3"/>
        <w:rPr>
          <w:rFonts w:asciiTheme="minorHAnsi" w:eastAsiaTheme="minorEastAsia" w:hAnsiTheme="minorHAnsi" w:cstheme="minorBidi"/>
          <w:noProof/>
          <w:color w:val="auto"/>
          <w:sz w:val="22"/>
          <w:szCs w:val="22"/>
        </w:rPr>
      </w:pPr>
      <w:hyperlink w:anchor="_Toc27414403" w:history="1">
        <w:r w:rsidR="006C4ACA" w:rsidRPr="00687D83">
          <w:rPr>
            <w:rStyle w:val="Hyperlink"/>
            <w:noProof/>
          </w:rPr>
          <w:t>Table 5.1: Rate ratio of premature death (with confidence intervals) due to cancer in ICS of residence compared with the ICS of residence with the lowest premature death rate, grouped by year of diagnosis, 2014–2017</w:t>
        </w:r>
        <w:r w:rsidR="006C4ACA">
          <w:rPr>
            <w:noProof/>
            <w:webHidden/>
          </w:rPr>
          <w:tab/>
        </w:r>
        <w:r w:rsidR="006C4ACA">
          <w:rPr>
            <w:noProof/>
            <w:webHidden/>
          </w:rPr>
          <w:fldChar w:fldCharType="begin"/>
        </w:r>
        <w:r w:rsidR="006C4ACA">
          <w:rPr>
            <w:noProof/>
            <w:webHidden/>
          </w:rPr>
          <w:instrText xml:space="preserve"> PAGEREF _Toc27414403 \h </w:instrText>
        </w:r>
        <w:r w:rsidR="006C4ACA">
          <w:rPr>
            <w:noProof/>
            <w:webHidden/>
          </w:rPr>
        </w:r>
        <w:r w:rsidR="006C4ACA">
          <w:rPr>
            <w:noProof/>
            <w:webHidden/>
          </w:rPr>
          <w:fldChar w:fldCharType="separate"/>
        </w:r>
        <w:r w:rsidR="005D1A57">
          <w:rPr>
            <w:noProof/>
            <w:webHidden/>
          </w:rPr>
          <w:t>76</w:t>
        </w:r>
        <w:r w:rsidR="006C4ACA">
          <w:rPr>
            <w:noProof/>
            <w:webHidden/>
          </w:rPr>
          <w:fldChar w:fldCharType="end"/>
        </w:r>
      </w:hyperlink>
    </w:p>
    <w:p w14:paraId="153AE2B0" w14:textId="1F9F8676" w:rsidR="006C4ACA" w:rsidRDefault="009D1534">
      <w:pPr>
        <w:pStyle w:val="TOC3"/>
        <w:rPr>
          <w:rFonts w:asciiTheme="minorHAnsi" w:eastAsiaTheme="minorEastAsia" w:hAnsiTheme="minorHAnsi" w:cstheme="minorBidi"/>
          <w:noProof/>
          <w:color w:val="auto"/>
          <w:sz w:val="22"/>
          <w:szCs w:val="22"/>
        </w:rPr>
      </w:pPr>
      <w:hyperlink w:anchor="_Toc27414404" w:history="1">
        <w:r w:rsidR="006C4ACA" w:rsidRPr="00687D83">
          <w:rPr>
            <w:rStyle w:val="Hyperlink"/>
            <w:noProof/>
          </w:rPr>
          <w:t>Table 5.2: Rate ratio of preventable cancer incidence (with confidence intervals) for Victoria in SES quintiles 1–4 (where SES 1 is most disadvantaged) compared with the least disadvantaged SES, grouped by year of diagnosis, 2014–2017</w:t>
        </w:r>
        <w:r w:rsidR="006C4ACA">
          <w:rPr>
            <w:noProof/>
            <w:webHidden/>
          </w:rPr>
          <w:tab/>
        </w:r>
        <w:r w:rsidR="006C4ACA">
          <w:rPr>
            <w:noProof/>
            <w:webHidden/>
          </w:rPr>
          <w:fldChar w:fldCharType="begin"/>
        </w:r>
        <w:r w:rsidR="006C4ACA">
          <w:rPr>
            <w:noProof/>
            <w:webHidden/>
          </w:rPr>
          <w:instrText xml:space="preserve"> PAGEREF _Toc27414404 \h </w:instrText>
        </w:r>
        <w:r w:rsidR="006C4ACA">
          <w:rPr>
            <w:noProof/>
            <w:webHidden/>
          </w:rPr>
        </w:r>
        <w:r w:rsidR="006C4ACA">
          <w:rPr>
            <w:noProof/>
            <w:webHidden/>
          </w:rPr>
          <w:fldChar w:fldCharType="separate"/>
        </w:r>
        <w:r w:rsidR="005D1A57">
          <w:rPr>
            <w:noProof/>
            <w:webHidden/>
          </w:rPr>
          <w:t>78</w:t>
        </w:r>
        <w:r w:rsidR="006C4ACA">
          <w:rPr>
            <w:noProof/>
            <w:webHidden/>
          </w:rPr>
          <w:fldChar w:fldCharType="end"/>
        </w:r>
      </w:hyperlink>
    </w:p>
    <w:p w14:paraId="0F1747F1" w14:textId="0EBDB089" w:rsidR="006C4ACA" w:rsidRDefault="009D1534">
      <w:pPr>
        <w:pStyle w:val="TOC3"/>
        <w:rPr>
          <w:rFonts w:asciiTheme="minorHAnsi" w:eastAsiaTheme="minorEastAsia" w:hAnsiTheme="minorHAnsi" w:cstheme="minorBidi"/>
          <w:noProof/>
          <w:color w:val="auto"/>
          <w:sz w:val="22"/>
          <w:szCs w:val="22"/>
        </w:rPr>
      </w:pPr>
      <w:hyperlink w:anchor="_Toc27414405" w:history="1">
        <w:r w:rsidR="006C4ACA" w:rsidRPr="00687D83">
          <w:rPr>
            <w:rStyle w:val="Hyperlink"/>
            <w:noProof/>
          </w:rPr>
          <w:t>Table 5.3: Rate ratio of premature death (with confidence intervals) between Aboriginal and non-Aboriginal Victorians, by year, 2014–2017</w:t>
        </w:r>
        <w:r w:rsidR="006C4ACA">
          <w:rPr>
            <w:noProof/>
            <w:webHidden/>
          </w:rPr>
          <w:tab/>
        </w:r>
        <w:r w:rsidR="006C4ACA">
          <w:rPr>
            <w:noProof/>
            <w:webHidden/>
          </w:rPr>
          <w:fldChar w:fldCharType="begin"/>
        </w:r>
        <w:r w:rsidR="006C4ACA">
          <w:rPr>
            <w:noProof/>
            <w:webHidden/>
          </w:rPr>
          <w:instrText xml:space="preserve"> PAGEREF _Toc27414405 \h </w:instrText>
        </w:r>
        <w:r w:rsidR="006C4ACA">
          <w:rPr>
            <w:noProof/>
            <w:webHidden/>
          </w:rPr>
        </w:r>
        <w:r w:rsidR="006C4ACA">
          <w:rPr>
            <w:noProof/>
            <w:webHidden/>
          </w:rPr>
          <w:fldChar w:fldCharType="separate"/>
        </w:r>
        <w:r w:rsidR="005D1A57">
          <w:rPr>
            <w:noProof/>
            <w:webHidden/>
          </w:rPr>
          <w:t>80</w:t>
        </w:r>
        <w:r w:rsidR="006C4ACA">
          <w:rPr>
            <w:noProof/>
            <w:webHidden/>
          </w:rPr>
          <w:fldChar w:fldCharType="end"/>
        </w:r>
      </w:hyperlink>
    </w:p>
    <w:p w14:paraId="0B2F9F67" w14:textId="5598813A" w:rsidR="006C4ACA" w:rsidRDefault="009D1534">
      <w:pPr>
        <w:pStyle w:val="TOC3"/>
        <w:rPr>
          <w:rFonts w:asciiTheme="minorHAnsi" w:eastAsiaTheme="minorEastAsia" w:hAnsiTheme="minorHAnsi" w:cstheme="minorBidi"/>
          <w:noProof/>
          <w:color w:val="auto"/>
          <w:sz w:val="22"/>
          <w:szCs w:val="22"/>
        </w:rPr>
      </w:pPr>
      <w:hyperlink w:anchor="_Toc27414406" w:history="1">
        <w:r w:rsidR="006C4ACA" w:rsidRPr="00687D83">
          <w:rPr>
            <w:rStyle w:val="Hyperlink"/>
            <w:noProof/>
          </w:rPr>
          <w:t>Table 6.1: Proportion of Victorian adults (aged 18 years or older) who smoke daily, by year, 2015–2017</w:t>
        </w:r>
        <w:r w:rsidR="006C4ACA">
          <w:rPr>
            <w:noProof/>
            <w:webHidden/>
          </w:rPr>
          <w:tab/>
        </w:r>
        <w:r w:rsidR="006C4ACA">
          <w:rPr>
            <w:noProof/>
            <w:webHidden/>
          </w:rPr>
          <w:fldChar w:fldCharType="begin"/>
        </w:r>
        <w:r w:rsidR="006C4ACA">
          <w:rPr>
            <w:noProof/>
            <w:webHidden/>
          </w:rPr>
          <w:instrText xml:space="preserve"> PAGEREF _Toc27414406 \h </w:instrText>
        </w:r>
        <w:r w:rsidR="006C4ACA">
          <w:rPr>
            <w:noProof/>
            <w:webHidden/>
          </w:rPr>
        </w:r>
        <w:r w:rsidR="006C4ACA">
          <w:rPr>
            <w:noProof/>
            <w:webHidden/>
          </w:rPr>
          <w:fldChar w:fldCharType="separate"/>
        </w:r>
        <w:r w:rsidR="005D1A57">
          <w:rPr>
            <w:noProof/>
            <w:webHidden/>
          </w:rPr>
          <w:t>83</w:t>
        </w:r>
        <w:r w:rsidR="006C4ACA">
          <w:rPr>
            <w:noProof/>
            <w:webHidden/>
          </w:rPr>
          <w:fldChar w:fldCharType="end"/>
        </w:r>
      </w:hyperlink>
    </w:p>
    <w:p w14:paraId="3D02E465" w14:textId="303C9E86" w:rsidR="006C4ACA" w:rsidRDefault="009D1534">
      <w:pPr>
        <w:pStyle w:val="TOC3"/>
        <w:rPr>
          <w:rFonts w:asciiTheme="minorHAnsi" w:eastAsiaTheme="minorEastAsia" w:hAnsiTheme="minorHAnsi" w:cstheme="minorBidi"/>
          <w:noProof/>
          <w:color w:val="auto"/>
          <w:sz w:val="22"/>
          <w:szCs w:val="22"/>
        </w:rPr>
      </w:pPr>
      <w:hyperlink w:anchor="_Toc27414407" w:history="1">
        <w:r w:rsidR="006C4ACA" w:rsidRPr="00687D83">
          <w:rPr>
            <w:rStyle w:val="Hyperlink"/>
            <w:noProof/>
          </w:rPr>
          <w:t>Table 6.2: Proportion of Australian and Victorian adolescents aged 12–17 years (boys and girls) who currently smoke, by age and sex, 2014</w:t>
        </w:r>
        <w:r w:rsidR="006C4ACA">
          <w:rPr>
            <w:noProof/>
            <w:webHidden/>
          </w:rPr>
          <w:tab/>
        </w:r>
        <w:r w:rsidR="006C4ACA">
          <w:rPr>
            <w:noProof/>
            <w:webHidden/>
          </w:rPr>
          <w:fldChar w:fldCharType="begin"/>
        </w:r>
        <w:r w:rsidR="006C4ACA">
          <w:rPr>
            <w:noProof/>
            <w:webHidden/>
          </w:rPr>
          <w:instrText xml:space="preserve"> PAGEREF _Toc27414407 \h </w:instrText>
        </w:r>
        <w:r w:rsidR="006C4ACA">
          <w:rPr>
            <w:noProof/>
            <w:webHidden/>
          </w:rPr>
        </w:r>
        <w:r w:rsidR="006C4ACA">
          <w:rPr>
            <w:noProof/>
            <w:webHidden/>
          </w:rPr>
          <w:fldChar w:fldCharType="separate"/>
        </w:r>
        <w:r w:rsidR="005D1A57">
          <w:rPr>
            <w:noProof/>
            <w:webHidden/>
          </w:rPr>
          <w:t>85</w:t>
        </w:r>
        <w:r w:rsidR="006C4ACA">
          <w:rPr>
            <w:noProof/>
            <w:webHidden/>
          </w:rPr>
          <w:fldChar w:fldCharType="end"/>
        </w:r>
      </w:hyperlink>
    </w:p>
    <w:p w14:paraId="3300D673" w14:textId="59D798F0" w:rsidR="006C4ACA" w:rsidRDefault="009D1534">
      <w:pPr>
        <w:pStyle w:val="TOC3"/>
        <w:rPr>
          <w:rFonts w:asciiTheme="minorHAnsi" w:eastAsiaTheme="minorEastAsia" w:hAnsiTheme="minorHAnsi" w:cstheme="minorBidi"/>
          <w:noProof/>
          <w:color w:val="auto"/>
          <w:sz w:val="22"/>
          <w:szCs w:val="22"/>
        </w:rPr>
      </w:pPr>
      <w:hyperlink w:anchor="_Toc27414408" w:history="1">
        <w:r w:rsidR="006C4ACA" w:rsidRPr="00687D83">
          <w:rPr>
            <w:rStyle w:val="Hyperlink"/>
            <w:noProof/>
          </w:rPr>
          <w:t>Table 6.3: Proportion of Victorian adults (</w:t>
        </w:r>
        <w:r w:rsidR="006C4ACA" w:rsidRPr="00687D83">
          <w:rPr>
            <w:rStyle w:val="Hyperlink"/>
            <w:bCs/>
            <w:noProof/>
          </w:rPr>
          <w:t>aged 18 years or older)</w:t>
        </w:r>
        <w:r w:rsidR="006C4ACA" w:rsidRPr="00687D83">
          <w:rPr>
            <w:rStyle w:val="Hyperlink"/>
            <w:noProof/>
          </w:rPr>
          <w:t xml:space="preserve"> who consume alcohol at lifetime risk of harm, by year, 2014–2017</w:t>
        </w:r>
        <w:r w:rsidR="006C4ACA">
          <w:rPr>
            <w:noProof/>
            <w:webHidden/>
          </w:rPr>
          <w:tab/>
        </w:r>
        <w:r w:rsidR="006C4ACA">
          <w:rPr>
            <w:noProof/>
            <w:webHidden/>
          </w:rPr>
          <w:fldChar w:fldCharType="begin"/>
        </w:r>
        <w:r w:rsidR="006C4ACA">
          <w:rPr>
            <w:noProof/>
            <w:webHidden/>
          </w:rPr>
          <w:instrText xml:space="preserve"> PAGEREF _Toc27414408 \h </w:instrText>
        </w:r>
        <w:r w:rsidR="006C4ACA">
          <w:rPr>
            <w:noProof/>
            <w:webHidden/>
          </w:rPr>
        </w:r>
        <w:r w:rsidR="006C4ACA">
          <w:rPr>
            <w:noProof/>
            <w:webHidden/>
          </w:rPr>
          <w:fldChar w:fldCharType="separate"/>
        </w:r>
        <w:r w:rsidR="005D1A57">
          <w:rPr>
            <w:noProof/>
            <w:webHidden/>
          </w:rPr>
          <w:t>87</w:t>
        </w:r>
        <w:r w:rsidR="006C4ACA">
          <w:rPr>
            <w:noProof/>
            <w:webHidden/>
          </w:rPr>
          <w:fldChar w:fldCharType="end"/>
        </w:r>
      </w:hyperlink>
    </w:p>
    <w:p w14:paraId="422FD8DD" w14:textId="5A8D0959" w:rsidR="006C4ACA" w:rsidRDefault="009D1534">
      <w:pPr>
        <w:pStyle w:val="TOC3"/>
        <w:rPr>
          <w:rFonts w:asciiTheme="minorHAnsi" w:eastAsiaTheme="minorEastAsia" w:hAnsiTheme="minorHAnsi" w:cstheme="minorBidi"/>
          <w:noProof/>
          <w:color w:val="auto"/>
          <w:sz w:val="22"/>
          <w:szCs w:val="22"/>
        </w:rPr>
      </w:pPr>
      <w:hyperlink w:anchor="_Toc27414409" w:history="1">
        <w:r w:rsidR="006C4ACA" w:rsidRPr="00687D83">
          <w:rPr>
            <w:rStyle w:val="Hyperlink"/>
            <w:noProof/>
          </w:rPr>
          <w:t>Table 7.1: Mean daily serves of fruit in Victorian adults (</w:t>
        </w:r>
        <w:r w:rsidR="006C4ACA" w:rsidRPr="00687D83">
          <w:rPr>
            <w:rStyle w:val="Hyperlink"/>
            <w:bCs/>
            <w:noProof/>
          </w:rPr>
          <w:t>aged 18 years or older</w:t>
        </w:r>
        <w:r w:rsidR="006C4ACA" w:rsidRPr="00687D83">
          <w:rPr>
            <w:rStyle w:val="Hyperlink"/>
            <w:noProof/>
          </w:rPr>
          <w:t>), by year, 2011–2016</w:t>
        </w:r>
        <w:r w:rsidR="006C4ACA">
          <w:rPr>
            <w:noProof/>
            <w:webHidden/>
          </w:rPr>
          <w:tab/>
        </w:r>
        <w:r w:rsidR="006C4ACA">
          <w:rPr>
            <w:noProof/>
            <w:webHidden/>
          </w:rPr>
          <w:fldChar w:fldCharType="begin"/>
        </w:r>
        <w:r w:rsidR="006C4ACA">
          <w:rPr>
            <w:noProof/>
            <w:webHidden/>
          </w:rPr>
          <w:instrText xml:space="preserve"> PAGEREF _Toc27414409 \h </w:instrText>
        </w:r>
        <w:r w:rsidR="006C4ACA">
          <w:rPr>
            <w:noProof/>
            <w:webHidden/>
          </w:rPr>
        </w:r>
        <w:r w:rsidR="006C4ACA">
          <w:rPr>
            <w:noProof/>
            <w:webHidden/>
          </w:rPr>
          <w:fldChar w:fldCharType="separate"/>
        </w:r>
        <w:r w:rsidR="005D1A57">
          <w:rPr>
            <w:noProof/>
            <w:webHidden/>
          </w:rPr>
          <w:t>90</w:t>
        </w:r>
        <w:r w:rsidR="006C4ACA">
          <w:rPr>
            <w:noProof/>
            <w:webHidden/>
          </w:rPr>
          <w:fldChar w:fldCharType="end"/>
        </w:r>
      </w:hyperlink>
    </w:p>
    <w:p w14:paraId="409F5D05" w14:textId="48FD894A" w:rsidR="006C4ACA" w:rsidRDefault="009D1534">
      <w:pPr>
        <w:pStyle w:val="TOC3"/>
        <w:rPr>
          <w:rFonts w:asciiTheme="minorHAnsi" w:eastAsiaTheme="minorEastAsia" w:hAnsiTheme="minorHAnsi" w:cstheme="minorBidi"/>
          <w:noProof/>
          <w:color w:val="auto"/>
          <w:sz w:val="22"/>
          <w:szCs w:val="22"/>
        </w:rPr>
      </w:pPr>
      <w:hyperlink w:anchor="_Toc27414410" w:history="1">
        <w:r w:rsidR="006C4ACA" w:rsidRPr="00687D83">
          <w:rPr>
            <w:rStyle w:val="Hyperlink"/>
            <w:noProof/>
          </w:rPr>
          <w:t>Table 7.2: Proportion of Victorian adolescents aged 10–17 years (boys and girls) who eat the daily recommended serves of fruit, by year, 2014 and 2016</w:t>
        </w:r>
        <w:r w:rsidR="006C4ACA">
          <w:rPr>
            <w:noProof/>
            <w:webHidden/>
          </w:rPr>
          <w:tab/>
        </w:r>
        <w:r w:rsidR="006C4ACA">
          <w:rPr>
            <w:noProof/>
            <w:webHidden/>
          </w:rPr>
          <w:fldChar w:fldCharType="begin"/>
        </w:r>
        <w:r w:rsidR="006C4ACA">
          <w:rPr>
            <w:noProof/>
            <w:webHidden/>
          </w:rPr>
          <w:instrText xml:space="preserve"> PAGEREF _Toc27414410 \h </w:instrText>
        </w:r>
        <w:r w:rsidR="006C4ACA">
          <w:rPr>
            <w:noProof/>
            <w:webHidden/>
          </w:rPr>
        </w:r>
        <w:r w:rsidR="006C4ACA">
          <w:rPr>
            <w:noProof/>
            <w:webHidden/>
          </w:rPr>
          <w:fldChar w:fldCharType="separate"/>
        </w:r>
        <w:r w:rsidR="005D1A57">
          <w:rPr>
            <w:noProof/>
            <w:webHidden/>
          </w:rPr>
          <w:t>92</w:t>
        </w:r>
        <w:r w:rsidR="006C4ACA">
          <w:rPr>
            <w:noProof/>
            <w:webHidden/>
          </w:rPr>
          <w:fldChar w:fldCharType="end"/>
        </w:r>
      </w:hyperlink>
    </w:p>
    <w:p w14:paraId="3CC04E47" w14:textId="3642B9C6" w:rsidR="006C4ACA" w:rsidRDefault="009D1534">
      <w:pPr>
        <w:pStyle w:val="TOC3"/>
        <w:rPr>
          <w:rFonts w:asciiTheme="minorHAnsi" w:eastAsiaTheme="minorEastAsia" w:hAnsiTheme="minorHAnsi" w:cstheme="minorBidi"/>
          <w:noProof/>
          <w:color w:val="auto"/>
          <w:sz w:val="22"/>
          <w:szCs w:val="22"/>
        </w:rPr>
      </w:pPr>
      <w:hyperlink w:anchor="_Toc27414411" w:history="1">
        <w:r w:rsidR="006C4ACA" w:rsidRPr="00687D83">
          <w:rPr>
            <w:rStyle w:val="Hyperlink"/>
            <w:noProof/>
          </w:rPr>
          <w:t>Table 7.3: Proportion of children aged 4–12 years who eat the daily recommended serves of fruit, by year, 2013 and 2017</w:t>
        </w:r>
        <w:r w:rsidR="006C4ACA">
          <w:rPr>
            <w:noProof/>
            <w:webHidden/>
          </w:rPr>
          <w:tab/>
        </w:r>
        <w:r w:rsidR="006C4ACA">
          <w:rPr>
            <w:noProof/>
            <w:webHidden/>
          </w:rPr>
          <w:fldChar w:fldCharType="begin"/>
        </w:r>
        <w:r w:rsidR="006C4ACA">
          <w:rPr>
            <w:noProof/>
            <w:webHidden/>
          </w:rPr>
          <w:instrText xml:space="preserve"> PAGEREF _Toc27414411 \h </w:instrText>
        </w:r>
        <w:r w:rsidR="006C4ACA">
          <w:rPr>
            <w:noProof/>
            <w:webHidden/>
          </w:rPr>
        </w:r>
        <w:r w:rsidR="006C4ACA">
          <w:rPr>
            <w:noProof/>
            <w:webHidden/>
          </w:rPr>
          <w:fldChar w:fldCharType="separate"/>
        </w:r>
        <w:r w:rsidR="005D1A57">
          <w:rPr>
            <w:noProof/>
            <w:webHidden/>
          </w:rPr>
          <w:t>94</w:t>
        </w:r>
        <w:r w:rsidR="006C4ACA">
          <w:rPr>
            <w:noProof/>
            <w:webHidden/>
          </w:rPr>
          <w:fldChar w:fldCharType="end"/>
        </w:r>
      </w:hyperlink>
    </w:p>
    <w:p w14:paraId="3887BBE1" w14:textId="2D082C9A" w:rsidR="006C4ACA" w:rsidRDefault="009D1534">
      <w:pPr>
        <w:pStyle w:val="TOC3"/>
        <w:rPr>
          <w:rFonts w:asciiTheme="minorHAnsi" w:eastAsiaTheme="minorEastAsia" w:hAnsiTheme="minorHAnsi" w:cstheme="minorBidi"/>
          <w:noProof/>
          <w:color w:val="auto"/>
          <w:sz w:val="22"/>
          <w:szCs w:val="22"/>
        </w:rPr>
      </w:pPr>
      <w:hyperlink w:anchor="_Toc27414412" w:history="1">
        <w:r w:rsidR="006C4ACA" w:rsidRPr="00687D83">
          <w:rPr>
            <w:rStyle w:val="Hyperlink"/>
            <w:noProof/>
          </w:rPr>
          <w:t>Table 7.4: Mean daily serves of vegetables in Victorian adults, by year, 2011–2016</w:t>
        </w:r>
        <w:r w:rsidR="006C4ACA">
          <w:rPr>
            <w:noProof/>
            <w:webHidden/>
          </w:rPr>
          <w:tab/>
        </w:r>
        <w:r w:rsidR="006C4ACA">
          <w:rPr>
            <w:noProof/>
            <w:webHidden/>
          </w:rPr>
          <w:fldChar w:fldCharType="begin"/>
        </w:r>
        <w:r w:rsidR="006C4ACA">
          <w:rPr>
            <w:noProof/>
            <w:webHidden/>
          </w:rPr>
          <w:instrText xml:space="preserve"> PAGEREF _Toc27414412 \h </w:instrText>
        </w:r>
        <w:r w:rsidR="006C4ACA">
          <w:rPr>
            <w:noProof/>
            <w:webHidden/>
          </w:rPr>
        </w:r>
        <w:r w:rsidR="006C4ACA">
          <w:rPr>
            <w:noProof/>
            <w:webHidden/>
          </w:rPr>
          <w:fldChar w:fldCharType="separate"/>
        </w:r>
        <w:r w:rsidR="005D1A57">
          <w:rPr>
            <w:noProof/>
            <w:webHidden/>
          </w:rPr>
          <w:t>97</w:t>
        </w:r>
        <w:r w:rsidR="006C4ACA">
          <w:rPr>
            <w:noProof/>
            <w:webHidden/>
          </w:rPr>
          <w:fldChar w:fldCharType="end"/>
        </w:r>
      </w:hyperlink>
    </w:p>
    <w:p w14:paraId="4A3F8885" w14:textId="030AA42E" w:rsidR="006C4ACA" w:rsidRDefault="009D1534">
      <w:pPr>
        <w:pStyle w:val="TOC3"/>
        <w:rPr>
          <w:rFonts w:asciiTheme="minorHAnsi" w:eastAsiaTheme="minorEastAsia" w:hAnsiTheme="minorHAnsi" w:cstheme="minorBidi"/>
          <w:noProof/>
          <w:color w:val="auto"/>
          <w:sz w:val="22"/>
          <w:szCs w:val="22"/>
        </w:rPr>
      </w:pPr>
      <w:hyperlink w:anchor="_Toc27414413" w:history="1">
        <w:r w:rsidR="006C4ACA" w:rsidRPr="00687D83">
          <w:rPr>
            <w:rStyle w:val="Hyperlink"/>
            <w:noProof/>
          </w:rPr>
          <w:t>Table 7.5: Proportion of adolescents aged 10–17 years who eat the daily recommended serves of vegetables, 2014 and 2016</w:t>
        </w:r>
        <w:r w:rsidR="006C4ACA">
          <w:rPr>
            <w:noProof/>
            <w:webHidden/>
          </w:rPr>
          <w:tab/>
        </w:r>
        <w:r w:rsidR="006C4ACA">
          <w:rPr>
            <w:noProof/>
            <w:webHidden/>
          </w:rPr>
          <w:fldChar w:fldCharType="begin"/>
        </w:r>
        <w:r w:rsidR="006C4ACA">
          <w:rPr>
            <w:noProof/>
            <w:webHidden/>
          </w:rPr>
          <w:instrText xml:space="preserve"> PAGEREF _Toc27414413 \h </w:instrText>
        </w:r>
        <w:r w:rsidR="006C4ACA">
          <w:rPr>
            <w:noProof/>
            <w:webHidden/>
          </w:rPr>
        </w:r>
        <w:r w:rsidR="006C4ACA">
          <w:rPr>
            <w:noProof/>
            <w:webHidden/>
          </w:rPr>
          <w:fldChar w:fldCharType="separate"/>
        </w:r>
        <w:r w:rsidR="005D1A57">
          <w:rPr>
            <w:noProof/>
            <w:webHidden/>
          </w:rPr>
          <w:t>98</w:t>
        </w:r>
        <w:r w:rsidR="006C4ACA">
          <w:rPr>
            <w:noProof/>
            <w:webHidden/>
          </w:rPr>
          <w:fldChar w:fldCharType="end"/>
        </w:r>
      </w:hyperlink>
    </w:p>
    <w:p w14:paraId="026531BC" w14:textId="744DBDD1" w:rsidR="006C4ACA" w:rsidRDefault="009D1534">
      <w:pPr>
        <w:pStyle w:val="TOC3"/>
        <w:rPr>
          <w:rFonts w:asciiTheme="minorHAnsi" w:eastAsiaTheme="minorEastAsia" w:hAnsiTheme="minorHAnsi" w:cstheme="minorBidi"/>
          <w:noProof/>
          <w:color w:val="auto"/>
          <w:sz w:val="22"/>
          <w:szCs w:val="22"/>
        </w:rPr>
      </w:pPr>
      <w:hyperlink w:anchor="_Toc27414414" w:history="1">
        <w:r w:rsidR="006C4ACA" w:rsidRPr="00687D83">
          <w:rPr>
            <w:rStyle w:val="Hyperlink"/>
            <w:noProof/>
          </w:rPr>
          <w:t>Table 7.6: Proportion of children aged 4–12 years who eat the daily recommended serves of vegetables, by year, 2013 and 2017</w:t>
        </w:r>
        <w:r w:rsidR="006C4ACA">
          <w:rPr>
            <w:noProof/>
            <w:webHidden/>
          </w:rPr>
          <w:tab/>
        </w:r>
        <w:r w:rsidR="006C4ACA">
          <w:rPr>
            <w:noProof/>
            <w:webHidden/>
          </w:rPr>
          <w:fldChar w:fldCharType="begin"/>
        </w:r>
        <w:r w:rsidR="006C4ACA">
          <w:rPr>
            <w:noProof/>
            <w:webHidden/>
          </w:rPr>
          <w:instrText xml:space="preserve"> PAGEREF _Toc27414414 \h </w:instrText>
        </w:r>
        <w:r w:rsidR="006C4ACA">
          <w:rPr>
            <w:noProof/>
            <w:webHidden/>
          </w:rPr>
        </w:r>
        <w:r w:rsidR="006C4ACA">
          <w:rPr>
            <w:noProof/>
            <w:webHidden/>
          </w:rPr>
          <w:fldChar w:fldCharType="separate"/>
        </w:r>
        <w:r w:rsidR="005D1A57">
          <w:rPr>
            <w:noProof/>
            <w:webHidden/>
          </w:rPr>
          <w:t>100</w:t>
        </w:r>
        <w:r w:rsidR="006C4ACA">
          <w:rPr>
            <w:noProof/>
            <w:webHidden/>
          </w:rPr>
          <w:fldChar w:fldCharType="end"/>
        </w:r>
      </w:hyperlink>
    </w:p>
    <w:p w14:paraId="7F319D7C" w14:textId="441E3303" w:rsidR="006C4ACA" w:rsidRDefault="009D1534">
      <w:pPr>
        <w:pStyle w:val="TOC3"/>
        <w:rPr>
          <w:rFonts w:asciiTheme="minorHAnsi" w:eastAsiaTheme="minorEastAsia" w:hAnsiTheme="minorHAnsi" w:cstheme="minorBidi"/>
          <w:noProof/>
          <w:color w:val="auto"/>
          <w:sz w:val="22"/>
          <w:szCs w:val="22"/>
        </w:rPr>
      </w:pPr>
      <w:hyperlink w:anchor="_Toc27414415" w:history="1">
        <w:r w:rsidR="006C4ACA" w:rsidRPr="00687D83">
          <w:rPr>
            <w:rStyle w:val="Hyperlink"/>
            <w:noProof/>
          </w:rPr>
          <w:t>Table 7.9 Proportion of adults who are sufficiently active, by year, 2015–2017</w:t>
        </w:r>
        <w:r w:rsidR="006C4ACA">
          <w:rPr>
            <w:noProof/>
            <w:webHidden/>
          </w:rPr>
          <w:tab/>
        </w:r>
        <w:r w:rsidR="006C4ACA">
          <w:rPr>
            <w:noProof/>
            <w:webHidden/>
          </w:rPr>
          <w:fldChar w:fldCharType="begin"/>
        </w:r>
        <w:r w:rsidR="006C4ACA">
          <w:rPr>
            <w:noProof/>
            <w:webHidden/>
          </w:rPr>
          <w:instrText xml:space="preserve"> PAGEREF _Toc27414415 \h </w:instrText>
        </w:r>
        <w:r w:rsidR="006C4ACA">
          <w:rPr>
            <w:noProof/>
            <w:webHidden/>
          </w:rPr>
        </w:r>
        <w:r w:rsidR="006C4ACA">
          <w:rPr>
            <w:noProof/>
            <w:webHidden/>
          </w:rPr>
          <w:fldChar w:fldCharType="separate"/>
        </w:r>
        <w:r w:rsidR="005D1A57">
          <w:rPr>
            <w:noProof/>
            <w:webHidden/>
          </w:rPr>
          <w:t>103</w:t>
        </w:r>
        <w:r w:rsidR="006C4ACA">
          <w:rPr>
            <w:noProof/>
            <w:webHidden/>
          </w:rPr>
          <w:fldChar w:fldCharType="end"/>
        </w:r>
      </w:hyperlink>
    </w:p>
    <w:p w14:paraId="2D7393FD" w14:textId="3D3CBC8A" w:rsidR="006C4ACA" w:rsidRDefault="009D1534">
      <w:pPr>
        <w:pStyle w:val="TOC3"/>
        <w:rPr>
          <w:rFonts w:asciiTheme="minorHAnsi" w:eastAsiaTheme="minorEastAsia" w:hAnsiTheme="minorHAnsi" w:cstheme="minorBidi"/>
          <w:noProof/>
          <w:color w:val="auto"/>
          <w:sz w:val="22"/>
          <w:szCs w:val="22"/>
        </w:rPr>
      </w:pPr>
      <w:hyperlink w:anchor="_Toc27414416" w:history="1">
        <w:r w:rsidR="006C4ACA" w:rsidRPr="00687D83">
          <w:rPr>
            <w:rStyle w:val="Hyperlink"/>
            <w:noProof/>
          </w:rPr>
          <w:t>Table 7.10: Proportion of Victorian adolescents aged 10–17 who are sufficiently physically active, 2014 and 2016</w:t>
        </w:r>
        <w:r w:rsidR="006C4ACA">
          <w:rPr>
            <w:noProof/>
            <w:webHidden/>
          </w:rPr>
          <w:tab/>
        </w:r>
        <w:r w:rsidR="006C4ACA">
          <w:rPr>
            <w:noProof/>
            <w:webHidden/>
          </w:rPr>
          <w:fldChar w:fldCharType="begin"/>
        </w:r>
        <w:r w:rsidR="006C4ACA">
          <w:rPr>
            <w:noProof/>
            <w:webHidden/>
          </w:rPr>
          <w:instrText xml:space="preserve"> PAGEREF _Toc27414416 \h </w:instrText>
        </w:r>
        <w:r w:rsidR="006C4ACA">
          <w:rPr>
            <w:noProof/>
            <w:webHidden/>
          </w:rPr>
        </w:r>
        <w:r w:rsidR="006C4ACA">
          <w:rPr>
            <w:noProof/>
            <w:webHidden/>
          </w:rPr>
          <w:fldChar w:fldCharType="separate"/>
        </w:r>
        <w:r w:rsidR="005D1A57">
          <w:rPr>
            <w:noProof/>
            <w:webHidden/>
          </w:rPr>
          <w:t>104</w:t>
        </w:r>
        <w:r w:rsidR="006C4ACA">
          <w:rPr>
            <w:noProof/>
            <w:webHidden/>
          </w:rPr>
          <w:fldChar w:fldCharType="end"/>
        </w:r>
      </w:hyperlink>
    </w:p>
    <w:p w14:paraId="460117B8" w14:textId="1D144998" w:rsidR="006C4ACA" w:rsidRDefault="009D1534">
      <w:pPr>
        <w:pStyle w:val="TOC3"/>
        <w:rPr>
          <w:rFonts w:asciiTheme="minorHAnsi" w:eastAsiaTheme="minorEastAsia" w:hAnsiTheme="minorHAnsi" w:cstheme="minorBidi"/>
          <w:noProof/>
          <w:color w:val="auto"/>
          <w:sz w:val="22"/>
          <w:szCs w:val="22"/>
        </w:rPr>
      </w:pPr>
      <w:hyperlink w:anchor="_Toc27414417" w:history="1">
        <w:r w:rsidR="006C4ACA" w:rsidRPr="00687D83">
          <w:rPr>
            <w:rStyle w:val="Hyperlink"/>
            <w:noProof/>
          </w:rPr>
          <w:t>Table 7.11:</w:t>
        </w:r>
        <w:r w:rsidR="006C4ACA" w:rsidRPr="00687D83">
          <w:rPr>
            <w:rStyle w:val="Hyperlink"/>
            <w:i/>
            <w:noProof/>
          </w:rPr>
          <w:t xml:space="preserve"> </w:t>
        </w:r>
        <w:r w:rsidR="006C4ACA" w:rsidRPr="00687D83">
          <w:rPr>
            <w:rStyle w:val="Hyperlink"/>
            <w:noProof/>
          </w:rPr>
          <w:t>Proportion of children aged 5–12 years who are sufficiently physically active, 2013 and 2017</w:t>
        </w:r>
        <w:r w:rsidR="006C4ACA">
          <w:rPr>
            <w:noProof/>
            <w:webHidden/>
          </w:rPr>
          <w:tab/>
        </w:r>
        <w:r w:rsidR="006C4ACA">
          <w:rPr>
            <w:noProof/>
            <w:webHidden/>
          </w:rPr>
          <w:fldChar w:fldCharType="begin"/>
        </w:r>
        <w:r w:rsidR="006C4ACA">
          <w:rPr>
            <w:noProof/>
            <w:webHidden/>
          </w:rPr>
          <w:instrText xml:space="preserve"> PAGEREF _Toc27414417 \h </w:instrText>
        </w:r>
        <w:r w:rsidR="006C4ACA">
          <w:rPr>
            <w:noProof/>
            <w:webHidden/>
          </w:rPr>
        </w:r>
        <w:r w:rsidR="006C4ACA">
          <w:rPr>
            <w:noProof/>
            <w:webHidden/>
          </w:rPr>
          <w:fldChar w:fldCharType="separate"/>
        </w:r>
        <w:r w:rsidR="005D1A57">
          <w:rPr>
            <w:noProof/>
            <w:webHidden/>
          </w:rPr>
          <w:t>106</w:t>
        </w:r>
        <w:r w:rsidR="006C4ACA">
          <w:rPr>
            <w:noProof/>
            <w:webHidden/>
          </w:rPr>
          <w:fldChar w:fldCharType="end"/>
        </w:r>
      </w:hyperlink>
    </w:p>
    <w:p w14:paraId="32F7BA46" w14:textId="00B14493" w:rsidR="006C4ACA" w:rsidRDefault="009D1534">
      <w:pPr>
        <w:pStyle w:val="TOC3"/>
        <w:rPr>
          <w:rFonts w:asciiTheme="minorHAnsi" w:eastAsiaTheme="minorEastAsia" w:hAnsiTheme="minorHAnsi" w:cstheme="minorBidi"/>
          <w:noProof/>
          <w:color w:val="auto"/>
          <w:sz w:val="22"/>
          <w:szCs w:val="22"/>
        </w:rPr>
      </w:pPr>
      <w:hyperlink w:anchor="_Toc27414418" w:history="1">
        <w:r w:rsidR="006C4ACA" w:rsidRPr="00687D83">
          <w:rPr>
            <w:rStyle w:val="Hyperlink"/>
            <w:noProof/>
          </w:rPr>
          <w:t>Table 8.2: Proportion of Victorian adults (aged 18 years or older) who are overweight or obese (self-report), by year, 2015–2017</w:t>
        </w:r>
        <w:r w:rsidR="006C4ACA">
          <w:rPr>
            <w:noProof/>
            <w:webHidden/>
          </w:rPr>
          <w:tab/>
        </w:r>
        <w:r w:rsidR="006C4ACA">
          <w:rPr>
            <w:noProof/>
            <w:webHidden/>
          </w:rPr>
          <w:fldChar w:fldCharType="begin"/>
        </w:r>
        <w:r w:rsidR="006C4ACA">
          <w:rPr>
            <w:noProof/>
            <w:webHidden/>
          </w:rPr>
          <w:instrText xml:space="preserve"> PAGEREF _Toc27414418 \h </w:instrText>
        </w:r>
        <w:r w:rsidR="006C4ACA">
          <w:rPr>
            <w:noProof/>
            <w:webHidden/>
          </w:rPr>
        </w:r>
        <w:r w:rsidR="006C4ACA">
          <w:rPr>
            <w:noProof/>
            <w:webHidden/>
          </w:rPr>
          <w:fldChar w:fldCharType="separate"/>
        </w:r>
        <w:r w:rsidR="005D1A57">
          <w:rPr>
            <w:noProof/>
            <w:webHidden/>
          </w:rPr>
          <w:t>109</w:t>
        </w:r>
        <w:r w:rsidR="006C4ACA">
          <w:rPr>
            <w:noProof/>
            <w:webHidden/>
          </w:rPr>
          <w:fldChar w:fldCharType="end"/>
        </w:r>
      </w:hyperlink>
    </w:p>
    <w:p w14:paraId="64B1CD65" w14:textId="42EA7502" w:rsidR="006C4ACA" w:rsidRDefault="009D1534">
      <w:pPr>
        <w:pStyle w:val="TOC3"/>
        <w:rPr>
          <w:rFonts w:asciiTheme="minorHAnsi" w:eastAsiaTheme="minorEastAsia" w:hAnsiTheme="minorHAnsi" w:cstheme="minorBidi"/>
          <w:noProof/>
          <w:color w:val="auto"/>
          <w:sz w:val="22"/>
          <w:szCs w:val="22"/>
        </w:rPr>
      </w:pPr>
      <w:hyperlink w:anchor="_Toc27414419" w:history="1">
        <w:r w:rsidR="006C4ACA" w:rsidRPr="00687D83">
          <w:rPr>
            <w:rStyle w:val="Hyperlink"/>
            <w:noProof/>
          </w:rPr>
          <w:t>Table 10.4: Proportion of people in Victoria with HBV diagnosed with liver cancer, whose HBV was diagnosed late, 2010–2014</w:t>
        </w:r>
        <w:r w:rsidR="006C4ACA">
          <w:rPr>
            <w:noProof/>
            <w:webHidden/>
          </w:rPr>
          <w:tab/>
        </w:r>
        <w:r w:rsidR="006C4ACA">
          <w:rPr>
            <w:noProof/>
            <w:webHidden/>
          </w:rPr>
          <w:fldChar w:fldCharType="begin"/>
        </w:r>
        <w:r w:rsidR="006C4ACA">
          <w:rPr>
            <w:noProof/>
            <w:webHidden/>
          </w:rPr>
          <w:instrText xml:space="preserve"> PAGEREF _Toc27414419 \h </w:instrText>
        </w:r>
        <w:r w:rsidR="006C4ACA">
          <w:rPr>
            <w:noProof/>
            <w:webHidden/>
          </w:rPr>
        </w:r>
        <w:r w:rsidR="006C4ACA">
          <w:rPr>
            <w:noProof/>
            <w:webHidden/>
          </w:rPr>
          <w:fldChar w:fldCharType="separate"/>
        </w:r>
        <w:r w:rsidR="005D1A57">
          <w:rPr>
            <w:noProof/>
            <w:webHidden/>
          </w:rPr>
          <w:t>124</w:t>
        </w:r>
        <w:r w:rsidR="006C4ACA">
          <w:rPr>
            <w:noProof/>
            <w:webHidden/>
          </w:rPr>
          <w:fldChar w:fldCharType="end"/>
        </w:r>
      </w:hyperlink>
    </w:p>
    <w:p w14:paraId="14217DDA" w14:textId="5153183E" w:rsidR="006C4ACA" w:rsidRDefault="009D1534">
      <w:pPr>
        <w:pStyle w:val="TOC3"/>
        <w:rPr>
          <w:rFonts w:asciiTheme="minorHAnsi" w:eastAsiaTheme="minorEastAsia" w:hAnsiTheme="minorHAnsi" w:cstheme="minorBidi"/>
          <w:noProof/>
          <w:color w:val="auto"/>
          <w:sz w:val="22"/>
          <w:szCs w:val="22"/>
        </w:rPr>
      </w:pPr>
      <w:hyperlink w:anchor="_Toc27414420" w:history="1">
        <w:r w:rsidR="006C4ACA" w:rsidRPr="00687D83">
          <w:rPr>
            <w:rStyle w:val="Hyperlink"/>
            <w:noProof/>
          </w:rPr>
          <w:t>Table 10.5: Proportion of people in Victoria with HCV diagnosed with liver cancer, whose HCV was diagnosed late, 2010–2014</w:t>
        </w:r>
        <w:r w:rsidR="006C4ACA">
          <w:rPr>
            <w:noProof/>
            <w:webHidden/>
          </w:rPr>
          <w:tab/>
        </w:r>
        <w:r w:rsidR="006C4ACA">
          <w:rPr>
            <w:noProof/>
            <w:webHidden/>
          </w:rPr>
          <w:fldChar w:fldCharType="begin"/>
        </w:r>
        <w:r w:rsidR="006C4ACA">
          <w:rPr>
            <w:noProof/>
            <w:webHidden/>
          </w:rPr>
          <w:instrText xml:space="preserve"> PAGEREF _Toc27414420 \h </w:instrText>
        </w:r>
        <w:r w:rsidR="006C4ACA">
          <w:rPr>
            <w:noProof/>
            <w:webHidden/>
          </w:rPr>
        </w:r>
        <w:r w:rsidR="006C4ACA">
          <w:rPr>
            <w:noProof/>
            <w:webHidden/>
          </w:rPr>
          <w:fldChar w:fldCharType="separate"/>
        </w:r>
        <w:r w:rsidR="005D1A57">
          <w:rPr>
            <w:noProof/>
            <w:webHidden/>
          </w:rPr>
          <w:t>125</w:t>
        </w:r>
        <w:r w:rsidR="006C4ACA">
          <w:rPr>
            <w:noProof/>
            <w:webHidden/>
          </w:rPr>
          <w:fldChar w:fldCharType="end"/>
        </w:r>
      </w:hyperlink>
    </w:p>
    <w:p w14:paraId="63E5C5B9" w14:textId="58A7141C" w:rsidR="006C4ACA" w:rsidRDefault="009D1534">
      <w:pPr>
        <w:pStyle w:val="TOC3"/>
        <w:rPr>
          <w:rFonts w:asciiTheme="minorHAnsi" w:eastAsiaTheme="minorEastAsia" w:hAnsiTheme="minorHAnsi" w:cstheme="minorBidi"/>
          <w:noProof/>
          <w:color w:val="auto"/>
          <w:sz w:val="22"/>
          <w:szCs w:val="22"/>
        </w:rPr>
      </w:pPr>
      <w:hyperlink w:anchor="_Toc27414421" w:history="1">
        <w:r w:rsidR="006C4ACA" w:rsidRPr="00687D83">
          <w:rPr>
            <w:rStyle w:val="Hyperlink"/>
            <w:noProof/>
          </w:rPr>
          <w:t>Table 12.6: Proportion and number of cancer-related oesophagectomies and pancreatectomies taking place at appropriate volume (facilities), by year, 2014–2016</w:t>
        </w:r>
        <w:r w:rsidR="006C4ACA">
          <w:rPr>
            <w:noProof/>
            <w:webHidden/>
          </w:rPr>
          <w:tab/>
        </w:r>
        <w:r w:rsidR="006C4ACA">
          <w:rPr>
            <w:noProof/>
            <w:webHidden/>
          </w:rPr>
          <w:fldChar w:fldCharType="begin"/>
        </w:r>
        <w:r w:rsidR="006C4ACA">
          <w:rPr>
            <w:noProof/>
            <w:webHidden/>
          </w:rPr>
          <w:instrText xml:space="preserve"> PAGEREF _Toc27414421 \h </w:instrText>
        </w:r>
        <w:r w:rsidR="006C4ACA">
          <w:rPr>
            <w:noProof/>
            <w:webHidden/>
          </w:rPr>
        </w:r>
        <w:r w:rsidR="006C4ACA">
          <w:rPr>
            <w:noProof/>
            <w:webHidden/>
          </w:rPr>
          <w:fldChar w:fldCharType="separate"/>
        </w:r>
        <w:r w:rsidR="005D1A57">
          <w:rPr>
            <w:noProof/>
            <w:webHidden/>
          </w:rPr>
          <w:t>159</w:t>
        </w:r>
        <w:r w:rsidR="006C4ACA">
          <w:rPr>
            <w:noProof/>
            <w:webHidden/>
          </w:rPr>
          <w:fldChar w:fldCharType="end"/>
        </w:r>
      </w:hyperlink>
    </w:p>
    <w:p w14:paraId="00DF2686" w14:textId="589D58E6" w:rsidR="006C4ACA" w:rsidRDefault="009D1534">
      <w:pPr>
        <w:pStyle w:val="TOC3"/>
        <w:rPr>
          <w:rFonts w:asciiTheme="minorHAnsi" w:eastAsiaTheme="minorEastAsia" w:hAnsiTheme="minorHAnsi" w:cstheme="minorBidi"/>
          <w:noProof/>
          <w:color w:val="auto"/>
          <w:sz w:val="22"/>
          <w:szCs w:val="22"/>
        </w:rPr>
      </w:pPr>
      <w:hyperlink w:anchor="_Toc27414422" w:history="1">
        <w:r w:rsidR="006C4ACA" w:rsidRPr="00687D83">
          <w:rPr>
            <w:rStyle w:val="Hyperlink"/>
            <w:noProof/>
          </w:rPr>
          <w:t>Table 12.12: Proportion and number of patients receiving specialist palliative care with 12 months prior to death, by ICS, 2014–2016</w:t>
        </w:r>
        <w:r w:rsidR="006C4ACA">
          <w:rPr>
            <w:noProof/>
            <w:webHidden/>
          </w:rPr>
          <w:tab/>
        </w:r>
        <w:r w:rsidR="006C4ACA">
          <w:rPr>
            <w:noProof/>
            <w:webHidden/>
          </w:rPr>
          <w:fldChar w:fldCharType="begin"/>
        </w:r>
        <w:r w:rsidR="006C4ACA">
          <w:rPr>
            <w:noProof/>
            <w:webHidden/>
          </w:rPr>
          <w:instrText xml:space="preserve"> PAGEREF _Toc27414422 \h </w:instrText>
        </w:r>
        <w:r w:rsidR="006C4ACA">
          <w:rPr>
            <w:noProof/>
            <w:webHidden/>
          </w:rPr>
        </w:r>
        <w:r w:rsidR="006C4ACA">
          <w:rPr>
            <w:noProof/>
            <w:webHidden/>
          </w:rPr>
          <w:fldChar w:fldCharType="separate"/>
        </w:r>
        <w:r w:rsidR="005D1A57">
          <w:rPr>
            <w:noProof/>
            <w:webHidden/>
          </w:rPr>
          <w:t>167</w:t>
        </w:r>
        <w:r w:rsidR="006C4ACA">
          <w:rPr>
            <w:noProof/>
            <w:webHidden/>
          </w:rPr>
          <w:fldChar w:fldCharType="end"/>
        </w:r>
      </w:hyperlink>
    </w:p>
    <w:p w14:paraId="0BD58DC4" w14:textId="69471D2B" w:rsidR="006C4ACA" w:rsidRDefault="009D1534">
      <w:pPr>
        <w:pStyle w:val="TOC3"/>
        <w:rPr>
          <w:rFonts w:asciiTheme="minorHAnsi" w:eastAsiaTheme="minorEastAsia" w:hAnsiTheme="minorHAnsi" w:cstheme="minorBidi"/>
          <w:noProof/>
          <w:color w:val="auto"/>
          <w:sz w:val="22"/>
          <w:szCs w:val="22"/>
        </w:rPr>
      </w:pPr>
      <w:hyperlink w:anchor="_Toc27414423" w:history="1">
        <w:r w:rsidR="006C4ACA" w:rsidRPr="00687D83">
          <w:rPr>
            <w:rStyle w:val="Hyperlink"/>
            <w:noProof/>
          </w:rPr>
          <w:t>Table 12.14: Proportion/number of deaths due to cancer that occur in hospitals, by ICS, 2014–2016</w:t>
        </w:r>
        <w:r w:rsidR="006C4ACA">
          <w:rPr>
            <w:noProof/>
            <w:webHidden/>
          </w:rPr>
          <w:tab/>
        </w:r>
        <w:r w:rsidR="006C4ACA">
          <w:rPr>
            <w:noProof/>
            <w:webHidden/>
          </w:rPr>
          <w:fldChar w:fldCharType="begin"/>
        </w:r>
        <w:r w:rsidR="006C4ACA">
          <w:rPr>
            <w:noProof/>
            <w:webHidden/>
          </w:rPr>
          <w:instrText xml:space="preserve"> PAGEREF _Toc27414423 \h </w:instrText>
        </w:r>
        <w:r w:rsidR="006C4ACA">
          <w:rPr>
            <w:noProof/>
            <w:webHidden/>
          </w:rPr>
        </w:r>
        <w:r w:rsidR="006C4ACA">
          <w:rPr>
            <w:noProof/>
            <w:webHidden/>
          </w:rPr>
          <w:fldChar w:fldCharType="separate"/>
        </w:r>
        <w:r w:rsidR="005D1A57">
          <w:rPr>
            <w:noProof/>
            <w:webHidden/>
          </w:rPr>
          <w:t>171</w:t>
        </w:r>
        <w:r w:rsidR="006C4ACA">
          <w:rPr>
            <w:noProof/>
            <w:webHidden/>
          </w:rPr>
          <w:fldChar w:fldCharType="end"/>
        </w:r>
      </w:hyperlink>
    </w:p>
    <w:p w14:paraId="1AAC5CB1" w14:textId="1DC8DEC7" w:rsidR="006C4ACA" w:rsidRDefault="009D1534">
      <w:pPr>
        <w:pStyle w:val="TOC3"/>
        <w:rPr>
          <w:rFonts w:asciiTheme="minorHAnsi" w:eastAsiaTheme="minorEastAsia" w:hAnsiTheme="minorHAnsi" w:cstheme="minorBidi"/>
          <w:noProof/>
          <w:color w:val="auto"/>
          <w:sz w:val="22"/>
          <w:szCs w:val="22"/>
        </w:rPr>
      </w:pPr>
      <w:hyperlink w:anchor="_Toc27414424" w:history="1">
        <w:r w:rsidR="006C4ACA" w:rsidRPr="00687D83">
          <w:rPr>
            <w:rStyle w:val="Hyperlink"/>
            <w:noProof/>
          </w:rPr>
          <w:t>Table 16.1: Proportion of women who have a mammogram by BreastScreen Victoria who rate the service from highly satisfactory to unsure, 2014–2018</w:t>
        </w:r>
        <w:r w:rsidR="006C4ACA">
          <w:rPr>
            <w:noProof/>
            <w:webHidden/>
          </w:rPr>
          <w:tab/>
        </w:r>
        <w:r w:rsidR="006C4ACA">
          <w:rPr>
            <w:noProof/>
            <w:webHidden/>
          </w:rPr>
          <w:fldChar w:fldCharType="begin"/>
        </w:r>
        <w:r w:rsidR="006C4ACA">
          <w:rPr>
            <w:noProof/>
            <w:webHidden/>
          </w:rPr>
          <w:instrText xml:space="preserve"> PAGEREF _Toc27414424 \h </w:instrText>
        </w:r>
        <w:r w:rsidR="006C4ACA">
          <w:rPr>
            <w:noProof/>
            <w:webHidden/>
          </w:rPr>
        </w:r>
        <w:r w:rsidR="006C4ACA">
          <w:rPr>
            <w:noProof/>
            <w:webHidden/>
          </w:rPr>
          <w:fldChar w:fldCharType="separate"/>
        </w:r>
        <w:r w:rsidR="005D1A57">
          <w:rPr>
            <w:noProof/>
            <w:webHidden/>
          </w:rPr>
          <w:t>212</w:t>
        </w:r>
        <w:r w:rsidR="006C4ACA">
          <w:rPr>
            <w:noProof/>
            <w:webHidden/>
          </w:rPr>
          <w:fldChar w:fldCharType="end"/>
        </w:r>
      </w:hyperlink>
    </w:p>
    <w:p w14:paraId="616CB207" w14:textId="1D890D1D" w:rsidR="006C4ACA" w:rsidRDefault="009D1534">
      <w:pPr>
        <w:pStyle w:val="TOC3"/>
        <w:rPr>
          <w:rFonts w:asciiTheme="minorHAnsi" w:eastAsiaTheme="minorEastAsia" w:hAnsiTheme="minorHAnsi" w:cstheme="minorBidi"/>
          <w:noProof/>
          <w:color w:val="auto"/>
          <w:sz w:val="22"/>
          <w:szCs w:val="22"/>
        </w:rPr>
      </w:pPr>
      <w:hyperlink w:anchor="_Toc27414425" w:history="1">
        <w:r w:rsidR="006C4ACA" w:rsidRPr="00687D83">
          <w:rPr>
            <w:rStyle w:val="Hyperlink"/>
            <w:noProof/>
          </w:rPr>
          <w:t>Table 16.3 Proportion of women sent a reminder letter to rescreen at 27 months after a negative Pap test and the number who re-screened, state and territory</w:t>
        </w:r>
        <w:r w:rsidR="006C4ACA">
          <w:rPr>
            <w:noProof/>
            <w:webHidden/>
          </w:rPr>
          <w:tab/>
        </w:r>
        <w:r w:rsidR="006C4ACA">
          <w:rPr>
            <w:noProof/>
            <w:webHidden/>
          </w:rPr>
          <w:fldChar w:fldCharType="begin"/>
        </w:r>
        <w:r w:rsidR="006C4ACA">
          <w:rPr>
            <w:noProof/>
            <w:webHidden/>
          </w:rPr>
          <w:instrText xml:space="preserve"> PAGEREF _Toc27414425 \h </w:instrText>
        </w:r>
        <w:r w:rsidR="006C4ACA">
          <w:rPr>
            <w:noProof/>
            <w:webHidden/>
          </w:rPr>
        </w:r>
        <w:r w:rsidR="006C4ACA">
          <w:rPr>
            <w:noProof/>
            <w:webHidden/>
          </w:rPr>
          <w:fldChar w:fldCharType="separate"/>
        </w:r>
        <w:r w:rsidR="005D1A57">
          <w:rPr>
            <w:noProof/>
            <w:webHidden/>
          </w:rPr>
          <w:t>215</w:t>
        </w:r>
        <w:r w:rsidR="006C4ACA">
          <w:rPr>
            <w:noProof/>
            <w:webHidden/>
          </w:rPr>
          <w:fldChar w:fldCharType="end"/>
        </w:r>
      </w:hyperlink>
    </w:p>
    <w:p w14:paraId="21F68FD2" w14:textId="0EFD9EEE" w:rsidR="006C4ACA" w:rsidRDefault="009D1534">
      <w:pPr>
        <w:pStyle w:val="TOC3"/>
        <w:rPr>
          <w:rFonts w:asciiTheme="minorHAnsi" w:eastAsiaTheme="minorEastAsia" w:hAnsiTheme="minorHAnsi" w:cstheme="minorBidi"/>
          <w:noProof/>
          <w:color w:val="auto"/>
          <w:sz w:val="22"/>
          <w:szCs w:val="22"/>
        </w:rPr>
      </w:pPr>
      <w:hyperlink w:anchor="_Toc27414426" w:history="1">
        <w:r w:rsidR="006C4ACA" w:rsidRPr="00687D83">
          <w:rPr>
            <w:rStyle w:val="Hyperlink"/>
            <w:noProof/>
          </w:rPr>
          <w:t>Table 17.5 Quit ratio of ever smokers, by year, 2015–2017</w:t>
        </w:r>
        <w:r w:rsidR="006C4ACA">
          <w:rPr>
            <w:noProof/>
            <w:webHidden/>
          </w:rPr>
          <w:tab/>
        </w:r>
        <w:r w:rsidR="006C4ACA">
          <w:rPr>
            <w:noProof/>
            <w:webHidden/>
          </w:rPr>
          <w:fldChar w:fldCharType="begin"/>
        </w:r>
        <w:r w:rsidR="006C4ACA">
          <w:rPr>
            <w:noProof/>
            <w:webHidden/>
          </w:rPr>
          <w:instrText xml:space="preserve"> PAGEREF _Toc27414426 \h </w:instrText>
        </w:r>
        <w:r w:rsidR="006C4ACA">
          <w:rPr>
            <w:noProof/>
            <w:webHidden/>
          </w:rPr>
        </w:r>
        <w:r w:rsidR="006C4ACA">
          <w:rPr>
            <w:noProof/>
            <w:webHidden/>
          </w:rPr>
          <w:fldChar w:fldCharType="separate"/>
        </w:r>
        <w:r w:rsidR="005D1A57">
          <w:rPr>
            <w:noProof/>
            <w:webHidden/>
          </w:rPr>
          <w:t>225</w:t>
        </w:r>
        <w:r w:rsidR="006C4ACA">
          <w:rPr>
            <w:noProof/>
            <w:webHidden/>
          </w:rPr>
          <w:fldChar w:fldCharType="end"/>
        </w:r>
      </w:hyperlink>
    </w:p>
    <w:p w14:paraId="232677E7" w14:textId="4BCB0E17" w:rsidR="00A63984" w:rsidRPr="00A63984" w:rsidRDefault="00A63984" w:rsidP="00A63984">
      <w:pPr>
        <w:pStyle w:val="DHHSbody"/>
      </w:pPr>
      <w:r>
        <w:fldChar w:fldCharType="end"/>
      </w:r>
    </w:p>
    <w:sectPr w:rsidR="00A63984" w:rsidRPr="00A63984" w:rsidSect="00B72353">
      <w:pgSz w:w="11906" w:h="16838"/>
      <w:pgMar w:top="1701" w:right="1304" w:bottom="1134" w:left="1304" w:header="454" w:footer="51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4676AC" w14:textId="77777777" w:rsidR="00110FC6" w:rsidRDefault="00110FC6">
      <w:r>
        <w:separator/>
      </w:r>
    </w:p>
  </w:endnote>
  <w:endnote w:type="continuationSeparator" w:id="0">
    <w:p w14:paraId="7014D0FD" w14:textId="77777777" w:rsidR="00110FC6" w:rsidRDefault="00110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Arial"/>
    <w:panose1 w:val="020B0704020202020204"/>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3" w:usb2="00000000" w:usb3="00000000" w:csb0="0000009F" w:csb1="00000000"/>
  </w:font>
  <w:font w:name="Foco CC">
    <w:altName w:val="Foco CC"/>
    <w:panose1 w:val="00000000000000000000"/>
    <w:charset w:val="00"/>
    <w:family w:val="swiss"/>
    <w:notTrueType/>
    <w:pitch w:val="default"/>
    <w:sig w:usb0="00000003" w:usb1="00000000" w:usb2="00000000" w:usb3="00000000" w:csb0="00000001" w:csb1="00000000"/>
  </w:font>
  <w:font w:name="Foco CC Light">
    <w:altName w:val="Calibri"/>
    <w:panose1 w:val="00000000000000000000"/>
    <w:charset w:val="00"/>
    <w:family w:val="swiss"/>
    <w:notTrueType/>
    <w:pitch w:val="default"/>
    <w:sig w:usb0="00000003" w:usb1="00000000" w:usb2="00000000" w:usb3="00000000" w:csb0="00000001" w:csb1="00000000"/>
  </w:font>
  <w:font w:name="Open Sans Light">
    <w:altName w:val="Segoe UI"/>
    <w:charset w:val="00"/>
    <w:family w:val="swiss"/>
    <w:pitch w:val="default"/>
    <w:sig w:usb0="00000003" w:usb1="00000000" w:usb2="00000000" w:usb3="00000000" w:csb0="00000001" w:csb1="00000000"/>
  </w:font>
  <w:font w:name="Open Sans">
    <w:altName w:val="Times New Roman"/>
    <w:charset w:val="00"/>
    <w:family w:val="auto"/>
    <w:pitch w:val="default"/>
  </w:font>
  <w:font w:name="VIC-Italic">
    <w:altName w:val="Calibri"/>
    <w:panose1 w:val="00000000000000000000"/>
    <w:charset w:val="00"/>
    <w:family w:val="swiss"/>
    <w:notTrueType/>
    <w:pitch w:val="default"/>
    <w:sig w:usb0="00000003" w:usb1="00000000" w:usb2="00000000" w:usb3="00000000" w:csb0="00000001" w:csb1="00000000"/>
  </w:font>
  <w:font w:name="myriad-pro">
    <w:altName w:val="Cambria"/>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SourceSansPro-Regular">
    <w:altName w:val="Yu Gothic"/>
    <w:panose1 w:val="00000000000000000000"/>
    <w:charset w:val="80"/>
    <w:family w:val="swiss"/>
    <w:notTrueType/>
    <w:pitch w:val="default"/>
    <w:sig w:usb0="00000001" w:usb1="08070000" w:usb2="00000010" w:usb3="00000000" w:csb0="00020000" w:csb1="00000000"/>
  </w:font>
  <w:font w:name="UniversLTStd-Light">
    <w:altName w:val="Yu Gothic"/>
    <w:panose1 w:val="00000000000000000000"/>
    <w:charset w:val="80"/>
    <w:family w:val="swiss"/>
    <w:notTrueType/>
    <w:pitch w:val="default"/>
    <w:sig w:usb0="00000001" w:usb1="08070000" w:usb2="00000010" w:usb3="00000000" w:csb0="00020000" w:csb1="00000000"/>
  </w:font>
  <w:font w:name="ArialMTPro-Light">
    <w:altName w:val="Yu Gothic"/>
    <w:panose1 w:val="00000000000000000000"/>
    <w:charset w:val="80"/>
    <w:family w:val="swiss"/>
    <w:notTrueType/>
    <w:pitch w:val="default"/>
    <w:sig w:usb0="00000001" w:usb1="08070000" w:usb2="00000010" w:usb3="00000000" w:csb0="00020000" w:csb1="00000000"/>
  </w:font>
  <w:font w:name="HelveticaNeueLT-Light">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Roboto">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8C73FC" w14:textId="77777777" w:rsidR="00110FC6" w:rsidRDefault="00110F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8477F6" w14:textId="77777777" w:rsidR="00110FC6" w:rsidRDefault="00110FC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C25C26" w14:textId="77777777" w:rsidR="00110FC6" w:rsidRDefault="00110FC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7BF8F" w14:textId="6AFEE7B1" w:rsidR="00110FC6" w:rsidRPr="00DB4F90" w:rsidRDefault="00110FC6" w:rsidP="00E969B1">
    <w:pPr>
      <w:pStyle w:val="DHHSfooter"/>
      <w:rPr>
        <w:color w:val="AF272F"/>
      </w:rPr>
    </w:pPr>
    <w:r>
      <w:t xml:space="preserve">Page </w:t>
    </w:r>
    <w:r w:rsidRPr="005A39EC">
      <w:fldChar w:fldCharType="begin"/>
    </w:r>
    <w:r w:rsidRPr="005A39EC">
      <w:instrText xml:space="preserve"> PAGE </w:instrText>
    </w:r>
    <w:r w:rsidRPr="005A39EC">
      <w:fldChar w:fldCharType="separate"/>
    </w:r>
    <w:r>
      <w:rPr>
        <w:noProof/>
      </w:rPr>
      <w:t>30</w:t>
    </w:r>
    <w:r w:rsidRPr="005A39EC">
      <w:fldChar w:fldCharType="end"/>
    </w:r>
    <w:r>
      <w:ptab w:relativeTo="margin" w:alignment="right" w:leader="none"/>
    </w:r>
    <w:r w:rsidRPr="00DB4F90">
      <w:rPr>
        <w:color w:val="AF272F"/>
      </w:rPr>
      <w:t>Victorian cancer plan monitoring and evaluation framework: baseline report</w:t>
    </w:r>
    <w:r>
      <w:rPr>
        <w:color w:val="AF272F"/>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0B6A2F" w14:textId="1CD9CEA9" w:rsidR="00110FC6" w:rsidRPr="0031753A" w:rsidRDefault="00110FC6" w:rsidP="00E969B1">
    <w:pPr>
      <w:pStyle w:val="DHHSfooter"/>
    </w:pPr>
    <w:r w:rsidRPr="00DB4F90">
      <w:rPr>
        <w:color w:val="AF272F"/>
      </w:rPr>
      <w:t xml:space="preserve">Victorian cancer plan monitoring and evaluation framework: baseline report </w:t>
    </w:r>
    <w:r>
      <w:ptab w:relativeTo="margin" w:alignment="right" w:leader="none"/>
    </w:r>
    <w:r w:rsidRPr="0031753A">
      <w:t xml:space="preserve">Page </w:t>
    </w:r>
    <w:r w:rsidRPr="0031753A">
      <w:fldChar w:fldCharType="begin"/>
    </w:r>
    <w:r w:rsidRPr="0031753A">
      <w:instrText xml:space="preserve"> PAGE </w:instrText>
    </w:r>
    <w:r w:rsidRPr="0031753A">
      <w:fldChar w:fldCharType="separate"/>
    </w:r>
    <w:r>
      <w:rPr>
        <w:noProof/>
      </w:rPr>
      <w:t>41</w:t>
    </w:r>
    <w:r w:rsidRPr="0031753A">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7E7841" w14:textId="77777777" w:rsidR="00110FC6" w:rsidRPr="001A7E04" w:rsidRDefault="00110FC6" w:rsidP="00AC0C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3B5446" w14:textId="77777777" w:rsidR="00110FC6" w:rsidRDefault="00110FC6">
      <w:r>
        <w:separator/>
      </w:r>
    </w:p>
  </w:footnote>
  <w:footnote w:type="continuationSeparator" w:id="0">
    <w:p w14:paraId="304083D7" w14:textId="77777777" w:rsidR="00110FC6" w:rsidRDefault="00110FC6">
      <w:r>
        <w:continuationSeparator/>
      </w:r>
    </w:p>
  </w:footnote>
  <w:footnote w:id="1">
    <w:p w14:paraId="4F1156DE" w14:textId="0EB295D9" w:rsidR="00110FC6" w:rsidRPr="003072C6" w:rsidRDefault="00110FC6" w:rsidP="00D53F20">
      <w:pPr>
        <w:pStyle w:val="FootnoteText"/>
      </w:pPr>
      <w:r w:rsidRPr="003072C6">
        <w:rPr>
          <w:rStyle w:val="FootnoteReference"/>
        </w:rPr>
        <w:footnoteRef/>
      </w:r>
      <w:r>
        <w:t xml:space="preserve"> </w:t>
      </w:r>
      <w:r w:rsidRPr="00994BE5">
        <w:rPr>
          <w:rStyle w:val="A2"/>
          <w:sz w:val="16"/>
          <w:szCs w:val="16"/>
        </w:rPr>
        <w:t>Thursfield V, Farrugia H</w:t>
      </w:r>
      <w:r>
        <w:rPr>
          <w:rStyle w:val="A2"/>
          <w:sz w:val="16"/>
          <w:szCs w:val="16"/>
        </w:rPr>
        <w:t xml:space="preserve"> 2018</w:t>
      </w:r>
      <w:r w:rsidRPr="00994BE5">
        <w:rPr>
          <w:rStyle w:val="A2"/>
          <w:sz w:val="16"/>
          <w:szCs w:val="16"/>
        </w:rPr>
        <w:t xml:space="preserve">. Cancer in Victoria: </w:t>
      </w:r>
      <w:r>
        <w:rPr>
          <w:rStyle w:val="A2"/>
          <w:sz w:val="16"/>
          <w:szCs w:val="16"/>
        </w:rPr>
        <w:t>s</w:t>
      </w:r>
      <w:r w:rsidRPr="00994BE5">
        <w:rPr>
          <w:rStyle w:val="A2"/>
          <w:sz w:val="16"/>
          <w:szCs w:val="16"/>
        </w:rPr>
        <w:t xml:space="preserve">tatistics </w:t>
      </w:r>
      <w:r>
        <w:rPr>
          <w:rStyle w:val="A2"/>
          <w:sz w:val="16"/>
          <w:szCs w:val="16"/>
        </w:rPr>
        <w:t>and</w:t>
      </w:r>
      <w:r w:rsidRPr="00994BE5">
        <w:rPr>
          <w:rStyle w:val="A2"/>
          <w:sz w:val="16"/>
          <w:szCs w:val="16"/>
        </w:rPr>
        <w:t xml:space="preserve"> </w:t>
      </w:r>
      <w:r>
        <w:rPr>
          <w:rStyle w:val="A2"/>
          <w:sz w:val="16"/>
          <w:szCs w:val="16"/>
        </w:rPr>
        <w:t>t</w:t>
      </w:r>
      <w:r w:rsidRPr="00994BE5">
        <w:rPr>
          <w:rStyle w:val="A2"/>
          <w:sz w:val="16"/>
          <w:szCs w:val="16"/>
        </w:rPr>
        <w:t>rends 2017. Cancer Council Victoria, Melbourne.</w:t>
      </w:r>
    </w:p>
  </w:footnote>
  <w:footnote w:id="2">
    <w:p w14:paraId="673E5AB0" w14:textId="77777777" w:rsidR="00110FC6" w:rsidRPr="00CA34E1" w:rsidRDefault="00110FC6">
      <w:pPr>
        <w:pStyle w:val="FootnoteText"/>
        <w:rPr>
          <w:lang w:val="en-US"/>
        </w:rPr>
      </w:pPr>
      <w:r>
        <w:rPr>
          <w:rStyle w:val="FootnoteReference"/>
        </w:rPr>
        <w:footnoteRef/>
      </w:r>
      <w:r>
        <w:t xml:space="preserve"> </w:t>
      </w:r>
      <w:r>
        <w:rPr>
          <w:lang w:val="en-US"/>
        </w:rPr>
        <w:t>Ibid.</w:t>
      </w:r>
    </w:p>
  </w:footnote>
  <w:footnote w:id="3">
    <w:p w14:paraId="5E29FC2F" w14:textId="77777777" w:rsidR="00110FC6" w:rsidRPr="002C2B8E" w:rsidRDefault="00110FC6">
      <w:pPr>
        <w:pStyle w:val="FootnoteText"/>
        <w:rPr>
          <w:lang w:val="en-US"/>
        </w:rPr>
      </w:pPr>
      <w:r>
        <w:rPr>
          <w:rStyle w:val="FootnoteReference"/>
        </w:rPr>
        <w:footnoteRef/>
      </w:r>
      <w:r>
        <w:t xml:space="preserve"> </w:t>
      </w:r>
      <w:r>
        <w:rPr>
          <w:lang w:val="en-US"/>
        </w:rPr>
        <w:t>Ibid.</w:t>
      </w:r>
    </w:p>
  </w:footnote>
  <w:footnote w:id="4">
    <w:p w14:paraId="67B0F1C9" w14:textId="4720F1E2" w:rsidR="00110FC6" w:rsidRPr="007541FD" w:rsidRDefault="00110FC6" w:rsidP="007541FD">
      <w:pPr>
        <w:autoSpaceDE w:val="0"/>
        <w:autoSpaceDN w:val="0"/>
        <w:adjustRightInd w:val="0"/>
        <w:rPr>
          <w:rFonts w:ascii="VIC-Italic" w:hAnsi="VIC-Italic" w:cs="VIC-Italic"/>
          <w:i/>
          <w:iCs/>
          <w:sz w:val="19"/>
          <w:szCs w:val="19"/>
        </w:rPr>
      </w:pPr>
      <w:r>
        <w:rPr>
          <w:rStyle w:val="FootnoteReference"/>
        </w:rPr>
        <w:footnoteRef/>
      </w:r>
      <w:r>
        <w:t xml:space="preserve"> </w:t>
      </w:r>
      <w:r w:rsidRPr="007541FD">
        <w:rPr>
          <w:rFonts w:ascii="Arial" w:hAnsi="Arial" w:cs="Arial"/>
          <w:sz w:val="16"/>
          <w:szCs w:val="16"/>
        </w:rPr>
        <w:t>Department of Health and Human Services 2016</w:t>
      </w:r>
      <w:r>
        <w:rPr>
          <w:rFonts w:ascii="Arial" w:hAnsi="Arial" w:cs="Arial"/>
          <w:sz w:val="16"/>
          <w:szCs w:val="16"/>
        </w:rPr>
        <w:t>.</w:t>
      </w:r>
      <w:r w:rsidRPr="004E5730">
        <w:rPr>
          <w:rFonts w:ascii="Arial" w:hAnsi="Arial" w:cs="Arial"/>
          <w:sz w:val="16"/>
          <w:szCs w:val="16"/>
        </w:rPr>
        <w:t xml:space="preserve"> </w:t>
      </w:r>
      <w:r w:rsidRPr="00AA325E">
        <w:rPr>
          <w:rFonts w:ascii="Arial" w:hAnsi="Arial" w:cs="Arial"/>
          <w:sz w:val="16"/>
          <w:szCs w:val="16"/>
        </w:rPr>
        <w:t>Victorian cancer plan 2016–2020</w:t>
      </w:r>
      <w:r>
        <w:rPr>
          <w:rFonts w:ascii="Arial" w:hAnsi="Arial" w:cs="Arial"/>
          <w:sz w:val="16"/>
          <w:szCs w:val="16"/>
        </w:rPr>
        <w:t>:</w:t>
      </w:r>
      <w:r w:rsidRPr="00AA325E">
        <w:rPr>
          <w:rFonts w:ascii="Arial" w:hAnsi="Arial" w:cs="Arial"/>
          <w:sz w:val="16"/>
          <w:szCs w:val="16"/>
        </w:rPr>
        <w:t xml:space="preserve"> </w:t>
      </w:r>
      <w:r>
        <w:rPr>
          <w:rFonts w:ascii="Arial" w:hAnsi="Arial" w:cs="Arial"/>
          <w:sz w:val="16"/>
          <w:szCs w:val="16"/>
        </w:rPr>
        <w:t>i</w:t>
      </w:r>
      <w:r w:rsidRPr="00AA325E">
        <w:rPr>
          <w:rFonts w:ascii="Arial" w:hAnsi="Arial" w:cs="Arial"/>
          <w:sz w:val="16"/>
          <w:szCs w:val="16"/>
        </w:rPr>
        <w:t>mproving cancer outcomes for all Victorians</w:t>
      </w:r>
      <w:r w:rsidRPr="004E5730">
        <w:rPr>
          <w:rFonts w:ascii="Arial" w:hAnsi="Arial" w:cs="Arial"/>
          <w:sz w:val="16"/>
          <w:szCs w:val="16"/>
        </w:rPr>
        <w:t xml:space="preserve">. </w:t>
      </w:r>
      <w:r w:rsidRPr="007541FD">
        <w:rPr>
          <w:rFonts w:ascii="Arial" w:hAnsi="Arial" w:cs="Arial"/>
          <w:sz w:val="16"/>
          <w:szCs w:val="16"/>
        </w:rPr>
        <w:t>State Government of Victoria, Melbourne.</w:t>
      </w:r>
    </w:p>
  </w:footnote>
  <w:footnote w:id="5">
    <w:p w14:paraId="2F27238C" w14:textId="699719F6" w:rsidR="00110FC6" w:rsidRDefault="00110FC6">
      <w:pPr>
        <w:pStyle w:val="FootnoteText"/>
      </w:pPr>
      <w:r>
        <w:rPr>
          <w:rStyle w:val="FootnoteReference"/>
        </w:rPr>
        <w:footnoteRef/>
      </w:r>
      <w:r>
        <w:t xml:space="preserve"> Ibid.</w:t>
      </w:r>
    </w:p>
  </w:footnote>
  <w:footnote w:id="6">
    <w:p w14:paraId="0B0E9CC0" w14:textId="38925151" w:rsidR="00110FC6" w:rsidRPr="00D2579A" w:rsidRDefault="00110FC6" w:rsidP="00AA325E">
      <w:pPr>
        <w:rPr>
          <w:rFonts w:ascii="Arial" w:hAnsi="Arial" w:cs="Arial"/>
          <w:iCs/>
          <w:sz w:val="16"/>
          <w:szCs w:val="16"/>
        </w:rPr>
      </w:pPr>
      <w:r>
        <w:rPr>
          <w:rStyle w:val="FootnoteReference"/>
        </w:rPr>
        <w:footnoteRef/>
      </w:r>
      <w:r>
        <w:t xml:space="preserve"> </w:t>
      </w:r>
      <w:r w:rsidRPr="00754281">
        <w:rPr>
          <w:rFonts w:ascii="Arial" w:hAnsi="Arial" w:cs="Arial"/>
          <w:sz w:val="16"/>
          <w:szCs w:val="16"/>
        </w:rPr>
        <w:t>The cancer plan goals include a target to work together to save 10,000 lives by 2025, and that by 2040 we will</w:t>
      </w:r>
      <w:r>
        <w:rPr>
          <w:rFonts w:ascii="Arial" w:hAnsi="Arial" w:cs="Arial"/>
          <w:sz w:val="16"/>
          <w:szCs w:val="16"/>
        </w:rPr>
        <w:t>:</w:t>
      </w:r>
      <w:r>
        <w:rPr>
          <w:rFonts w:ascii="Arial" w:hAnsi="Arial" w:cs="Arial"/>
          <w:iCs/>
          <w:sz w:val="16"/>
          <w:szCs w:val="16"/>
        </w:rPr>
        <w:t xml:space="preserve"> </w:t>
      </w:r>
      <w:r w:rsidRPr="00AA325E">
        <w:rPr>
          <w:rFonts w:ascii="Arial" w:hAnsi="Arial" w:cs="Arial"/>
          <w:iCs/>
          <w:sz w:val="16"/>
          <w:szCs w:val="16"/>
        </w:rPr>
        <w:t>halve the proportion of Victorians diagnosed with preventable cancers</w:t>
      </w:r>
      <w:r>
        <w:rPr>
          <w:rFonts w:ascii="Arial" w:hAnsi="Arial" w:cs="Arial"/>
          <w:iCs/>
          <w:sz w:val="16"/>
          <w:szCs w:val="16"/>
        </w:rPr>
        <w:t>;</w:t>
      </w:r>
      <w:r w:rsidRPr="00AA325E">
        <w:rPr>
          <w:rFonts w:ascii="Arial" w:hAnsi="Arial" w:cs="Arial"/>
          <w:iCs/>
          <w:sz w:val="16"/>
          <w:szCs w:val="16"/>
        </w:rPr>
        <w:t xml:space="preserve"> double the improvement in one- and five-year survival of Victorians with cancer</w:t>
      </w:r>
      <w:r>
        <w:rPr>
          <w:rFonts w:ascii="Arial" w:hAnsi="Arial" w:cs="Arial"/>
          <w:iCs/>
          <w:sz w:val="16"/>
          <w:szCs w:val="16"/>
        </w:rPr>
        <w:t xml:space="preserve">; </w:t>
      </w:r>
      <w:r w:rsidRPr="00AA325E">
        <w:rPr>
          <w:rFonts w:ascii="Arial" w:hAnsi="Arial" w:cs="Arial"/>
          <w:iCs/>
          <w:sz w:val="16"/>
          <w:szCs w:val="16"/>
        </w:rPr>
        <w:t>ensure Victorians have the best possible experience of the cancer treatment and care system</w:t>
      </w:r>
      <w:r>
        <w:rPr>
          <w:rFonts w:ascii="Arial" w:hAnsi="Arial" w:cs="Arial"/>
          <w:iCs/>
          <w:sz w:val="16"/>
          <w:szCs w:val="16"/>
        </w:rPr>
        <w:t xml:space="preserve">; and </w:t>
      </w:r>
      <w:r w:rsidRPr="00AA325E">
        <w:rPr>
          <w:rFonts w:ascii="Arial" w:hAnsi="Arial" w:cs="Arial"/>
          <w:iCs/>
          <w:sz w:val="16"/>
          <w:szCs w:val="16"/>
        </w:rPr>
        <w:t>achieve equitable outcomes for all Victorians</w:t>
      </w:r>
      <w:r w:rsidRPr="00D2579A">
        <w:rPr>
          <w:rFonts w:ascii="Arial" w:hAnsi="Arial" w:cs="Arial"/>
          <w:iCs/>
          <w:sz w:val="16"/>
          <w:szCs w:val="16"/>
        </w:rPr>
        <w:t>.</w:t>
      </w:r>
    </w:p>
    <w:p w14:paraId="4AA02081" w14:textId="77777777" w:rsidR="00110FC6" w:rsidRDefault="00110FC6">
      <w:pPr>
        <w:pStyle w:val="FootnoteText"/>
      </w:pPr>
    </w:p>
  </w:footnote>
  <w:footnote w:id="7">
    <w:p w14:paraId="19D9C519" w14:textId="11025B06" w:rsidR="00110FC6" w:rsidRDefault="00110FC6" w:rsidP="00BD19A0">
      <w:pPr>
        <w:pStyle w:val="FootnoteText"/>
      </w:pPr>
      <w:r>
        <w:rPr>
          <w:rStyle w:val="FootnoteReference"/>
        </w:rPr>
        <w:footnoteRef/>
      </w:r>
      <w:r>
        <w:t xml:space="preserve"> </w:t>
      </w:r>
      <w:r w:rsidRPr="009264F6">
        <w:rPr>
          <w:rStyle w:val="A3"/>
          <w:sz w:val="16"/>
          <w:szCs w:val="16"/>
        </w:rPr>
        <w:t>Australian Institute of Health and Welfare 2019. Cancer in Australia 2019. Cancer series no.119. Cat. no. CAN 123.</w:t>
      </w:r>
      <w:r>
        <w:rPr>
          <w:rStyle w:val="A3"/>
          <w:sz w:val="16"/>
          <w:szCs w:val="16"/>
        </w:rPr>
        <w:t xml:space="preserve"> </w:t>
      </w:r>
      <w:r w:rsidRPr="009264F6">
        <w:rPr>
          <w:rStyle w:val="A3"/>
          <w:sz w:val="16"/>
          <w:szCs w:val="16"/>
        </w:rPr>
        <w:t>AIHW</w:t>
      </w:r>
      <w:r>
        <w:rPr>
          <w:rStyle w:val="A3"/>
          <w:sz w:val="16"/>
          <w:szCs w:val="16"/>
        </w:rPr>
        <w:t>,</w:t>
      </w:r>
      <w:r w:rsidRPr="00B40166">
        <w:rPr>
          <w:rStyle w:val="A3"/>
          <w:sz w:val="16"/>
          <w:szCs w:val="16"/>
        </w:rPr>
        <w:t xml:space="preserve"> </w:t>
      </w:r>
      <w:r w:rsidRPr="009264F6">
        <w:rPr>
          <w:rStyle w:val="A3"/>
          <w:sz w:val="16"/>
          <w:szCs w:val="16"/>
        </w:rPr>
        <w:t>Canberra.</w:t>
      </w:r>
    </w:p>
  </w:footnote>
  <w:footnote w:id="8">
    <w:p w14:paraId="6A70FD24" w14:textId="77777777" w:rsidR="00110FC6" w:rsidRDefault="00110FC6" w:rsidP="00A41E84">
      <w:pPr>
        <w:pStyle w:val="FootnoteText"/>
      </w:pPr>
      <w:r>
        <w:rPr>
          <w:rStyle w:val="FootnoteReference"/>
        </w:rPr>
        <w:footnoteRef/>
      </w:r>
      <w:r>
        <w:t xml:space="preserve"> </w:t>
      </w:r>
      <w:r>
        <w:rPr>
          <w:color w:val="222222"/>
        </w:rPr>
        <w:t>Whiteman DC, Webb PM, Green AC, et al. 2015. Cancers in Australia in 2010 attributable to modifiable factors: summary and conclusions. Australian and New Zealand Journal of Public Health. Oct;39(5):477-84.</w:t>
      </w:r>
    </w:p>
  </w:footnote>
  <w:footnote w:id="9">
    <w:p w14:paraId="0BAC2D17" w14:textId="77777777" w:rsidR="00110FC6" w:rsidRPr="001C0198" w:rsidRDefault="00110FC6" w:rsidP="00A41E84">
      <w:pPr>
        <w:pStyle w:val="FootnoteText"/>
        <w:spacing w:before="0" w:after="0" w:line="240" w:lineRule="auto"/>
        <w:rPr>
          <w:iCs/>
        </w:rPr>
      </w:pPr>
      <w:r>
        <w:rPr>
          <w:rStyle w:val="FootnoteReference"/>
        </w:rPr>
        <w:footnoteRef/>
      </w:r>
      <w:r>
        <w:t xml:space="preserve"> Department of Health and Human Services 2016.</w:t>
      </w:r>
      <w:r w:rsidRPr="00EA5DB6">
        <w:rPr>
          <w:i/>
        </w:rPr>
        <w:t xml:space="preserve"> </w:t>
      </w:r>
      <w:r w:rsidRPr="00A0588F">
        <w:rPr>
          <w:iCs/>
        </w:rPr>
        <w:t>Victorian cancer plan 2016–2020</w:t>
      </w:r>
      <w:r w:rsidRPr="001C0198">
        <w:rPr>
          <w:iCs/>
        </w:rPr>
        <w:t>.</w:t>
      </w:r>
      <w:r>
        <w:rPr>
          <w:iCs/>
        </w:rPr>
        <w:t xml:space="preserve"> State Government of Victoria, Melbourne.</w:t>
      </w:r>
    </w:p>
  </w:footnote>
  <w:footnote w:id="10">
    <w:p w14:paraId="2A6C7345" w14:textId="6EF98E52" w:rsidR="00110FC6" w:rsidRPr="00F87036" w:rsidRDefault="00110FC6">
      <w:pPr>
        <w:pStyle w:val="FootnoteText"/>
      </w:pPr>
      <w:r>
        <w:rPr>
          <w:rStyle w:val="FootnoteReference"/>
        </w:rPr>
        <w:footnoteRef/>
      </w:r>
      <w:r>
        <w:t xml:space="preserve"> </w:t>
      </w:r>
      <w:r w:rsidRPr="00F87036">
        <w:rPr>
          <w:color w:val="333333"/>
          <w:lang w:val="en"/>
        </w:rPr>
        <w:t>Australian Institute of Health and Welfare 2017. Cancer in Australia 2017. Cancer series no.101. Cat. no. CAN 100. AIHW</w:t>
      </w:r>
      <w:r>
        <w:rPr>
          <w:color w:val="333333"/>
          <w:lang w:val="en"/>
        </w:rPr>
        <w:t>,</w:t>
      </w:r>
      <w:r w:rsidRPr="00B40166">
        <w:rPr>
          <w:color w:val="333333"/>
          <w:lang w:val="en"/>
        </w:rPr>
        <w:t xml:space="preserve"> </w:t>
      </w:r>
      <w:r w:rsidRPr="00F87036">
        <w:rPr>
          <w:color w:val="333333"/>
          <w:lang w:val="en"/>
        </w:rPr>
        <w:t>Canberra.</w:t>
      </w:r>
    </w:p>
  </w:footnote>
  <w:footnote w:id="11">
    <w:p w14:paraId="532B4C25" w14:textId="7CE1EA7A" w:rsidR="00110FC6" w:rsidRPr="00E306C3" w:rsidRDefault="00110FC6">
      <w:pPr>
        <w:pStyle w:val="FootnoteText"/>
        <w:rPr>
          <w:lang w:val="en-NZ"/>
        </w:rPr>
      </w:pPr>
      <w:r>
        <w:rPr>
          <w:rStyle w:val="FootnoteReference"/>
        </w:rPr>
        <w:footnoteRef/>
      </w:r>
      <w:r>
        <w:t xml:space="preserve"> </w:t>
      </w:r>
      <w:r w:rsidRPr="00E306C3">
        <w:t>Australian Institute of Health and Welfare 2019. Cancer in Australia 2019. Cancer series no.119.</w:t>
      </w:r>
      <w:r>
        <w:t xml:space="preserve"> </w:t>
      </w:r>
      <w:r w:rsidRPr="00E306C3">
        <w:t>Cat. no. CAN 123. AIHW</w:t>
      </w:r>
      <w:r>
        <w:t>,</w:t>
      </w:r>
      <w:r w:rsidRPr="00B40166">
        <w:t xml:space="preserve"> </w:t>
      </w:r>
      <w:r w:rsidRPr="00E306C3">
        <w:t>Canberra.</w:t>
      </w:r>
    </w:p>
  </w:footnote>
  <w:footnote w:id="12">
    <w:p w14:paraId="09546E49" w14:textId="021A81A8" w:rsidR="00110FC6" w:rsidRPr="00BE6A23" w:rsidRDefault="00110FC6">
      <w:pPr>
        <w:pStyle w:val="FootnoteText"/>
        <w:rPr>
          <w:lang w:val="en-NZ"/>
        </w:rPr>
      </w:pPr>
      <w:r>
        <w:rPr>
          <w:rStyle w:val="FootnoteReference"/>
        </w:rPr>
        <w:footnoteRef/>
      </w:r>
      <w:r>
        <w:t xml:space="preserve"> </w:t>
      </w:r>
      <w:r w:rsidRPr="00BE6A23">
        <w:rPr>
          <w:lang w:val="en"/>
        </w:rPr>
        <w:t xml:space="preserve">Australian Institute of Health and Welfare 2017. ACIM (Australian Cancer Incidence </w:t>
      </w:r>
      <w:r>
        <w:rPr>
          <w:lang w:val="en"/>
        </w:rPr>
        <w:t xml:space="preserve">and Mortality) books. </w:t>
      </w:r>
      <w:r w:rsidRPr="00BE6A23">
        <w:rPr>
          <w:lang w:val="en"/>
        </w:rPr>
        <w:t>AIHW</w:t>
      </w:r>
      <w:r>
        <w:rPr>
          <w:lang w:val="en"/>
        </w:rPr>
        <w:t>,</w:t>
      </w:r>
      <w:r w:rsidRPr="00B40166">
        <w:rPr>
          <w:lang w:val="en"/>
        </w:rPr>
        <w:t xml:space="preserve"> </w:t>
      </w:r>
      <w:r>
        <w:rPr>
          <w:lang w:val="en"/>
        </w:rPr>
        <w:t>Canberra. Available from:</w:t>
      </w:r>
      <w:r w:rsidRPr="00BE6A23">
        <w:rPr>
          <w:lang w:val="en"/>
        </w:rPr>
        <w:t> </w:t>
      </w:r>
      <w:hyperlink r:id="rId1" w:history="1">
        <w:r w:rsidRPr="00BE6A23">
          <w:rPr>
            <w:rStyle w:val="Hyperlink"/>
            <w:color w:val="auto"/>
            <w:u w:val="none"/>
            <w:lang w:val="en"/>
          </w:rPr>
          <w:t>https://www.aihw.gov.au/reports/cancer/cancer-data-in-australia/acim-books</w:t>
        </w:r>
      </w:hyperlink>
    </w:p>
  </w:footnote>
  <w:footnote w:id="13">
    <w:p w14:paraId="7F69891B" w14:textId="2F98CFC6" w:rsidR="00110FC6" w:rsidRPr="00F77624" w:rsidRDefault="00110FC6" w:rsidP="000F5DFE">
      <w:pPr>
        <w:pStyle w:val="FootnoteText"/>
        <w:spacing w:before="0" w:after="0" w:line="240" w:lineRule="auto"/>
        <w:rPr>
          <w:lang w:val="en-US"/>
        </w:rPr>
      </w:pPr>
      <w:r>
        <w:rPr>
          <w:rStyle w:val="FootnoteReference"/>
        </w:rPr>
        <w:footnoteRef/>
      </w:r>
      <w:r w:rsidRPr="00F77624">
        <w:t xml:space="preserve"> </w:t>
      </w:r>
      <w:r w:rsidRPr="00F77624">
        <w:rPr>
          <w:rStyle w:val="A2"/>
          <w:sz w:val="16"/>
          <w:szCs w:val="16"/>
        </w:rPr>
        <w:t>Thursfield V, Farrugia H</w:t>
      </w:r>
      <w:r>
        <w:rPr>
          <w:rStyle w:val="A2"/>
          <w:sz w:val="16"/>
          <w:szCs w:val="16"/>
        </w:rPr>
        <w:t xml:space="preserve"> 2018.</w:t>
      </w:r>
      <w:r w:rsidRPr="00F77624">
        <w:rPr>
          <w:rStyle w:val="A2"/>
          <w:sz w:val="16"/>
          <w:szCs w:val="16"/>
        </w:rPr>
        <w:t xml:space="preserve"> Cancer in Victoria: </w:t>
      </w:r>
      <w:r>
        <w:rPr>
          <w:rStyle w:val="A2"/>
          <w:sz w:val="16"/>
          <w:szCs w:val="16"/>
        </w:rPr>
        <w:t>s</w:t>
      </w:r>
      <w:r w:rsidRPr="00F77624">
        <w:rPr>
          <w:rStyle w:val="A2"/>
          <w:sz w:val="16"/>
          <w:szCs w:val="16"/>
        </w:rPr>
        <w:t xml:space="preserve">tatistics &amp; </w:t>
      </w:r>
      <w:r>
        <w:rPr>
          <w:rStyle w:val="A2"/>
          <w:sz w:val="16"/>
          <w:szCs w:val="16"/>
        </w:rPr>
        <w:t>t</w:t>
      </w:r>
      <w:r w:rsidRPr="00F77624">
        <w:rPr>
          <w:rStyle w:val="A2"/>
          <w:sz w:val="16"/>
          <w:szCs w:val="16"/>
        </w:rPr>
        <w:t>rends 2017. Cancer Council Victoria, Melbourne</w:t>
      </w:r>
      <w:r>
        <w:rPr>
          <w:rStyle w:val="A2"/>
          <w:sz w:val="16"/>
          <w:szCs w:val="16"/>
        </w:rPr>
        <w:t>.</w:t>
      </w:r>
    </w:p>
  </w:footnote>
  <w:footnote w:id="14">
    <w:p w14:paraId="63CA2360" w14:textId="1DEAB078" w:rsidR="00110FC6" w:rsidRPr="0093394C" w:rsidRDefault="00110FC6">
      <w:pPr>
        <w:pStyle w:val="FootnoteText"/>
        <w:rPr>
          <w:lang w:val="en-NZ"/>
        </w:rPr>
      </w:pPr>
      <w:r>
        <w:rPr>
          <w:rStyle w:val="FootnoteReference"/>
        </w:rPr>
        <w:footnoteRef/>
      </w:r>
      <w:r>
        <w:t xml:space="preserve"> </w:t>
      </w:r>
      <w:r w:rsidRPr="0093394C">
        <w:rPr>
          <w:lang w:val="en"/>
        </w:rPr>
        <w:t>Australian Institute of Health and Welfare &amp; Cancer Australia 2011. Lung cancer in Australia: an overview. Cancer series no. 64. Cat. no. CAN 58. AIHW</w:t>
      </w:r>
      <w:r>
        <w:rPr>
          <w:lang w:val="en"/>
        </w:rPr>
        <w:t>,</w:t>
      </w:r>
      <w:r w:rsidRPr="00B40166">
        <w:rPr>
          <w:lang w:val="en"/>
        </w:rPr>
        <w:t xml:space="preserve"> </w:t>
      </w:r>
      <w:r w:rsidRPr="0093394C">
        <w:rPr>
          <w:lang w:val="en"/>
        </w:rPr>
        <w:t>Canberra</w:t>
      </w:r>
      <w:r>
        <w:rPr>
          <w:rFonts w:ascii="myriad-pro" w:hAnsi="myriad-pro"/>
          <w:color w:val="333333"/>
          <w:lang w:val="en"/>
        </w:rPr>
        <w:t>.</w:t>
      </w:r>
    </w:p>
  </w:footnote>
  <w:footnote w:id="15">
    <w:p w14:paraId="27FDC189" w14:textId="475760CB" w:rsidR="00110FC6" w:rsidRDefault="00110FC6">
      <w:pPr>
        <w:pStyle w:val="FootnoteText"/>
      </w:pPr>
      <w:r>
        <w:rPr>
          <w:rStyle w:val="FootnoteReference"/>
        </w:rPr>
        <w:footnoteRef/>
      </w:r>
      <w:r>
        <w:t xml:space="preserve"> </w:t>
      </w:r>
      <w:r w:rsidRPr="00733297">
        <w:rPr>
          <w:rStyle w:val="groupname"/>
          <w:color w:val="1C1D1E"/>
          <w:lang w:val="en"/>
        </w:rPr>
        <w:t>World Health Organization</w:t>
      </w:r>
      <w:r>
        <w:rPr>
          <w:rStyle w:val="groupname"/>
          <w:color w:val="1C1D1E"/>
          <w:lang w:val="en"/>
        </w:rPr>
        <w:t xml:space="preserve"> 2018</w:t>
      </w:r>
      <w:r w:rsidRPr="00733297">
        <w:rPr>
          <w:color w:val="1C1D1E"/>
          <w:lang w:val="en"/>
        </w:rPr>
        <w:t xml:space="preserve">. </w:t>
      </w:r>
      <w:r w:rsidRPr="00733297">
        <w:rPr>
          <w:rStyle w:val="othertitle"/>
          <w:color w:val="1C1D1E"/>
          <w:lang w:val="en"/>
        </w:rPr>
        <w:t>Global Health Observatory</w:t>
      </w:r>
      <w:r w:rsidRPr="00733297">
        <w:rPr>
          <w:color w:val="1C1D1E"/>
          <w:lang w:val="en"/>
        </w:rPr>
        <w:t>. World Health Organization</w:t>
      </w:r>
      <w:r>
        <w:rPr>
          <w:rStyle w:val="pubyear"/>
          <w:color w:val="1C1D1E"/>
          <w:lang w:val="en"/>
        </w:rPr>
        <w:t>, Geneva</w:t>
      </w:r>
      <w:r w:rsidRPr="00733297">
        <w:rPr>
          <w:color w:val="1C1D1E"/>
          <w:lang w:val="en"/>
        </w:rPr>
        <w:t>.</w:t>
      </w:r>
      <w:r>
        <w:rPr>
          <w:color w:val="1C1D1E"/>
          <w:lang w:val="en"/>
        </w:rPr>
        <w:t xml:space="preserve"> Available from:</w:t>
      </w:r>
      <w:r w:rsidRPr="00733297">
        <w:rPr>
          <w:color w:val="1C1D1E"/>
          <w:lang w:val="en"/>
        </w:rPr>
        <w:t xml:space="preserve"> who.int/gho/database/en/</w:t>
      </w:r>
    </w:p>
  </w:footnote>
  <w:footnote w:id="16">
    <w:p w14:paraId="64AE5E3C" w14:textId="0A492C0A" w:rsidR="00110FC6" w:rsidRDefault="00110FC6">
      <w:pPr>
        <w:pStyle w:val="FootnoteText"/>
      </w:pPr>
      <w:r>
        <w:rPr>
          <w:rStyle w:val="FootnoteReference"/>
        </w:rPr>
        <w:footnoteRef/>
      </w:r>
      <w:r>
        <w:t xml:space="preserve"> </w:t>
      </w:r>
      <w:r>
        <w:rPr>
          <w:color w:val="222222"/>
        </w:rPr>
        <w:t>Feletto E, Yu XQ, Lew JB, et al. 2019. Trends in colon and rectal cancer incidence in Australia from 1982 to 2014: analysis of data on over 375,000 cases. Cancer Epidemiology and Prevention Biomarkers. Jan 1;28(1):83-90.</w:t>
      </w:r>
    </w:p>
  </w:footnote>
  <w:footnote w:id="17">
    <w:p w14:paraId="14DCF313" w14:textId="37A0F95F" w:rsidR="00110FC6" w:rsidRDefault="00110FC6">
      <w:pPr>
        <w:pStyle w:val="FootnoteText"/>
      </w:pPr>
      <w:r>
        <w:rPr>
          <w:rStyle w:val="FootnoteReference"/>
        </w:rPr>
        <w:footnoteRef/>
      </w:r>
      <w:r>
        <w:t xml:space="preserve"> </w:t>
      </w:r>
      <w:r w:rsidRPr="00994BE5">
        <w:rPr>
          <w:rStyle w:val="A2"/>
          <w:sz w:val="16"/>
          <w:szCs w:val="16"/>
        </w:rPr>
        <w:t>Thursfield V, Farrugia H</w:t>
      </w:r>
      <w:r>
        <w:rPr>
          <w:rStyle w:val="A2"/>
          <w:sz w:val="16"/>
          <w:szCs w:val="16"/>
        </w:rPr>
        <w:t xml:space="preserve"> 2018.</w:t>
      </w:r>
      <w:r w:rsidRPr="00994BE5">
        <w:rPr>
          <w:rStyle w:val="A2"/>
          <w:sz w:val="16"/>
          <w:szCs w:val="16"/>
        </w:rPr>
        <w:t xml:space="preserve"> Cancer in Victoria: </w:t>
      </w:r>
      <w:r>
        <w:rPr>
          <w:rStyle w:val="A2"/>
          <w:sz w:val="16"/>
          <w:szCs w:val="16"/>
        </w:rPr>
        <w:t>s</w:t>
      </w:r>
      <w:r w:rsidRPr="00994BE5">
        <w:rPr>
          <w:rStyle w:val="A2"/>
          <w:sz w:val="16"/>
          <w:szCs w:val="16"/>
        </w:rPr>
        <w:t xml:space="preserve">tatistics &amp; </w:t>
      </w:r>
      <w:r>
        <w:rPr>
          <w:rStyle w:val="A2"/>
          <w:sz w:val="16"/>
          <w:szCs w:val="16"/>
        </w:rPr>
        <w:t>t</w:t>
      </w:r>
      <w:r w:rsidRPr="00994BE5">
        <w:rPr>
          <w:rStyle w:val="A2"/>
          <w:sz w:val="16"/>
          <w:szCs w:val="16"/>
        </w:rPr>
        <w:t>rends 2017. Cancer Council Victoria, Melbourne.</w:t>
      </w:r>
    </w:p>
  </w:footnote>
  <w:footnote w:id="18">
    <w:p w14:paraId="579E2085" w14:textId="13395E1A" w:rsidR="00110FC6" w:rsidRPr="00B33C91" w:rsidRDefault="00110FC6">
      <w:pPr>
        <w:pStyle w:val="FootnoteText"/>
        <w:rPr>
          <w:lang w:val="en-NZ"/>
        </w:rPr>
      </w:pPr>
      <w:r>
        <w:rPr>
          <w:rStyle w:val="FootnoteReference"/>
        </w:rPr>
        <w:footnoteRef/>
      </w:r>
      <w:r>
        <w:t xml:space="preserve"> See: </w:t>
      </w:r>
      <w:r w:rsidRPr="00B33C91">
        <w:t>https://www.cancer.org.au/about-cancer/types-of-cancer/skin-cancer/melanoma.html</w:t>
      </w:r>
    </w:p>
  </w:footnote>
  <w:footnote w:id="19">
    <w:p w14:paraId="668D3B75" w14:textId="7CBDAA40" w:rsidR="00110FC6" w:rsidRPr="00F504E1" w:rsidRDefault="00110FC6" w:rsidP="00603C09">
      <w:pPr>
        <w:pStyle w:val="FootnoteText"/>
        <w:rPr>
          <w:lang w:val="en-NZ"/>
        </w:rPr>
      </w:pPr>
      <w:r>
        <w:rPr>
          <w:rStyle w:val="FootnoteReference"/>
        </w:rPr>
        <w:footnoteRef/>
      </w:r>
      <w:r>
        <w:t xml:space="preserve"> </w:t>
      </w:r>
      <w:r>
        <w:rPr>
          <w:color w:val="222222"/>
        </w:rPr>
        <w:t>Karimkhani C, Green AC, Nijsten T, et al. 2017. The global burden of melanoma: results from the Global Burden of Disease Study 2015. British Journal of Dermatology. Jul;177(1):134-40.</w:t>
      </w:r>
    </w:p>
  </w:footnote>
  <w:footnote w:id="20">
    <w:p w14:paraId="5D460E64" w14:textId="00EF45D6" w:rsidR="00110FC6" w:rsidRPr="00F504E1" w:rsidRDefault="00110FC6">
      <w:pPr>
        <w:pStyle w:val="FootnoteText"/>
        <w:rPr>
          <w:lang w:val="en-NZ"/>
        </w:rPr>
      </w:pPr>
      <w:r>
        <w:rPr>
          <w:rStyle w:val="FootnoteReference"/>
        </w:rPr>
        <w:footnoteRef/>
      </w:r>
      <w:r>
        <w:t xml:space="preserve"> </w:t>
      </w:r>
      <w:r>
        <w:rPr>
          <w:color w:val="222222"/>
        </w:rPr>
        <w:t>Ibid.</w:t>
      </w:r>
    </w:p>
  </w:footnote>
  <w:footnote w:id="21">
    <w:p w14:paraId="283AC065" w14:textId="3DD93410" w:rsidR="00110FC6" w:rsidRPr="00CB7B59" w:rsidRDefault="00110FC6">
      <w:pPr>
        <w:pStyle w:val="FootnoteText"/>
        <w:rPr>
          <w:lang w:val="en-NZ"/>
        </w:rPr>
      </w:pPr>
      <w:r>
        <w:rPr>
          <w:rStyle w:val="FootnoteReference"/>
        </w:rPr>
        <w:footnoteRef/>
      </w:r>
      <w:r>
        <w:t xml:space="preserve"> See: </w:t>
      </w:r>
      <w:r w:rsidRPr="00CB7B59">
        <w:t>https://melanoma.canceraustralia.gov.au/statistics</w:t>
      </w:r>
    </w:p>
  </w:footnote>
  <w:footnote w:id="22">
    <w:p w14:paraId="52250569" w14:textId="698C7153" w:rsidR="00110FC6" w:rsidRPr="00CB7B59" w:rsidRDefault="00110FC6" w:rsidP="00CB7B59">
      <w:pPr>
        <w:pStyle w:val="FootnoteText"/>
        <w:rPr>
          <w:lang w:val="en-NZ"/>
        </w:rPr>
      </w:pPr>
      <w:r>
        <w:rPr>
          <w:rStyle w:val="FootnoteReference"/>
        </w:rPr>
        <w:footnoteRef/>
      </w:r>
      <w:r>
        <w:t xml:space="preserve"> </w:t>
      </w:r>
      <w:r w:rsidRPr="00994BE5">
        <w:rPr>
          <w:rStyle w:val="A2"/>
          <w:sz w:val="16"/>
          <w:szCs w:val="16"/>
        </w:rPr>
        <w:t>Thursfield V, Farrugia H</w:t>
      </w:r>
      <w:r>
        <w:rPr>
          <w:rStyle w:val="A2"/>
          <w:sz w:val="16"/>
          <w:szCs w:val="16"/>
        </w:rPr>
        <w:t xml:space="preserve"> 2018</w:t>
      </w:r>
      <w:r w:rsidRPr="00994BE5">
        <w:rPr>
          <w:rStyle w:val="A2"/>
          <w:sz w:val="16"/>
          <w:szCs w:val="16"/>
        </w:rPr>
        <w:t xml:space="preserve">. Cancer in Victoria: </w:t>
      </w:r>
      <w:r>
        <w:rPr>
          <w:rStyle w:val="A2"/>
          <w:sz w:val="16"/>
          <w:szCs w:val="16"/>
        </w:rPr>
        <w:t>s</w:t>
      </w:r>
      <w:r w:rsidRPr="00994BE5">
        <w:rPr>
          <w:rStyle w:val="A2"/>
          <w:sz w:val="16"/>
          <w:szCs w:val="16"/>
        </w:rPr>
        <w:t xml:space="preserve">tatistics &amp; </w:t>
      </w:r>
      <w:r>
        <w:rPr>
          <w:rStyle w:val="A2"/>
          <w:sz w:val="16"/>
          <w:szCs w:val="16"/>
        </w:rPr>
        <w:t>t</w:t>
      </w:r>
      <w:r w:rsidRPr="00994BE5">
        <w:rPr>
          <w:rStyle w:val="A2"/>
          <w:sz w:val="16"/>
          <w:szCs w:val="16"/>
        </w:rPr>
        <w:t>rends 2017. Cancer Council Victoria, Melbourne.</w:t>
      </w:r>
    </w:p>
  </w:footnote>
  <w:footnote w:id="23">
    <w:p w14:paraId="529E1DE6" w14:textId="5C1B23D4" w:rsidR="00110FC6" w:rsidRDefault="00110FC6">
      <w:pPr>
        <w:pStyle w:val="FootnoteText"/>
      </w:pPr>
      <w:r>
        <w:rPr>
          <w:rStyle w:val="FootnoteReference"/>
        </w:rPr>
        <w:footnoteRef/>
      </w:r>
      <w:r>
        <w:t xml:space="preserve"> </w:t>
      </w:r>
      <w:r>
        <w:rPr>
          <w:color w:val="222222"/>
        </w:rPr>
        <w:t>Ghoncheh M, Pournamdar Z, Salehiniya H 2016. Incidence and mortality and epidemiology of breast cancer in the world. Asia-Pacific Journal of Cancer Prevention. 17(S3):43-6.</w:t>
      </w:r>
    </w:p>
  </w:footnote>
  <w:footnote w:id="24">
    <w:p w14:paraId="3BA51FAC" w14:textId="7595A75D" w:rsidR="00110FC6" w:rsidRPr="007C2E4B" w:rsidRDefault="00110FC6">
      <w:pPr>
        <w:pStyle w:val="FootnoteText"/>
        <w:rPr>
          <w:lang w:val="en-NZ"/>
        </w:rPr>
      </w:pPr>
      <w:r>
        <w:rPr>
          <w:rStyle w:val="FootnoteReference"/>
        </w:rPr>
        <w:footnoteRef/>
      </w:r>
      <w:r>
        <w:t xml:space="preserve"> See: </w:t>
      </w:r>
      <w:r w:rsidRPr="00033E05">
        <w:t>https://breast-cancer.canceraustralia.gov.au/statistics</w:t>
      </w:r>
    </w:p>
  </w:footnote>
  <w:footnote w:id="25">
    <w:p w14:paraId="7F12F03E" w14:textId="183A5615" w:rsidR="00110FC6" w:rsidRPr="00A61269" w:rsidRDefault="00110FC6">
      <w:pPr>
        <w:pStyle w:val="FootnoteText"/>
        <w:rPr>
          <w:lang w:val="en-NZ"/>
        </w:rPr>
      </w:pPr>
      <w:r>
        <w:rPr>
          <w:rStyle w:val="FootnoteReference"/>
        </w:rPr>
        <w:footnoteRef/>
      </w:r>
      <w:r>
        <w:t xml:space="preserve"> </w:t>
      </w:r>
      <w:r w:rsidRPr="00994BE5">
        <w:rPr>
          <w:rStyle w:val="A2"/>
          <w:sz w:val="16"/>
          <w:szCs w:val="16"/>
        </w:rPr>
        <w:t>Thursfield V, Farrugia H</w:t>
      </w:r>
      <w:r>
        <w:rPr>
          <w:rStyle w:val="A2"/>
          <w:sz w:val="16"/>
          <w:szCs w:val="16"/>
        </w:rPr>
        <w:t xml:space="preserve"> 2018</w:t>
      </w:r>
      <w:r w:rsidRPr="00994BE5">
        <w:rPr>
          <w:rStyle w:val="A2"/>
          <w:sz w:val="16"/>
          <w:szCs w:val="16"/>
        </w:rPr>
        <w:t xml:space="preserve">. Cancer in Victoria: </w:t>
      </w:r>
      <w:r>
        <w:rPr>
          <w:rStyle w:val="A2"/>
          <w:sz w:val="16"/>
          <w:szCs w:val="16"/>
        </w:rPr>
        <w:t>s</w:t>
      </w:r>
      <w:r w:rsidRPr="00994BE5">
        <w:rPr>
          <w:rStyle w:val="A2"/>
          <w:sz w:val="16"/>
          <w:szCs w:val="16"/>
        </w:rPr>
        <w:t xml:space="preserve">tatistics &amp; </w:t>
      </w:r>
      <w:r>
        <w:rPr>
          <w:rStyle w:val="A2"/>
          <w:sz w:val="16"/>
          <w:szCs w:val="16"/>
        </w:rPr>
        <w:t>t</w:t>
      </w:r>
      <w:r w:rsidRPr="00994BE5">
        <w:rPr>
          <w:rStyle w:val="A2"/>
          <w:sz w:val="16"/>
          <w:szCs w:val="16"/>
        </w:rPr>
        <w:t>rends 2017. Cancer Council Victoria, Melbourne.</w:t>
      </w:r>
    </w:p>
  </w:footnote>
  <w:footnote w:id="26">
    <w:p w14:paraId="5C91CBC0" w14:textId="768E6842" w:rsidR="00110FC6" w:rsidRPr="00A5001A" w:rsidRDefault="00110FC6">
      <w:pPr>
        <w:pStyle w:val="FootnoteText"/>
        <w:rPr>
          <w:lang w:val="en-NZ"/>
        </w:rPr>
      </w:pPr>
      <w:r>
        <w:rPr>
          <w:rStyle w:val="FootnoteReference"/>
        </w:rPr>
        <w:footnoteRef/>
      </w:r>
      <w:r>
        <w:t xml:space="preserve"> </w:t>
      </w:r>
      <w:r>
        <w:rPr>
          <w:lang w:val="en-NZ"/>
        </w:rPr>
        <w:t>Ibid.</w:t>
      </w:r>
    </w:p>
  </w:footnote>
  <w:footnote w:id="27">
    <w:p w14:paraId="1D1BF8C1" w14:textId="381E5E59" w:rsidR="00110FC6" w:rsidRPr="000D6D4B" w:rsidRDefault="00110FC6">
      <w:pPr>
        <w:pStyle w:val="FootnoteText"/>
        <w:rPr>
          <w:lang w:val="en-NZ"/>
        </w:rPr>
      </w:pPr>
      <w:r>
        <w:rPr>
          <w:rStyle w:val="FootnoteReference"/>
        </w:rPr>
        <w:footnoteRef/>
      </w:r>
      <w:r>
        <w:t xml:space="preserve"> </w:t>
      </w:r>
      <w:r w:rsidRPr="000D6D4B">
        <w:t xml:space="preserve">Bray F, Ferlay J, Soerjomataram I, </w:t>
      </w:r>
      <w:r>
        <w:t>et al</w:t>
      </w:r>
      <w:r w:rsidRPr="000D6D4B">
        <w:t>.</w:t>
      </w:r>
      <w:r>
        <w:t xml:space="preserve"> 2018.</w:t>
      </w:r>
      <w:r w:rsidRPr="000D6D4B">
        <w:t xml:space="preserve"> Global cancer statistics 2018: GLOBOCAN estimates of incidence and mortality worldwide for 36 cancers in 185 countries. </w:t>
      </w:r>
      <w:r w:rsidRPr="00D137C8">
        <w:rPr>
          <w:iCs/>
        </w:rPr>
        <w:t>CA: a Cancer Journal for Clinicians</w:t>
      </w:r>
      <w:r w:rsidRPr="001C0198">
        <w:rPr>
          <w:iCs/>
        </w:rPr>
        <w:t>.</w:t>
      </w:r>
      <w:r w:rsidRPr="000D6D4B">
        <w:t xml:space="preserve"> Nov;68 (6):394-424.</w:t>
      </w:r>
    </w:p>
  </w:footnote>
  <w:footnote w:id="28">
    <w:p w14:paraId="7E917EC3" w14:textId="0A280793" w:rsidR="00110FC6" w:rsidRPr="000D6D4B" w:rsidRDefault="00110FC6">
      <w:pPr>
        <w:pStyle w:val="FootnoteText"/>
        <w:rPr>
          <w:lang w:val="en-NZ"/>
        </w:rPr>
      </w:pPr>
      <w:r>
        <w:rPr>
          <w:rStyle w:val="FootnoteReference"/>
        </w:rPr>
        <w:footnoteRef/>
      </w:r>
      <w:r>
        <w:t xml:space="preserve"> </w:t>
      </w:r>
      <w:r w:rsidRPr="000D6D4B">
        <w:t>IARC Working Group on the Evaluation of Carcinogenic Risks to Humans. Human papillomaviruses</w:t>
      </w:r>
      <w:r>
        <w:t xml:space="preserve"> 2007</w:t>
      </w:r>
      <w:r w:rsidRPr="000D6D4B">
        <w:t>. IARC Monogr</w:t>
      </w:r>
      <w:r>
        <w:t>aphs</w:t>
      </w:r>
      <w:r w:rsidRPr="000D6D4B">
        <w:t xml:space="preserve"> </w:t>
      </w:r>
      <w:r>
        <w:t xml:space="preserve">on the </w:t>
      </w:r>
      <w:r w:rsidRPr="000D6D4B">
        <w:t>Eval</w:t>
      </w:r>
      <w:r>
        <w:t>uation of</w:t>
      </w:r>
      <w:r w:rsidRPr="000D6D4B">
        <w:t xml:space="preserve"> Carcinog</w:t>
      </w:r>
      <w:r>
        <w:t>enic</w:t>
      </w:r>
      <w:r w:rsidRPr="000D6D4B">
        <w:t xml:space="preserve"> Risks </w:t>
      </w:r>
      <w:r>
        <w:t xml:space="preserve">to </w:t>
      </w:r>
      <w:r w:rsidRPr="000D6D4B">
        <w:t>Hum</w:t>
      </w:r>
      <w:r>
        <w:t xml:space="preserve">ans. </w:t>
      </w:r>
      <w:r w:rsidRPr="000D6D4B">
        <w:t>90:</w:t>
      </w:r>
      <w:r>
        <w:t xml:space="preserve"> </w:t>
      </w:r>
      <w:r w:rsidRPr="000D6D4B">
        <w:t>1-636.</w:t>
      </w:r>
    </w:p>
  </w:footnote>
  <w:footnote w:id="29">
    <w:p w14:paraId="19BF8A6A" w14:textId="74B5E4EB" w:rsidR="00110FC6" w:rsidRPr="00750734" w:rsidRDefault="00110FC6">
      <w:pPr>
        <w:pStyle w:val="FootnoteText"/>
        <w:rPr>
          <w:lang w:val="en-NZ"/>
        </w:rPr>
      </w:pPr>
      <w:r>
        <w:rPr>
          <w:rStyle w:val="FootnoteReference"/>
        </w:rPr>
        <w:footnoteRef/>
      </w:r>
      <w:r>
        <w:t xml:space="preserve"> See: </w:t>
      </w:r>
      <w:r w:rsidRPr="00750734">
        <w:t>https://cervical-cancer.canceraustralia.gov.au/statistics</w:t>
      </w:r>
    </w:p>
  </w:footnote>
  <w:footnote w:id="30">
    <w:p w14:paraId="00BCE65B" w14:textId="11B0C568" w:rsidR="00110FC6" w:rsidRDefault="00110FC6" w:rsidP="00D95810">
      <w:pPr>
        <w:pStyle w:val="FootnoteText"/>
      </w:pPr>
      <w:r>
        <w:rPr>
          <w:rStyle w:val="FootnoteReference"/>
        </w:rPr>
        <w:footnoteRef/>
      </w:r>
      <w:r>
        <w:t xml:space="preserve"> </w:t>
      </w:r>
      <w:r>
        <w:rPr>
          <w:color w:val="222222"/>
        </w:rPr>
        <w:t>Hall MT, Simms KT, Lew JB, et al. 2019. The projected timeframe until cervical cancer elimination in Australia: a modelling study.</w:t>
      </w:r>
      <w:r w:rsidRPr="00A46CCA">
        <w:rPr>
          <w:color w:val="222222"/>
        </w:rPr>
        <w:t xml:space="preserve"> </w:t>
      </w:r>
      <w:r w:rsidRPr="00033E05">
        <w:rPr>
          <w:color w:val="222222"/>
        </w:rPr>
        <w:t>The Lancet Public Health</w:t>
      </w:r>
      <w:r w:rsidRPr="00A46CCA">
        <w:rPr>
          <w:color w:val="222222"/>
        </w:rPr>
        <w:t>.</w:t>
      </w:r>
      <w:r>
        <w:rPr>
          <w:color w:val="222222"/>
        </w:rPr>
        <w:t xml:space="preserve"> 4(1):</w:t>
      </w:r>
      <w:r w:rsidRPr="002D198D">
        <w:rPr>
          <w:color w:val="222222"/>
        </w:rPr>
        <w:t xml:space="preserve"> PE19-E27</w:t>
      </w:r>
      <w:r>
        <w:rPr>
          <w:color w:val="222222"/>
        </w:rPr>
        <w:t>.</w:t>
      </w:r>
    </w:p>
  </w:footnote>
  <w:footnote w:id="31">
    <w:p w14:paraId="3B5ABC84" w14:textId="23F74477" w:rsidR="00110FC6" w:rsidRPr="000D6D4B" w:rsidRDefault="00110FC6">
      <w:pPr>
        <w:pStyle w:val="FootnoteText"/>
      </w:pPr>
      <w:r>
        <w:rPr>
          <w:rStyle w:val="FootnoteReference"/>
        </w:rPr>
        <w:footnoteRef/>
      </w:r>
      <w:r>
        <w:t xml:space="preserve"> </w:t>
      </w:r>
      <w:r w:rsidRPr="000D6D4B">
        <w:t xml:space="preserve">Bray F, Ferlay J, Soerjomataram I, </w:t>
      </w:r>
      <w:r>
        <w:t>et al</w:t>
      </w:r>
      <w:r w:rsidRPr="000D6D4B">
        <w:t xml:space="preserve">. </w:t>
      </w:r>
      <w:r>
        <w:t xml:space="preserve">2018. </w:t>
      </w:r>
      <w:r w:rsidRPr="000D6D4B">
        <w:t xml:space="preserve">Global cancer statistics 2018: GLOBOCAN estimates of incidence and mortality worldwide for 36 cancers in 185 countries. </w:t>
      </w:r>
      <w:r w:rsidRPr="00D137C8">
        <w:rPr>
          <w:iCs/>
        </w:rPr>
        <w:t>CA: a Cancer Journal for Clinicians</w:t>
      </w:r>
      <w:r w:rsidRPr="001C0198">
        <w:rPr>
          <w:iCs/>
        </w:rPr>
        <w:t>.</w:t>
      </w:r>
      <w:r w:rsidRPr="000D6D4B">
        <w:t xml:space="preserve"> Nov;68 (6):394-424.</w:t>
      </w:r>
    </w:p>
  </w:footnote>
  <w:footnote w:id="32">
    <w:p w14:paraId="582B55A8" w14:textId="600A4579" w:rsidR="00110FC6" w:rsidRDefault="00110FC6">
      <w:pPr>
        <w:pStyle w:val="FootnoteText"/>
      </w:pPr>
      <w:r>
        <w:rPr>
          <w:rStyle w:val="FootnoteReference"/>
        </w:rPr>
        <w:footnoteRef/>
      </w:r>
      <w:r>
        <w:t xml:space="preserve"> See: </w:t>
      </w:r>
      <w:r w:rsidRPr="00D62A91">
        <w:t>https://liver-cancer.canceraustralia.gov.au/statistics</w:t>
      </w:r>
    </w:p>
  </w:footnote>
  <w:footnote w:id="33">
    <w:p w14:paraId="19905982" w14:textId="353C710C" w:rsidR="00110FC6" w:rsidRDefault="00110FC6" w:rsidP="00A72FE9">
      <w:pPr>
        <w:pStyle w:val="FootnoteText"/>
      </w:pPr>
      <w:r>
        <w:rPr>
          <w:rStyle w:val="FootnoteReference"/>
        </w:rPr>
        <w:footnoteRef/>
      </w:r>
      <w:r>
        <w:t xml:space="preserve"> Ibid.</w:t>
      </w:r>
    </w:p>
  </w:footnote>
  <w:footnote w:id="34">
    <w:p w14:paraId="0B079E73" w14:textId="13F0CF1F" w:rsidR="00110FC6" w:rsidRPr="003F1C3D" w:rsidRDefault="00110FC6">
      <w:pPr>
        <w:pStyle w:val="FootnoteText"/>
      </w:pPr>
      <w:r w:rsidRPr="003F1C3D">
        <w:rPr>
          <w:rStyle w:val="FootnoteReference"/>
        </w:rPr>
        <w:footnoteRef/>
      </w:r>
      <w:r w:rsidRPr="003F1C3D">
        <w:t xml:space="preserve"> Supramaniam R, O’Connell D, Robotin M, </w:t>
      </w:r>
      <w:r>
        <w:t>et al</w:t>
      </w:r>
      <w:r w:rsidRPr="003F1C3D">
        <w:t>.</w:t>
      </w:r>
      <w:r>
        <w:t xml:space="preserve"> 2008.</w:t>
      </w:r>
      <w:r w:rsidRPr="003F1C3D">
        <w:t xml:space="preserve"> Future cancer trends to be influenced by past and future migration. Aust</w:t>
      </w:r>
      <w:r>
        <w:t>ralia and</w:t>
      </w:r>
      <w:r w:rsidRPr="003F1C3D">
        <w:t xml:space="preserve"> N</w:t>
      </w:r>
      <w:r>
        <w:t>ew</w:t>
      </w:r>
      <w:r w:rsidRPr="003F1C3D">
        <w:t xml:space="preserve"> Z</w:t>
      </w:r>
      <w:r>
        <w:t>ealand</w:t>
      </w:r>
      <w:r w:rsidRPr="003F1C3D">
        <w:t xml:space="preserve"> J</w:t>
      </w:r>
      <w:r>
        <w:t>ournal of</w:t>
      </w:r>
      <w:r w:rsidRPr="003F1C3D">
        <w:t xml:space="preserve"> Public Health</w:t>
      </w:r>
      <w:r>
        <w:t>.</w:t>
      </w:r>
      <w:r w:rsidRPr="003F1C3D">
        <w:t xml:space="preserve"> 32:90</w:t>
      </w:r>
      <w:r>
        <w:t>-</w:t>
      </w:r>
      <w:r w:rsidRPr="003F1C3D">
        <w:t>2.</w:t>
      </w:r>
    </w:p>
  </w:footnote>
  <w:footnote w:id="35">
    <w:p w14:paraId="2FC60B73" w14:textId="33031D91" w:rsidR="00110FC6" w:rsidRDefault="00110FC6">
      <w:pPr>
        <w:pStyle w:val="FootnoteText"/>
      </w:pPr>
      <w:r>
        <w:rPr>
          <w:rStyle w:val="FootnoteReference"/>
        </w:rPr>
        <w:footnoteRef/>
      </w:r>
      <w:r>
        <w:t xml:space="preserve"> </w:t>
      </w:r>
      <w:r w:rsidRPr="007C2FB4">
        <w:rPr>
          <w:rFonts w:eastAsia="Times New Roman"/>
          <w:iCs/>
        </w:rPr>
        <w:t xml:space="preserve">Roser </w:t>
      </w:r>
      <w:r>
        <w:rPr>
          <w:rFonts w:eastAsia="Times New Roman"/>
          <w:iCs/>
        </w:rPr>
        <w:t>M,</w:t>
      </w:r>
      <w:r w:rsidRPr="007C2FB4">
        <w:rPr>
          <w:rFonts w:eastAsia="Times New Roman"/>
          <w:iCs/>
        </w:rPr>
        <w:t xml:space="preserve"> Ritchie </w:t>
      </w:r>
      <w:r>
        <w:rPr>
          <w:rFonts w:eastAsia="Times New Roman"/>
          <w:iCs/>
        </w:rPr>
        <w:t xml:space="preserve">H </w:t>
      </w:r>
      <w:r w:rsidRPr="007C2FB4">
        <w:rPr>
          <w:rFonts w:eastAsia="Times New Roman"/>
          <w:iCs/>
        </w:rPr>
        <w:t>2019</w:t>
      </w:r>
      <w:r>
        <w:rPr>
          <w:rFonts w:eastAsia="Times New Roman"/>
          <w:iCs/>
        </w:rPr>
        <w:t>.</w:t>
      </w:r>
      <w:r w:rsidRPr="007C2FB4">
        <w:rPr>
          <w:rFonts w:eastAsia="Times New Roman"/>
          <w:iCs/>
        </w:rPr>
        <w:t xml:space="preserve"> Cancer. Available from: https://ourworldindata.org/cancer</w:t>
      </w:r>
      <w:r w:rsidRPr="00B23841">
        <w:rPr>
          <w:rFonts w:eastAsia="Times New Roman"/>
          <w:i/>
        </w:rPr>
        <w:t xml:space="preserve"> </w:t>
      </w:r>
    </w:p>
  </w:footnote>
  <w:footnote w:id="36">
    <w:p w14:paraId="4941FA63" w14:textId="7FCCE304" w:rsidR="00110FC6" w:rsidRPr="006F376D" w:rsidRDefault="00110FC6" w:rsidP="00F11FA2">
      <w:pPr>
        <w:pStyle w:val="FootnoteText"/>
        <w:spacing w:before="0" w:after="0" w:line="240" w:lineRule="auto"/>
      </w:pPr>
      <w:r>
        <w:rPr>
          <w:rStyle w:val="FootnoteReference"/>
        </w:rPr>
        <w:footnoteRef/>
      </w:r>
      <w:r>
        <w:t xml:space="preserve"> </w:t>
      </w:r>
      <w:r w:rsidRPr="006F376D">
        <w:rPr>
          <w:rStyle w:val="A2"/>
          <w:sz w:val="16"/>
          <w:szCs w:val="16"/>
        </w:rPr>
        <w:t>Thursfield V, Farrugia H</w:t>
      </w:r>
      <w:r>
        <w:rPr>
          <w:rStyle w:val="A2"/>
          <w:sz w:val="16"/>
          <w:szCs w:val="16"/>
        </w:rPr>
        <w:t xml:space="preserve"> 2018</w:t>
      </w:r>
      <w:r w:rsidRPr="006F376D">
        <w:rPr>
          <w:rStyle w:val="A2"/>
          <w:sz w:val="16"/>
          <w:szCs w:val="16"/>
        </w:rPr>
        <w:t xml:space="preserve">. Cancer in Victoria: </w:t>
      </w:r>
      <w:r>
        <w:rPr>
          <w:rStyle w:val="A2"/>
          <w:sz w:val="16"/>
          <w:szCs w:val="16"/>
        </w:rPr>
        <w:t>s</w:t>
      </w:r>
      <w:r w:rsidRPr="006F376D">
        <w:rPr>
          <w:rStyle w:val="A2"/>
          <w:sz w:val="16"/>
          <w:szCs w:val="16"/>
        </w:rPr>
        <w:t xml:space="preserve">tatistics &amp; </w:t>
      </w:r>
      <w:r>
        <w:rPr>
          <w:rStyle w:val="A2"/>
          <w:sz w:val="16"/>
          <w:szCs w:val="16"/>
        </w:rPr>
        <w:t>t</w:t>
      </w:r>
      <w:r w:rsidRPr="006F376D">
        <w:rPr>
          <w:rStyle w:val="A2"/>
          <w:sz w:val="16"/>
          <w:szCs w:val="16"/>
        </w:rPr>
        <w:t>rends 2017. Cancer Council Victoria, Melbourne.</w:t>
      </w:r>
    </w:p>
  </w:footnote>
  <w:footnote w:id="37">
    <w:p w14:paraId="6CC3E157" w14:textId="77777777" w:rsidR="00110FC6" w:rsidRPr="00B92B1A" w:rsidRDefault="00110FC6" w:rsidP="0014722B">
      <w:pPr>
        <w:pStyle w:val="FootnoteText"/>
        <w:spacing w:before="0" w:after="0" w:line="240" w:lineRule="auto"/>
      </w:pPr>
      <w:r>
        <w:rPr>
          <w:rStyle w:val="FootnoteReference"/>
        </w:rPr>
        <w:footnoteRef/>
      </w:r>
      <w:r>
        <w:t xml:space="preserve"> </w:t>
      </w:r>
      <w:r w:rsidRPr="00B92B1A">
        <w:rPr>
          <w:rStyle w:val="A2"/>
          <w:sz w:val="16"/>
          <w:szCs w:val="16"/>
        </w:rPr>
        <w:t>Ibid.</w:t>
      </w:r>
    </w:p>
  </w:footnote>
  <w:footnote w:id="38">
    <w:p w14:paraId="31A8AC6F" w14:textId="77777777" w:rsidR="00110FC6" w:rsidRDefault="00110FC6" w:rsidP="0014722B">
      <w:pPr>
        <w:pStyle w:val="FootnoteText"/>
        <w:spacing w:before="0" w:after="0" w:line="240" w:lineRule="auto"/>
      </w:pPr>
      <w:r>
        <w:rPr>
          <w:rStyle w:val="FootnoteReference"/>
        </w:rPr>
        <w:footnoteRef/>
      </w:r>
      <w:r>
        <w:t xml:space="preserve"> Ibid.</w:t>
      </w:r>
    </w:p>
  </w:footnote>
  <w:footnote w:id="39">
    <w:p w14:paraId="76850F06" w14:textId="672EEF07" w:rsidR="00110FC6" w:rsidRDefault="00110FC6">
      <w:pPr>
        <w:pStyle w:val="FootnoteText"/>
      </w:pPr>
      <w:r>
        <w:rPr>
          <w:rStyle w:val="FootnoteReference"/>
        </w:rPr>
        <w:footnoteRef/>
      </w:r>
      <w:r>
        <w:t xml:space="preserve"> </w:t>
      </w:r>
      <w:r>
        <w:rPr>
          <w:color w:val="222222"/>
        </w:rPr>
        <w:t xml:space="preserve">Bray F, Ferlay J, Soerjomataram I, et al. 2018. Global cancer statistics 2018: GLOBOCAN estimates of incidence and mortality worldwide for 36 cancers in 185 countries. </w:t>
      </w:r>
      <w:r w:rsidRPr="00D137C8">
        <w:rPr>
          <w:iCs/>
          <w:color w:val="222222"/>
        </w:rPr>
        <w:t>CA: A Cancer Journal for Clinicians</w:t>
      </w:r>
      <w:r w:rsidRPr="001C0198">
        <w:rPr>
          <w:iCs/>
          <w:color w:val="222222"/>
        </w:rPr>
        <w:t>.</w:t>
      </w:r>
      <w:r>
        <w:rPr>
          <w:color w:val="222222"/>
        </w:rPr>
        <w:t xml:space="preserve"> Nov;68(6):394-424.</w:t>
      </w:r>
    </w:p>
  </w:footnote>
  <w:footnote w:id="40">
    <w:p w14:paraId="37105D95" w14:textId="76CC35A1" w:rsidR="00110FC6" w:rsidRDefault="00110FC6" w:rsidP="0000761E">
      <w:pPr>
        <w:pStyle w:val="FootnoteText"/>
      </w:pPr>
      <w:r>
        <w:rPr>
          <w:rStyle w:val="FootnoteReference"/>
        </w:rPr>
        <w:footnoteRef/>
      </w:r>
      <w:r>
        <w:t xml:space="preserve"> </w:t>
      </w:r>
      <w:r>
        <w:rPr>
          <w:color w:val="222222"/>
        </w:rPr>
        <w:t>Ibid.</w:t>
      </w:r>
    </w:p>
  </w:footnote>
  <w:footnote w:id="41">
    <w:p w14:paraId="56E8E862" w14:textId="77777777" w:rsidR="00110FC6" w:rsidRDefault="00110FC6" w:rsidP="00236B3E">
      <w:pPr>
        <w:pStyle w:val="FootnoteText"/>
      </w:pPr>
      <w:r>
        <w:rPr>
          <w:rStyle w:val="FootnoteReference"/>
        </w:rPr>
        <w:footnoteRef/>
      </w:r>
      <w:r>
        <w:t xml:space="preserve"> Ibid.</w:t>
      </w:r>
    </w:p>
  </w:footnote>
  <w:footnote w:id="42">
    <w:p w14:paraId="3BE89B3E" w14:textId="6AE3D080" w:rsidR="00110FC6" w:rsidRPr="006A2A8E" w:rsidRDefault="00110FC6">
      <w:pPr>
        <w:pStyle w:val="FootnoteText"/>
      </w:pPr>
      <w:r>
        <w:rPr>
          <w:rStyle w:val="FootnoteReference"/>
        </w:rPr>
        <w:footnoteRef/>
      </w:r>
      <w:r>
        <w:t xml:space="preserve"> </w:t>
      </w:r>
      <w:r w:rsidRPr="006A2A8E">
        <w:rPr>
          <w:color w:val="222222"/>
        </w:rPr>
        <w:t>Coory MD, Ho T, Jordan SJ</w:t>
      </w:r>
      <w:r>
        <w:rPr>
          <w:color w:val="222222"/>
        </w:rPr>
        <w:t xml:space="preserve"> 2013</w:t>
      </w:r>
      <w:r w:rsidRPr="006A2A8E">
        <w:rPr>
          <w:color w:val="222222"/>
        </w:rPr>
        <w:t>. Australia is continuing to make progress against cancer, but the regional and remote disadvantage remains. Medical Journal of Australia. Nov;199(9):605-8.</w:t>
      </w:r>
    </w:p>
  </w:footnote>
  <w:footnote w:id="43">
    <w:p w14:paraId="7F4C762B" w14:textId="384921C5" w:rsidR="00110FC6" w:rsidRDefault="00110FC6">
      <w:pPr>
        <w:pStyle w:val="FootnoteText"/>
      </w:pPr>
      <w:r>
        <w:rPr>
          <w:rStyle w:val="FootnoteReference"/>
        </w:rPr>
        <w:footnoteRef/>
      </w:r>
      <w:r>
        <w:t xml:space="preserve"> </w:t>
      </w:r>
      <w:r>
        <w:rPr>
          <w:rStyle w:val="element-citation"/>
          <w:lang w:val="en"/>
        </w:rPr>
        <w:t xml:space="preserve">Kogevinas M, Pearce N, Susser M (eds) 1997. </w:t>
      </w:r>
      <w:r>
        <w:rPr>
          <w:rStyle w:val="ref-journal"/>
          <w:lang w:val="en"/>
        </w:rPr>
        <w:t>Social inequalities and cancer. International Agency for Research on Cancer, Lyon</w:t>
      </w:r>
      <w:r>
        <w:rPr>
          <w:rStyle w:val="element-citation"/>
          <w:lang w:val="en"/>
        </w:rPr>
        <w:t>.</w:t>
      </w:r>
    </w:p>
  </w:footnote>
  <w:footnote w:id="44">
    <w:p w14:paraId="3E6B88E7" w14:textId="34018D17" w:rsidR="00110FC6" w:rsidRDefault="00110FC6">
      <w:pPr>
        <w:pStyle w:val="FootnoteText"/>
      </w:pPr>
      <w:r>
        <w:rPr>
          <w:rStyle w:val="FootnoteReference"/>
        </w:rPr>
        <w:footnoteRef/>
      </w:r>
      <w:r>
        <w:t xml:space="preserve"> </w:t>
      </w:r>
      <w:r>
        <w:rPr>
          <w:color w:val="222222"/>
        </w:rPr>
        <w:t>Cunningham J, Rumbold AR, Zhang X, et al. 2008. Incidence, aetiology, and outcomes of cancer in Indigenous peoples in Australia. The Lancet Oncology. Jun 1;9(6):585-95.</w:t>
      </w:r>
    </w:p>
  </w:footnote>
  <w:footnote w:id="45">
    <w:p w14:paraId="382EA7C9" w14:textId="5937FE6B" w:rsidR="00110FC6" w:rsidRDefault="00110FC6">
      <w:pPr>
        <w:pStyle w:val="FootnoteText"/>
      </w:pPr>
      <w:r>
        <w:rPr>
          <w:rStyle w:val="FootnoteReference"/>
        </w:rPr>
        <w:footnoteRef/>
      </w:r>
      <w:r>
        <w:t xml:space="preserve"> </w:t>
      </w:r>
      <w:r>
        <w:rPr>
          <w:color w:val="222222"/>
        </w:rPr>
        <w:t>Condon JR, Barnes A, Cunningham J. Cancer in Indigenous Australians: a review. Cancer Causes &amp; Control. 2003 Mar 1;14(2):109-21.</w:t>
      </w:r>
    </w:p>
  </w:footnote>
  <w:footnote w:id="46">
    <w:p w14:paraId="60803E55" w14:textId="2AD18A55" w:rsidR="00110FC6" w:rsidRDefault="00110FC6">
      <w:pPr>
        <w:pStyle w:val="FootnoteText"/>
      </w:pPr>
      <w:r>
        <w:rPr>
          <w:rStyle w:val="FootnoteReference"/>
        </w:rPr>
        <w:footnoteRef/>
      </w:r>
      <w:r>
        <w:t xml:space="preserve"> </w:t>
      </w:r>
      <w:r>
        <w:rPr>
          <w:color w:val="222222"/>
        </w:rPr>
        <w:t>Cunningham J, Rumbold AR, Zhang X, et al. 2008. Incidence, aetiology, and outcomes of cancer in Indigenous peoples in Australia. The Lancet Oncology. Jun 1;9(6):585-95.</w:t>
      </w:r>
    </w:p>
  </w:footnote>
  <w:footnote w:id="47">
    <w:p w14:paraId="51E6776D" w14:textId="021D3633" w:rsidR="00110FC6" w:rsidRPr="003435C8" w:rsidRDefault="00110FC6" w:rsidP="003435C8">
      <w:pPr>
        <w:autoSpaceDE w:val="0"/>
        <w:autoSpaceDN w:val="0"/>
        <w:adjustRightInd w:val="0"/>
        <w:rPr>
          <w:rFonts w:ascii="Arial" w:hAnsi="Arial" w:cs="Arial"/>
          <w:sz w:val="16"/>
          <w:szCs w:val="16"/>
        </w:rPr>
      </w:pPr>
      <w:r>
        <w:rPr>
          <w:rStyle w:val="FootnoteReference"/>
        </w:rPr>
        <w:footnoteRef/>
      </w:r>
      <w:r>
        <w:t xml:space="preserve"> </w:t>
      </w:r>
      <w:r w:rsidRPr="003435C8">
        <w:rPr>
          <w:rFonts w:ascii="Arial" w:hAnsi="Arial" w:cs="Arial"/>
          <w:sz w:val="16"/>
          <w:szCs w:val="16"/>
        </w:rPr>
        <w:t xml:space="preserve">Valery PC, Coory M, Stirling J, </w:t>
      </w:r>
      <w:r>
        <w:rPr>
          <w:rFonts w:ascii="Arial" w:hAnsi="Arial" w:cs="Arial"/>
          <w:sz w:val="16"/>
          <w:szCs w:val="16"/>
        </w:rPr>
        <w:t>et al.</w:t>
      </w:r>
      <w:r w:rsidRPr="003435C8">
        <w:rPr>
          <w:rFonts w:ascii="Arial" w:hAnsi="Arial" w:cs="Arial"/>
          <w:sz w:val="16"/>
          <w:szCs w:val="16"/>
        </w:rPr>
        <w:t xml:space="preserve"> </w:t>
      </w:r>
      <w:r>
        <w:rPr>
          <w:rFonts w:ascii="Arial" w:hAnsi="Arial" w:cs="Arial"/>
          <w:sz w:val="16"/>
          <w:szCs w:val="16"/>
        </w:rPr>
        <w:t xml:space="preserve">2006. </w:t>
      </w:r>
      <w:r w:rsidRPr="003435C8">
        <w:rPr>
          <w:rFonts w:ascii="Arial" w:hAnsi="Arial" w:cs="Arial"/>
          <w:sz w:val="16"/>
          <w:szCs w:val="16"/>
        </w:rPr>
        <w:t>Cancer diagnosis, treatment, and survival in</w:t>
      </w:r>
      <w:r>
        <w:rPr>
          <w:rFonts w:ascii="Arial" w:hAnsi="Arial" w:cs="Arial"/>
          <w:sz w:val="16"/>
          <w:szCs w:val="16"/>
        </w:rPr>
        <w:t xml:space="preserve"> </w:t>
      </w:r>
      <w:r w:rsidRPr="003435C8">
        <w:rPr>
          <w:rFonts w:ascii="Arial" w:hAnsi="Arial" w:cs="Arial"/>
          <w:sz w:val="16"/>
          <w:szCs w:val="16"/>
        </w:rPr>
        <w:t>Indigenous and non-Indigenous Australians: a matched cohort study, Lancet</w:t>
      </w:r>
      <w:r>
        <w:rPr>
          <w:rFonts w:ascii="Arial" w:hAnsi="Arial" w:cs="Arial"/>
          <w:sz w:val="16"/>
          <w:szCs w:val="16"/>
        </w:rPr>
        <w:t xml:space="preserve">. </w:t>
      </w:r>
      <w:r w:rsidRPr="003435C8">
        <w:rPr>
          <w:rFonts w:ascii="Arial" w:hAnsi="Arial" w:cs="Arial"/>
          <w:sz w:val="16"/>
          <w:szCs w:val="16"/>
        </w:rPr>
        <w:t>367:1842-48.</w:t>
      </w:r>
    </w:p>
  </w:footnote>
  <w:footnote w:id="48">
    <w:p w14:paraId="40101325" w14:textId="43FA0559" w:rsidR="00110FC6" w:rsidRPr="00A06413" w:rsidRDefault="00110FC6">
      <w:pPr>
        <w:pStyle w:val="FootnoteText"/>
      </w:pPr>
      <w:r>
        <w:rPr>
          <w:rStyle w:val="FootnoteReference"/>
        </w:rPr>
        <w:footnoteRef/>
      </w:r>
      <w:r>
        <w:t xml:space="preserve"> </w:t>
      </w:r>
      <w:r w:rsidRPr="00A06413">
        <w:t xml:space="preserve">OECD 2017. </w:t>
      </w:r>
      <w:r w:rsidRPr="002B7E54">
        <w:rPr>
          <w:iCs/>
        </w:rPr>
        <w:t>Adult population smoking daily by gender, 2015 (or nearest year)</w:t>
      </w:r>
      <w:r w:rsidRPr="00676EB9">
        <w:rPr>
          <w:iCs/>
        </w:rPr>
        <w:t xml:space="preserve">, in </w:t>
      </w:r>
      <w:r>
        <w:rPr>
          <w:iCs/>
        </w:rPr>
        <w:t>‘</w:t>
      </w:r>
      <w:r w:rsidRPr="002B7E54">
        <w:rPr>
          <w:iCs/>
        </w:rPr>
        <w:t>Risk factors for health</w:t>
      </w:r>
      <w:r>
        <w:rPr>
          <w:iCs/>
        </w:rPr>
        <w:t>’</w:t>
      </w:r>
      <w:r w:rsidRPr="00676EB9">
        <w:rPr>
          <w:iCs/>
        </w:rPr>
        <w:t>, OECD Publishing, Paris</w:t>
      </w:r>
      <w:r>
        <w:rPr>
          <w:iCs/>
        </w:rPr>
        <w:t>. Available from:</w:t>
      </w:r>
      <w:r w:rsidRPr="00676EB9">
        <w:rPr>
          <w:iCs/>
        </w:rPr>
        <w:t xml:space="preserve"> </w:t>
      </w:r>
      <w:r w:rsidRPr="002B7E54">
        <w:rPr>
          <w:iCs/>
        </w:rPr>
        <w:t>https://doi.org/10.1787/health</w:t>
      </w:r>
      <w:r w:rsidRPr="002B7E54">
        <w:t>_glance-2017-graph31-en</w:t>
      </w:r>
      <w:r w:rsidRPr="00676EB9">
        <w:rPr>
          <w:iCs/>
        </w:rPr>
        <w:t>.</w:t>
      </w:r>
    </w:p>
  </w:footnote>
  <w:footnote w:id="49">
    <w:p w14:paraId="43BB586B" w14:textId="792F9DB4" w:rsidR="00110FC6" w:rsidRPr="008F2FAA" w:rsidRDefault="00110FC6" w:rsidP="00011A20">
      <w:pPr>
        <w:pStyle w:val="FootnoteText"/>
        <w:spacing w:before="0" w:after="0" w:line="240" w:lineRule="auto"/>
      </w:pPr>
      <w:r w:rsidRPr="008F2FAA">
        <w:rPr>
          <w:rStyle w:val="FootnoteReference"/>
        </w:rPr>
        <w:footnoteRef/>
      </w:r>
      <w:r w:rsidRPr="008F2FAA">
        <w:t xml:space="preserve"> </w:t>
      </w:r>
      <w:r w:rsidRPr="008F2FAA">
        <w:rPr>
          <w:lang w:val="en"/>
        </w:rPr>
        <w:t xml:space="preserve">International Agency for Research on </w:t>
      </w:r>
      <w:r w:rsidRPr="00304C4A">
        <w:rPr>
          <w:rFonts w:eastAsia="Times New Roman"/>
          <w:lang w:val="en"/>
        </w:rPr>
        <w:t>Cancer 2012. Personal habits and indoor combustions. Volume 100E. IARC Monographs on the evaluation of carcinogenic risks to humans. IARC, Lyon.</w:t>
      </w:r>
    </w:p>
  </w:footnote>
  <w:footnote w:id="50">
    <w:p w14:paraId="053BE2E2" w14:textId="3A73AD54" w:rsidR="00110FC6" w:rsidRPr="008F2FAA" w:rsidRDefault="00110FC6" w:rsidP="00011A20">
      <w:pPr>
        <w:rPr>
          <w:rFonts w:ascii="Arial" w:hAnsi="Arial" w:cs="Arial"/>
          <w:sz w:val="24"/>
          <w:szCs w:val="24"/>
          <w:lang w:val="en"/>
        </w:rPr>
      </w:pPr>
      <w:r w:rsidRPr="008F2FAA">
        <w:rPr>
          <w:rStyle w:val="FootnoteReference"/>
          <w:rFonts w:cs="Arial"/>
          <w:sz w:val="16"/>
          <w:szCs w:val="16"/>
        </w:rPr>
        <w:footnoteRef/>
      </w:r>
      <w:r w:rsidRPr="008F2FAA">
        <w:rPr>
          <w:rFonts w:ascii="Arial" w:hAnsi="Arial" w:cs="Arial"/>
          <w:sz w:val="16"/>
          <w:szCs w:val="16"/>
        </w:rPr>
        <w:t xml:space="preserve"> </w:t>
      </w:r>
      <w:r w:rsidRPr="008F2FAA">
        <w:rPr>
          <w:rFonts w:ascii="Arial" w:hAnsi="Arial" w:cs="Arial"/>
          <w:sz w:val="16"/>
          <w:szCs w:val="16"/>
          <w:lang w:val="en"/>
        </w:rPr>
        <w:t xml:space="preserve">Stewart BW, Wild CP </w:t>
      </w:r>
      <w:r>
        <w:rPr>
          <w:rFonts w:ascii="Arial" w:hAnsi="Arial" w:cs="Arial"/>
          <w:sz w:val="16"/>
          <w:szCs w:val="16"/>
          <w:lang w:val="en"/>
        </w:rPr>
        <w:t>(</w:t>
      </w:r>
      <w:r w:rsidRPr="008F2FAA">
        <w:rPr>
          <w:rFonts w:ascii="Arial" w:hAnsi="Arial" w:cs="Arial"/>
          <w:sz w:val="16"/>
          <w:szCs w:val="16"/>
          <w:lang w:val="en"/>
        </w:rPr>
        <w:t>eds</w:t>
      </w:r>
      <w:r>
        <w:rPr>
          <w:rFonts w:ascii="Arial" w:hAnsi="Arial" w:cs="Arial"/>
          <w:sz w:val="16"/>
          <w:szCs w:val="16"/>
          <w:lang w:val="en"/>
        </w:rPr>
        <w:t>) 2014</w:t>
      </w:r>
      <w:r w:rsidRPr="008F2FAA">
        <w:rPr>
          <w:rFonts w:ascii="Arial" w:hAnsi="Arial" w:cs="Arial"/>
          <w:sz w:val="16"/>
          <w:szCs w:val="16"/>
          <w:lang w:val="en"/>
        </w:rPr>
        <w:t xml:space="preserve">. World cancer report. </w:t>
      </w:r>
      <w:r w:rsidRPr="00304C4A">
        <w:rPr>
          <w:rFonts w:ascii="Arial" w:hAnsi="Arial" w:cs="Arial"/>
          <w:sz w:val="16"/>
          <w:szCs w:val="16"/>
          <w:lang w:val="en"/>
        </w:rPr>
        <w:t>International Agency for Research on Cancer</w:t>
      </w:r>
      <w:r w:rsidRPr="007C139F">
        <w:rPr>
          <w:rFonts w:ascii="Arial" w:hAnsi="Arial" w:cs="Arial"/>
          <w:sz w:val="16"/>
          <w:szCs w:val="16"/>
          <w:lang w:val="en"/>
        </w:rPr>
        <w:t>, Lyon</w:t>
      </w:r>
      <w:r w:rsidRPr="00D0341D">
        <w:rPr>
          <w:sz w:val="16"/>
          <w:szCs w:val="16"/>
          <w:lang w:val="en"/>
        </w:rPr>
        <w:t>.</w:t>
      </w:r>
    </w:p>
  </w:footnote>
  <w:footnote w:id="51">
    <w:p w14:paraId="09E405BF" w14:textId="77777777" w:rsidR="00110FC6" w:rsidRDefault="00110FC6" w:rsidP="007C7948">
      <w:pPr>
        <w:pStyle w:val="FootnoteText"/>
      </w:pPr>
      <w:r>
        <w:rPr>
          <w:rStyle w:val="FootnoteReference"/>
        </w:rPr>
        <w:footnoteRef/>
      </w:r>
      <w:r>
        <w:t xml:space="preserve"> Smoked in past seven days.</w:t>
      </w:r>
    </w:p>
  </w:footnote>
  <w:footnote w:id="52">
    <w:p w14:paraId="5210B9DB" w14:textId="3C087B80" w:rsidR="00110FC6" w:rsidRPr="004776EC" w:rsidRDefault="00110FC6">
      <w:pPr>
        <w:pStyle w:val="FootnoteText"/>
      </w:pPr>
      <w:r>
        <w:rPr>
          <w:rStyle w:val="FootnoteReference"/>
        </w:rPr>
        <w:footnoteRef/>
      </w:r>
      <w:r>
        <w:t xml:space="preserve"> </w:t>
      </w:r>
      <w:r>
        <w:rPr>
          <w:lang w:val="en"/>
        </w:rPr>
        <w:t xml:space="preserve">US </w:t>
      </w:r>
      <w:r w:rsidRPr="00C4133F">
        <w:rPr>
          <w:lang w:val="en"/>
        </w:rPr>
        <w:t>Department of Health and Human Services</w:t>
      </w:r>
      <w:r>
        <w:rPr>
          <w:lang w:val="en"/>
        </w:rPr>
        <w:t xml:space="preserve"> 1994</w:t>
      </w:r>
      <w:r w:rsidRPr="00C4133F">
        <w:rPr>
          <w:lang w:val="en"/>
        </w:rPr>
        <w:t>. Preventing tobacco use among young people. A report of the Surgeon General, 1994. Atlanta, Georgia: Public Health Service, Centers for Disease Control and Prevention, Office on Smoking and Health. Available from</w:t>
      </w:r>
      <w:r w:rsidRPr="004776EC">
        <w:rPr>
          <w:lang w:val="en"/>
        </w:rPr>
        <w:t xml:space="preserve">: </w:t>
      </w:r>
      <w:r w:rsidRPr="007C139F">
        <w:t>http://www.cdc.gov/tobacco/data_statistics/sgr/sgr_1994/index.htm</w:t>
      </w:r>
    </w:p>
  </w:footnote>
  <w:footnote w:id="53">
    <w:p w14:paraId="73210733" w14:textId="12721436" w:rsidR="00110FC6" w:rsidRDefault="00110FC6">
      <w:pPr>
        <w:pStyle w:val="FootnoteText"/>
      </w:pPr>
      <w:r>
        <w:rPr>
          <w:rStyle w:val="FootnoteReference"/>
        </w:rPr>
        <w:footnoteRef/>
      </w:r>
      <w:r>
        <w:t xml:space="preserve"> Ibid.</w:t>
      </w:r>
    </w:p>
  </w:footnote>
  <w:footnote w:id="54">
    <w:p w14:paraId="7BB8504F" w14:textId="2DAFCC10" w:rsidR="00110FC6" w:rsidRPr="00C4133F" w:rsidRDefault="00110FC6" w:rsidP="00C44B55">
      <w:pPr>
        <w:autoSpaceDE w:val="0"/>
        <w:autoSpaceDN w:val="0"/>
        <w:adjustRightInd w:val="0"/>
        <w:rPr>
          <w:rFonts w:ascii="Arial" w:hAnsi="Arial" w:cs="Arial"/>
          <w:bCs/>
          <w:sz w:val="16"/>
          <w:szCs w:val="16"/>
        </w:rPr>
      </w:pPr>
      <w:r w:rsidRPr="00C4133F">
        <w:rPr>
          <w:rStyle w:val="FootnoteReference"/>
          <w:rFonts w:cs="Arial"/>
          <w:sz w:val="16"/>
          <w:szCs w:val="16"/>
        </w:rPr>
        <w:footnoteRef/>
      </w:r>
      <w:r w:rsidRPr="00C4133F">
        <w:rPr>
          <w:rFonts w:ascii="Arial" w:hAnsi="Arial" w:cs="Arial"/>
          <w:sz w:val="16"/>
          <w:szCs w:val="16"/>
        </w:rPr>
        <w:t xml:space="preserve"> </w:t>
      </w:r>
      <w:r w:rsidRPr="007C139F">
        <w:rPr>
          <w:rFonts w:ascii="Arial" w:hAnsi="Arial" w:cs="Arial"/>
          <w:sz w:val="16"/>
          <w:szCs w:val="16"/>
        </w:rPr>
        <w:t xml:space="preserve">Victorian Department of Health and Human </w:t>
      </w:r>
      <w:r w:rsidRPr="00676EB9">
        <w:rPr>
          <w:rFonts w:ascii="Arial" w:hAnsi="Arial" w:cs="Arial"/>
          <w:sz w:val="16"/>
          <w:szCs w:val="16"/>
        </w:rPr>
        <w:t>Services</w:t>
      </w:r>
      <w:r w:rsidRPr="00C4133F">
        <w:rPr>
          <w:rFonts w:ascii="Arial" w:hAnsi="Arial" w:cs="Arial"/>
          <w:sz w:val="16"/>
          <w:szCs w:val="16"/>
        </w:rPr>
        <w:t xml:space="preserve"> 2016. </w:t>
      </w:r>
      <w:r w:rsidRPr="00C4133F">
        <w:rPr>
          <w:rFonts w:ascii="Arial" w:hAnsi="Arial" w:cs="Arial"/>
          <w:bCs/>
          <w:sz w:val="16"/>
          <w:szCs w:val="16"/>
        </w:rPr>
        <w:t>Tobacco, alcohol, over-the-counter</w:t>
      </w:r>
      <w:r>
        <w:rPr>
          <w:rFonts w:ascii="Arial" w:hAnsi="Arial" w:cs="Arial"/>
          <w:bCs/>
          <w:sz w:val="16"/>
          <w:szCs w:val="16"/>
        </w:rPr>
        <w:t xml:space="preserve"> </w:t>
      </w:r>
      <w:r w:rsidRPr="00C4133F">
        <w:rPr>
          <w:rFonts w:ascii="Arial" w:hAnsi="Arial" w:cs="Arial"/>
          <w:bCs/>
          <w:sz w:val="16"/>
          <w:szCs w:val="16"/>
        </w:rPr>
        <w:t>and illicit substance use among</w:t>
      </w:r>
    </w:p>
    <w:p w14:paraId="68EDDE48" w14:textId="14376F26" w:rsidR="00110FC6" w:rsidRPr="00C4133F" w:rsidRDefault="00110FC6" w:rsidP="00C44B55">
      <w:pPr>
        <w:autoSpaceDE w:val="0"/>
        <w:autoSpaceDN w:val="0"/>
        <w:adjustRightInd w:val="0"/>
        <w:rPr>
          <w:rFonts w:ascii="Arial" w:hAnsi="Arial" w:cs="Arial"/>
          <w:bCs/>
          <w:sz w:val="16"/>
          <w:szCs w:val="16"/>
        </w:rPr>
      </w:pPr>
      <w:r w:rsidRPr="00C4133F">
        <w:rPr>
          <w:rFonts w:ascii="Arial" w:hAnsi="Arial" w:cs="Arial"/>
          <w:bCs/>
          <w:sz w:val="16"/>
          <w:szCs w:val="16"/>
        </w:rPr>
        <w:t>Victorian secondary school</w:t>
      </w:r>
      <w:r>
        <w:rPr>
          <w:rFonts w:ascii="Arial" w:hAnsi="Arial" w:cs="Arial"/>
          <w:bCs/>
          <w:sz w:val="16"/>
          <w:szCs w:val="16"/>
        </w:rPr>
        <w:t xml:space="preserve"> </w:t>
      </w:r>
      <w:r w:rsidRPr="00C4133F">
        <w:rPr>
          <w:rFonts w:ascii="Arial" w:hAnsi="Arial" w:cs="Arial"/>
          <w:bCs/>
          <w:sz w:val="16"/>
          <w:szCs w:val="16"/>
        </w:rPr>
        <w:t>students 2014</w:t>
      </w:r>
      <w:r>
        <w:rPr>
          <w:rFonts w:ascii="Arial" w:hAnsi="Arial" w:cs="Arial"/>
          <w:bCs/>
          <w:sz w:val="16"/>
          <w:szCs w:val="16"/>
        </w:rPr>
        <w:t xml:space="preserve">. Available from: </w:t>
      </w:r>
      <w:r w:rsidRPr="00915E32">
        <w:rPr>
          <w:rFonts w:ascii="Arial" w:hAnsi="Arial" w:cs="Arial"/>
          <w:bCs/>
          <w:sz w:val="16"/>
          <w:szCs w:val="16"/>
        </w:rPr>
        <w:t>https://www2.health.vic.gov.au/about/publications/researchandreports/australian-secondary-students-alcohol-and-drug-survey-victorian-report-2014</w:t>
      </w:r>
    </w:p>
  </w:footnote>
  <w:footnote w:id="55">
    <w:p w14:paraId="78C4EF9E" w14:textId="3716B015" w:rsidR="00110FC6" w:rsidRDefault="00110FC6">
      <w:pPr>
        <w:pStyle w:val="FootnoteText"/>
      </w:pPr>
      <w:r>
        <w:rPr>
          <w:rStyle w:val="FootnoteReference"/>
        </w:rPr>
        <w:footnoteRef/>
      </w:r>
      <w:r>
        <w:t xml:space="preserve"> </w:t>
      </w:r>
      <w:r>
        <w:rPr>
          <w:lang w:val="en"/>
        </w:rPr>
        <w:t>National surveys of smoking behaviours among Australian secondary students have been undertaken at three-yearly intervals since 1984.</w:t>
      </w:r>
    </w:p>
  </w:footnote>
  <w:footnote w:id="56">
    <w:p w14:paraId="6AA47A76" w14:textId="784F45D8" w:rsidR="00110FC6" w:rsidRPr="004776EC" w:rsidRDefault="00110FC6">
      <w:pPr>
        <w:pStyle w:val="FootnoteText"/>
      </w:pPr>
      <w:r>
        <w:rPr>
          <w:rStyle w:val="FootnoteReference"/>
        </w:rPr>
        <w:footnoteRef/>
      </w:r>
      <w:r>
        <w:t xml:space="preserve"> </w:t>
      </w:r>
      <w:r>
        <w:rPr>
          <w:lang w:val="en"/>
        </w:rPr>
        <w:t>Propel Centre for Population Health Impact 2017. Canadian Student Tobacco, Alcohol and Drugs Survey. University of Waterloo. Available from: </w:t>
      </w:r>
      <w:r w:rsidRPr="007C139F">
        <w:t>https://uwaterloo.ca/canadian-student-tobacco-alcohol-drugs-survey/</w:t>
      </w:r>
    </w:p>
  </w:footnote>
  <w:footnote w:id="57">
    <w:p w14:paraId="69D0C1EA" w14:textId="1E059C14" w:rsidR="00110FC6" w:rsidRDefault="00110FC6">
      <w:pPr>
        <w:pStyle w:val="FootnoteText"/>
      </w:pPr>
      <w:r>
        <w:rPr>
          <w:rStyle w:val="FootnoteReference"/>
        </w:rPr>
        <w:footnoteRef/>
      </w:r>
      <w:r>
        <w:t xml:space="preserve"> </w:t>
      </w:r>
      <w:r>
        <w:rPr>
          <w:lang w:val="en"/>
        </w:rPr>
        <w:t>Keane E, Gavin A, Perry C, et al. 2017. Trends in health behaviours, health outcomes and contextual factors between 1998–2014: Findings from the Irish health behaviour in school-aged children study National University of Ireland Galway: Health Promotion Research Centre. Available from: </w:t>
      </w:r>
      <w:r w:rsidRPr="00D83760">
        <w:t>http://www.nuigalway.ie/media/healthpromotionresearchcentre/hbscdocs/nationalreports/HBSC-Trends-Report-2017-(web).pdf</w:t>
      </w:r>
    </w:p>
  </w:footnote>
  <w:footnote w:id="58">
    <w:p w14:paraId="2E0D9ABC" w14:textId="1318BB2E" w:rsidR="00110FC6" w:rsidRPr="00DA33BB" w:rsidRDefault="00110FC6" w:rsidP="00DA33BB">
      <w:pPr>
        <w:autoSpaceDE w:val="0"/>
        <w:autoSpaceDN w:val="0"/>
        <w:adjustRightInd w:val="0"/>
        <w:rPr>
          <w:rFonts w:ascii="Arial" w:hAnsi="Arial" w:cs="Arial"/>
          <w:sz w:val="16"/>
          <w:szCs w:val="16"/>
        </w:rPr>
      </w:pPr>
      <w:r>
        <w:rPr>
          <w:rStyle w:val="FootnoteReference"/>
        </w:rPr>
        <w:footnoteRef/>
      </w:r>
      <w:r>
        <w:t xml:space="preserve"> </w:t>
      </w:r>
      <w:r w:rsidRPr="00DA33BB">
        <w:rPr>
          <w:rFonts w:ascii="Arial" w:hAnsi="Arial" w:cs="Arial"/>
          <w:sz w:val="16"/>
          <w:szCs w:val="16"/>
        </w:rPr>
        <w:t>White VM, Hayman J, Hill DJ</w:t>
      </w:r>
      <w:r>
        <w:rPr>
          <w:rFonts w:ascii="Arial" w:hAnsi="Arial" w:cs="Arial"/>
          <w:sz w:val="16"/>
          <w:szCs w:val="16"/>
        </w:rPr>
        <w:t xml:space="preserve"> 2008</w:t>
      </w:r>
      <w:r w:rsidRPr="00DA33BB">
        <w:rPr>
          <w:rFonts w:ascii="Arial" w:hAnsi="Arial" w:cs="Arial"/>
          <w:sz w:val="16"/>
          <w:szCs w:val="16"/>
        </w:rPr>
        <w:t>. Can population-based tobacco-control</w:t>
      </w:r>
      <w:r>
        <w:rPr>
          <w:rFonts w:ascii="Arial" w:hAnsi="Arial" w:cs="Arial"/>
          <w:sz w:val="16"/>
          <w:szCs w:val="16"/>
        </w:rPr>
        <w:t xml:space="preserve"> </w:t>
      </w:r>
      <w:r w:rsidRPr="00DA33BB">
        <w:rPr>
          <w:rFonts w:ascii="Arial" w:hAnsi="Arial" w:cs="Arial"/>
          <w:sz w:val="16"/>
          <w:szCs w:val="16"/>
        </w:rPr>
        <w:t>policies change smoking behaviours of adolescents from all socio-economic</w:t>
      </w:r>
      <w:r>
        <w:rPr>
          <w:rFonts w:ascii="Arial" w:hAnsi="Arial" w:cs="Arial"/>
          <w:sz w:val="16"/>
          <w:szCs w:val="16"/>
        </w:rPr>
        <w:t xml:space="preserve"> </w:t>
      </w:r>
      <w:r w:rsidRPr="00DA33BB">
        <w:rPr>
          <w:rFonts w:ascii="Arial" w:hAnsi="Arial" w:cs="Arial"/>
          <w:sz w:val="16"/>
          <w:szCs w:val="16"/>
        </w:rPr>
        <w:t>groups? Findings from Australia: 1987</w:t>
      </w:r>
      <w:r>
        <w:rPr>
          <w:rFonts w:ascii="Arial" w:hAnsi="Arial" w:cs="Arial"/>
          <w:sz w:val="16"/>
          <w:szCs w:val="16"/>
        </w:rPr>
        <w:t>–</w:t>
      </w:r>
      <w:r w:rsidRPr="00DA33BB">
        <w:rPr>
          <w:rFonts w:ascii="Arial" w:hAnsi="Arial" w:cs="Arial"/>
          <w:sz w:val="16"/>
          <w:szCs w:val="16"/>
        </w:rPr>
        <w:t xml:space="preserve">2005. </w:t>
      </w:r>
      <w:r w:rsidRPr="00D83760">
        <w:rPr>
          <w:rFonts w:ascii="Arial" w:hAnsi="Arial" w:cs="Arial"/>
          <w:sz w:val="16"/>
          <w:szCs w:val="16"/>
        </w:rPr>
        <w:t>Cancer Causes Control</w:t>
      </w:r>
      <w:r>
        <w:rPr>
          <w:rFonts w:ascii="Arial" w:hAnsi="Arial" w:cs="Arial"/>
          <w:sz w:val="16"/>
          <w:szCs w:val="16"/>
        </w:rPr>
        <w:t xml:space="preserve">. </w:t>
      </w:r>
      <w:r w:rsidRPr="00DA33BB">
        <w:rPr>
          <w:rFonts w:ascii="Arial" w:hAnsi="Arial" w:cs="Arial"/>
          <w:sz w:val="16"/>
          <w:szCs w:val="16"/>
        </w:rPr>
        <w:t>19(6): 631-40.</w:t>
      </w:r>
    </w:p>
  </w:footnote>
  <w:footnote w:id="59">
    <w:p w14:paraId="6DEDEF5B" w14:textId="36D17F18" w:rsidR="00110FC6" w:rsidRDefault="00110FC6">
      <w:pPr>
        <w:pStyle w:val="FootnoteText"/>
      </w:pPr>
      <w:r>
        <w:rPr>
          <w:rStyle w:val="FootnoteReference"/>
        </w:rPr>
        <w:footnoteRef/>
      </w:r>
      <w:r>
        <w:t xml:space="preserve"> </w:t>
      </w:r>
      <w:r w:rsidRPr="0048790B">
        <w:rPr>
          <w:rStyle w:val="cca-citation"/>
          <w:lang w:val="en"/>
        </w:rPr>
        <w:t>White V, Williams T</w:t>
      </w:r>
      <w:r>
        <w:rPr>
          <w:rStyle w:val="cca-citation"/>
          <w:lang w:val="en"/>
        </w:rPr>
        <w:t xml:space="preserve"> 2015</w:t>
      </w:r>
      <w:r w:rsidRPr="00676EB9">
        <w:rPr>
          <w:rStyle w:val="cca-citation"/>
          <w:lang w:val="en"/>
        </w:rPr>
        <w:t xml:space="preserve">. </w:t>
      </w:r>
      <w:r w:rsidRPr="00D83760">
        <w:rPr>
          <w:rStyle w:val="Strong"/>
          <w:b w:val="0"/>
          <w:bCs w:val="0"/>
          <w:lang w:val="en"/>
        </w:rPr>
        <w:t>Australian secondary school students</w:t>
      </w:r>
      <w:r>
        <w:rPr>
          <w:rStyle w:val="Strong"/>
          <w:b w:val="0"/>
          <w:bCs w:val="0"/>
          <w:lang w:val="en"/>
        </w:rPr>
        <w:t>’</w:t>
      </w:r>
      <w:r w:rsidRPr="00D83760">
        <w:rPr>
          <w:rStyle w:val="Strong"/>
          <w:b w:val="0"/>
          <w:bCs w:val="0"/>
          <w:lang w:val="en"/>
        </w:rPr>
        <w:t xml:space="preserve"> use of tobacco in 2014.</w:t>
      </w:r>
      <w:r w:rsidRPr="0048790B">
        <w:rPr>
          <w:rStyle w:val="cca-citation"/>
          <w:lang w:val="en"/>
        </w:rPr>
        <w:t xml:space="preserve"> Centre for Behavioural Research in Cancer</w:t>
      </w:r>
      <w:r>
        <w:rPr>
          <w:rStyle w:val="cca-citation"/>
          <w:lang w:val="en"/>
        </w:rPr>
        <w:t xml:space="preserve">, Melbourne. </w:t>
      </w:r>
      <w:r w:rsidRPr="0048790B">
        <w:rPr>
          <w:rStyle w:val="cca-citation"/>
          <w:lang w:val="en"/>
        </w:rPr>
        <w:t xml:space="preserve">Available from: </w:t>
      </w:r>
      <w:r w:rsidRPr="00D83760">
        <w:t>http://www.nationaldrugstrategy.gov.au/internet/drugstrategy/Publishing.nsf/content/BCBF6B2C638E1202CA257ACD0020E35C/$File/Tobacco%20Report%202014.PDF</w:t>
      </w:r>
    </w:p>
  </w:footnote>
  <w:footnote w:id="60">
    <w:p w14:paraId="28F30103" w14:textId="12D1D07E" w:rsidR="00110FC6" w:rsidRPr="00317418" w:rsidRDefault="00110FC6" w:rsidP="00802511">
      <w:pPr>
        <w:rPr>
          <w:rFonts w:ascii="Arial" w:hAnsi="Arial" w:cs="Arial"/>
          <w:lang w:val="en"/>
        </w:rPr>
      </w:pPr>
      <w:r w:rsidRPr="00802511">
        <w:rPr>
          <w:rStyle w:val="FootnoteReference"/>
          <w:rFonts w:cs="Arial"/>
          <w:sz w:val="16"/>
          <w:szCs w:val="16"/>
        </w:rPr>
        <w:footnoteRef/>
      </w:r>
      <w:r w:rsidRPr="00317418">
        <w:rPr>
          <w:rFonts w:ascii="Arial" w:hAnsi="Arial" w:cs="Arial"/>
          <w:sz w:val="16"/>
          <w:szCs w:val="16"/>
          <w:vertAlign w:val="subscript"/>
        </w:rPr>
        <w:t xml:space="preserve"> </w:t>
      </w:r>
      <w:r w:rsidRPr="00317418">
        <w:rPr>
          <w:rFonts w:ascii="Arial" w:hAnsi="Arial" w:cs="Arial"/>
          <w:iCs/>
          <w:sz w:val="16"/>
          <w:szCs w:val="16"/>
          <w:lang w:val="en"/>
        </w:rPr>
        <w:t>WCRF/AICR</w:t>
      </w:r>
      <w:r>
        <w:rPr>
          <w:rFonts w:ascii="Arial" w:hAnsi="Arial" w:cs="Arial"/>
          <w:iCs/>
          <w:sz w:val="16"/>
          <w:szCs w:val="16"/>
          <w:lang w:val="en"/>
        </w:rPr>
        <w:t xml:space="preserve"> 2007</w:t>
      </w:r>
      <w:r w:rsidRPr="00317418">
        <w:rPr>
          <w:rFonts w:ascii="Arial" w:hAnsi="Arial" w:cs="Arial"/>
          <w:iCs/>
          <w:sz w:val="16"/>
          <w:szCs w:val="16"/>
          <w:lang w:val="en"/>
        </w:rPr>
        <w:t xml:space="preserve">. Food, nutrition, physical activity and the prevention of cancer: a global perspective. </w:t>
      </w:r>
      <w:r>
        <w:rPr>
          <w:rFonts w:ascii="Arial" w:hAnsi="Arial" w:cs="Arial"/>
          <w:iCs/>
          <w:sz w:val="16"/>
          <w:szCs w:val="16"/>
          <w:lang w:val="en"/>
        </w:rPr>
        <w:t xml:space="preserve">AICR, </w:t>
      </w:r>
      <w:r w:rsidRPr="00317418">
        <w:rPr>
          <w:rFonts w:ascii="Arial" w:hAnsi="Arial" w:cs="Arial"/>
          <w:iCs/>
          <w:sz w:val="16"/>
          <w:szCs w:val="16"/>
          <w:lang w:val="en"/>
        </w:rPr>
        <w:t>Washington, DC</w:t>
      </w:r>
      <w:r>
        <w:rPr>
          <w:rFonts w:ascii="Arial" w:hAnsi="Arial" w:cs="Arial"/>
          <w:iCs/>
          <w:sz w:val="16"/>
          <w:szCs w:val="16"/>
          <w:lang w:val="en"/>
        </w:rPr>
        <w:t>.</w:t>
      </w:r>
    </w:p>
  </w:footnote>
  <w:footnote w:id="61">
    <w:p w14:paraId="2738A5BA" w14:textId="0EA6488C" w:rsidR="00110FC6" w:rsidRDefault="00110FC6">
      <w:pPr>
        <w:pStyle w:val="FootnoteText"/>
      </w:pPr>
      <w:r>
        <w:rPr>
          <w:rStyle w:val="FootnoteReference"/>
        </w:rPr>
        <w:footnoteRef/>
      </w:r>
      <w:r>
        <w:t xml:space="preserve"> </w:t>
      </w:r>
      <w:r>
        <w:rPr>
          <w:rStyle w:val="cca-citation"/>
          <w:color w:val="000000"/>
          <w:lang w:val="en"/>
        </w:rPr>
        <w:t>National Health and Medical Research Council 2009</w:t>
      </w:r>
      <w:r w:rsidRPr="00676EB9">
        <w:rPr>
          <w:rStyle w:val="cca-citation"/>
          <w:color w:val="000000"/>
          <w:lang w:val="en"/>
        </w:rPr>
        <w:t xml:space="preserve">. </w:t>
      </w:r>
      <w:r w:rsidRPr="006078FE">
        <w:rPr>
          <w:rStyle w:val="cca-citation"/>
          <w:color w:val="000000"/>
          <w:lang w:val="en"/>
        </w:rPr>
        <w:t xml:space="preserve">NHMRC Australian </w:t>
      </w:r>
      <w:r>
        <w:rPr>
          <w:rStyle w:val="cca-citation"/>
          <w:color w:val="000000"/>
          <w:lang w:val="en"/>
        </w:rPr>
        <w:t>g</w:t>
      </w:r>
      <w:r w:rsidRPr="006078FE">
        <w:rPr>
          <w:rStyle w:val="cca-citation"/>
          <w:color w:val="000000"/>
          <w:lang w:val="en"/>
        </w:rPr>
        <w:t>uidelines to reduce health risks from drinking alcohol.</w:t>
      </w:r>
      <w:r>
        <w:rPr>
          <w:rStyle w:val="cca-citation"/>
          <w:color w:val="000000"/>
          <w:lang w:val="en"/>
        </w:rPr>
        <w:t xml:space="preserve"> Commonwealth of Australia: National Health and Medical Research Council, Canberra.</w:t>
      </w:r>
    </w:p>
  </w:footnote>
  <w:footnote w:id="62">
    <w:p w14:paraId="50D9CD5B" w14:textId="4467A9D5" w:rsidR="00110FC6" w:rsidRDefault="00110FC6">
      <w:pPr>
        <w:pStyle w:val="FootnoteText"/>
      </w:pPr>
      <w:r>
        <w:rPr>
          <w:rStyle w:val="FootnoteReference"/>
        </w:rPr>
        <w:footnoteRef/>
      </w:r>
      <w:r>
        <w:t xml:space="preserve"> Ibid.</w:t>
      </w:r>
    </w:p>
  </w:footnote>
  <w:footnote w:id="63">
    <w:p w14:paraId="60C314DA" w14:textId="777FC3C3" w:rsidR="00110FC6" w:rsidRPr="00676EB9" w:rsidRDefault="00110FC6">
      <w:pPr>
        <w:pStyle w:val="FootnoteText"/>
      </w:pPr>
      <w:r w:rsidRPr="00676EB9">
        <w:rPr>
          <w:rStyle w:val="FootnoteReference"/>
        </w:rPr>
        <w:footnoteRef/>
      </w:r>
      <w:r w:rsidRPr="00676EB9">
        <w:t xml:space="preserve"> </w:t>
      </w:r>
      <w:r>
        <w:t xml:space="preserve">Department of Education and Training 2016. </w:t>
      </w:r>
      <w:r w:rsidRPr="006078FE">
        <w:t xml:space="preserve">Victorian Student Health and Wellbeing Survey, </w:t>
      </w:r>
      <w:r>
        <w:t>State Government of Victoria, Melbourne.</w:t>
      </w:r>
    </w:p>
  </w:footnote>
  <w:footnote w:id="64">
    <w:p w14:paraId="3703E8F4" w14:textId="141F1387" w:rsidR="00110FC6" w:rsidRDefault="00110FC6" w:rsidP="0079105B">
      <w:pPr>
        <w:pStyle w:val="FootnoteText"/>
      </w:pPr>
      <w:r>
        <w:rPr>
          <w:rStyle w:val="FootnoteReference"/>
        </w:rPr>
        <w:footnoteRef/>
      </w:r>
      <w:r>
        <w:t xml:space="preserve"> OECD 2017. </w:t>
      </w:r>
      <w:r w:rsidRPr="006078FE">
        <w:t xml:space="preserve">Health at a </w:t>
      </w:r>
      <w:r>
        <w:t>g</w:t>
      </w:r>
      <w:r w:rsidRPr="006078FE">
        <w:t xml:space="preserve">lance 2017: OECD </w:t>
      </w:r>
      <w:r>
        <w:t>i</w:t>
      </w:r>
      <w:r w:rsidRPr="006078FE">
        <w:t>ndicators</w:t>
      </w:r>
      <w:r>
        <w:t xml:space="preserve">, OECD Publishing, Paris. Available from: </w:t>
      </w:r>
      <w:r w:rsidRPr="003F48C9">
        <w:t>https://doi.org/10.1787/health_glance-2017-en</w:t>
      </w:r>
    </w:p>
  </w:footnote>
  <w:footnote w:id="65">
    <w:p w14:paraId="697CD24A" w14:textId="5E65CA01" w:rsidR="00110FC6" w:rsidRDefault="00110FC6">
      <w:pPr>
        <w:pStyle w:val="FootnoteText"/>
      </w:pPr>
      <w:r>
        <w:rPr>
          <w:rStyle w:val="FootnoteReference"/>
        </w:rPr>
        <w:footnoteRef/>
      </w:r>
      <w:r>
        <w:t xml:space="preserve"> Cancer Council Australia </w:t>
      </w:r>
      <w:r w:rsidRPr="00676EB9">
        <w:t xml:space="preserve">2007. </w:t>
      </w:r>
      <w:r w:rsidRPr="006078FE">
        <w:t>Position statement: Fruit, vegetables and cancer prevention</w:t>
      </w:r>
      <w:r w:rsidRPr="00676EB9">
        <w:t>.</w:t>
      </w:r>
    </w:p>
  </w:footnote>
  <w:footnote w:id="66">
    <w:p w14:paraId="5A8176D9" w14:textId="6A050A37" w:rsidR="00110FC6" w:rsidRDefault="00110FC6" w:rsidP="00CB765F">
      <w:pPr>
        <w:pStyle w:val="FootnoteText"/>
      </w:pPr>
      <w:r>
        <w:rPr>
          <w:rStyle w:val="FootnoteReference"/>
        </w:rPr>
        <w:footnoteRef/>
      </w:r>
      <w:r>
        <w:t xml:space="preserve"> Begg S, Vos T, Barker B, et al. 2007.</w:t>
      </w:r>
      <w:r w:rsidRPr="006078FE">
        <w:rPr>
          <w:iCs/>
        </w:rPr>
        <w:t>The burden of disease and injury in Australia 2003</w:t>
      </w:r>
      <w:r w:rsidRPr="00676EB9">
        <w:rPr>
          <w:iCs/>
        </w:rPr>
        <w:t>.</w:t>
      </w:r>
      <w:r>
        <w:t xml:space="preserve"> PHE 82. AIHW, Canberra.</w:t>
      </w:r>
    </w:p>
  </w:footnote>
  <w:footnote w:id="67">
    <w:p w14:paraId="1A1820B9" w14:textId="739F1F45" w:rsidR="00110FC6" w:rsidRPr="006F3A29" w:rsidRDefault="00110FC6" w:rsidP="00B17619">
      <w:pPr>
        <w:pStyle w:val="FootnoteText"/>
      </w:pPr>
      <w:r w:rsidRPr="006F3A29">
        <w:rPr>
          <w:rStyle w:val="FootnoteReference"/>
        </w:rPr>
        <w:footnoteRef/>
      </w:r>
      <w:r w:rsidRPr="006F3A29">
        <w:t xml:space="preserve"> </w:t>
      </w:r>
      <w:r w:rsidRPr="00D742D0">
        <w:rPr>
          <w:lang w:val="en"/>
        </w:rPr>
        <w:t>OECD 2015</w:t>
      </w:r>
      <w:r>
        <w:rPr>
          <w:lang w:val="en"/>
        </w:rPr>
        <w:t>.</w:t>
      </w:r>
      <w:r w:rsidRPr="00D742D0">
        <w:rPr>
          <w:lang w:val="en"/>
        </w:rPr>
        <w:t xml:space="preserve"> Health at a </w:t>
      </w:r>
      <w:r>
        <w:rPr>
          <w:lang w:val="en"/>
        </w:rPr>
        <w:t>g</w:t>
      </w:r>
      <w:r w:rsidRPr="00D742D0">
        <w:rPr>
          <w:lang w:val="en"/>
        </w:rPr>
        <w:t xml:space="preserve">lance 2015: OECD </w:t>
      </w:r>
      <w:r>
        <w:rPr>
          <w:lang w:val="en"/>
        </w:rPr>
        <w:t>i</w:t>
      </w:r>
      <w:r w:rsidRPr="00D742D0">
        <w:rPr>
          <w:lang w:val="en"/>
        </w:rPr>
        <w:t>ndicators, OECD Publishing, Paris</w:t>
      </w:r>
      <w:r w:rsidRPr="00676EB9">
        <w:rPr>
          <w:lang w:val="en"/>
        </w:rPr>
        <w:t xml:space="preserve">. </w:t>
      </w:r>
      <w:r>
        <w:t xml:space="preserve">Available from: </w:t>
      </w:r>
      <w:r w:rsidRPr="00D742D0">
        <w:t>http://dx.doi.org/10.1787/health_glance-2015-en</w:t>
      </w:r>
    </w:p>
  </w:footnote>
  <w:footnote w:id="68">
    <w:p w14:paraId="6B5654B5" w14:textId="4C67F993" w:rsidR="00110FC6" w:rsidRPr="000B57B0" w:rsidRDefault="00110FC6" w:rsidP="000B57B0">
      <w:pPr>
        <w:autoSpaceDE w:val="0"/>
        <w:autoSpaceDN w:val="0"/>
        <w:adjustRightInd w:val="0"/>
        <w:rPr>
          <w:rFonts w:ascii="Arial" w:eastAsia="UniversLTStd-Light" w:hAnsi="Arial" w:cs="Arial"/>
          <w:sz w:val="16"/>
          <w:szCs w:val="16"/>
        </w:rPr>
      </w:pPr>
      <w:r>
        <w:rPr>
          <w:rStyle w:val="FootnoteReference"/>
        </w:rPr>
        <w:footnoteRef/>
      </w:r>
      <w:r>
        <w:t xml:space="preserve"> </w:t>
      </w:r>
      <w:r w:rsidRPr="000B57B0">
        <w:rPr>
          <w:rFonts w:ascii="Arial" w:eastAsia="UniversLTStd-Light" w:hAnsi="Arial" w:cs="Arial"/>
          <w:sz w:val="16"/>
          <w:szCs w:val="16"/>
        </w:rPr>
        <w:t xml:space="preserve">National Health and Medical Research Council 2013. </w:t>
      </w:r>
      <w:r w:rsidRPr="00D742D0">
        <w:rPr>
          <w:rFonts w:ascii="Arial" w:eastAsia="UniversLTStd-Light" w:hAnsi="Arial" w:cs="Arial"/>
          <w:sz w:val="16"/>
          <w:szCs w:val="16"/>
        </w:rPr>
        <w:t xml:space="preserve">Australian </w:t>
      </w:r>
      <w:r>
        <w:rPr>
          <w:rFonts w:ascii="Arial" w:eastAsia="UniversLTStd-Light" w:hAnsi="Arial" w:cs="Arial"/>
          <w:sz w:val="16"/>
          <w:szCs w:val="16"/>
        </w:rPr>
        <w:t>d</w:t>
      </w:r>
      <w:r w:rsidRPr="00D742D0">
        <w:rPr>
          <w:rFonts w:ascii="Arial" w:eastAsia="UniversLTStd-Light" w:hAnsi="Arial" w:cs="Arial"/>
          <w:sz w:val="16"/>
          <w:szCs w:val="16"/>
        </w:rPr>
        <w:t xml:space="preserve">ietary </w:t>
      </w:r>
      <w:r>
        <w:rPr>
          <w:rFonts w:ascii="Arial" w:eastAsia="UniversLTStd-Light" w:hAnsi="Arial" w:cs="Arial"/>
          <w:sz w:val="16"/>
          <w:szCs w:val="16"/>
        </w:rPr>
        <w:t>g</w:t>
      </w:r>
      <w:r w:rsidRPr="00D742D0">
        <w:rPr>
          <w:rFonts w:ascii="Arial" w:eastAsia="UniversLTStd-Light" w:hAnsi="Arial" w:cs="Arial"/>
          <w:sz w:val="16"/>
          <w:szCs w:val="16"/>
        </w:rPr>
        <w:t>uidelines</w:t>
      </w:r>
      <w:r w:rsidRPr="000B57B0">
        <w:rPr>
          <w:rFonts w:ascii="Arial" w:eastAsia="UniversLTStd-Light" w:hAnsi="Arial" w:cs="Arial"/>
          <w:sz w:val="16"/>
          <w:szCs w:val="16"/>
        </w:rPr>
        <w:t>. National Health and Medical</w:t>
      </w:r>
      <w:r>
        <w:rPr>
          <w:rFonts w:ascii="Arial" w:eastAsia="UniversLTStd-Light" w:hAnsi="Arial" w:cs="Arial"/>
          <w:sz w:val="16"/>
          <w:szCs w:val="16"/>
        </w:rPr>
        <w:t xml:space="preserve"> </w:t>
      </w:r>
      <w:r w:rsidRPr="000B57B0">
        <w:rPr>
          <w:rFonts w:ascii="Arial" w:eastAsia="UniversLTStd-Light" w:hAnsi="Arial" w:cs="Arial"/>
          <w:sz w:val="16"/>
          <w:szCs w:val="16"/>
        </w:rPr>
        <w:t>Research Council</w:t>
      </w:r>
      <w:r>
        <w:rPr>
          <w:rFonts w:ascii="Arial" w:eastAsia="UniversLTStd-Light" w:hAnsi="Arial" w:cs="Arial"/>
          <w:sz w:val="16"/>
          <w:szCs w:val="16"/>
        </w:rPr>
        <w:t>, Canberra</w:t>
      </w:r>
      <w:r w:rsidRPr="000B57B0">
        <w:rPr>
          <w:rFonts w:ascii="Arial" w:eastAsia="UniversLTStd-Light" w:hAnsi="Arial" w:cs="Arial"/>
          <w:sz w:val="16"/>
          <w:szCs w:val="16"/>
        </w:rPr>
        <w:t>.</w:t>
      </w:r>
    </w:p>
  </w:footnote>
  <w:footnote w:id="69">
    <w:p w14:paraId="2E9B7BB8" w14:textId="3A7F9AF2" w:rsidR="00110FC6" w:rsidRDefault="00110FC6">
      <w:pPr>
        <w:pStyle w:val="FootnoteText"/>
      </w:pPr>
      <w:r>
        <w:rPr>
          <w:rStyle w:val="FootnoteReference"/>
        </w:rPr>
        <w:footnoteRef/>
      </w:r>
      <w:r>
        <w:t xml:space="preserve"> </w:t>
      </w:r>
      <w:r w:rsidRPr="0043593C">
        <w:t xml:space="preserve">Australian Bureau of Statistics 2015. </w:t>
      </w:r>
      <w:r w:rsidRPr="006078FE">
        <w:t xml:space="preserve">4364.0.55.001 National Health Survey: First </w:t>
      </w:r>
      <w:r>
        <w:t>r</w:t>
      </w:r>
      <w:r w:rsidRPr="00D742D0">
        <w:t>esults 2014</w:t>
      </w:r>
      <w:r>
        <w:t>–</w:t>
      </w:r>
      <w:r w:rsidRPr="00D742D0">
        <w:t>15</w:t>
      </w:r>
      <w:r w:rsidRPr="00676EB9">
        <w:t>,</w:t>
      </w:r>
      <w:r w:rsidRPr="0043593C">
        <w:t xml:space="preserve"> </w:t>
      </w:r>
      <w:r w:rsidRPr="00D742D0">
        <w:t>Australia</w:t>
      </w:r>
      <w:r w:rsidRPr="00676EB9">
        <w:t>,</w:t>
      </w:r>
      <w:r w:rsidRPr="0043593C">
        <w:t xml:space="preserve"> Australian Government, Canberra</w:t>
      </w:r>
      <w:r>
        <w:t>.</w:t>
      </w:r>
    </w:p>
  </w:footnote>
  <w:footnote w:id="70">
    <w:p w14:paraId="01542AC9" w14:textId="16CE16BC" w:rsidR="00110FC6" w:rsidRPr="00096952" w:rsidRDefault="00110FC6">
      <w:pPr>
        <w:pStyle w:val="FootnoteText"/>
        <w:rPr>
          <w:color w:val="000000" w:themeColor="text1"/>
        </w:rPr>
      </w:pPr>
      <w:r>
        <w:rPr>
          <w:rStyle w:val="FootnoteReference"/>
        </w:rPr>
        <w:footnoteRef/>
      </w:r>
      <w:r>
        <w:t xml:space="preserve"> </w:t>
      </w:r>
      <w:r w:rsidRPr="00096952">
        <w:rPr>
          <w:rStyle w:val="mixed-citation"/>
          <w:color w:val="000000" w:themeColor="text1"/>
          <w:lang w:val="en"/>
        </w:rPr>
        <w:t>Peto J</w:t>
      </w:r>
      <w:r>
        <w:rPr>
          <w:rStyle w:val="mixed-citation"/>
          <w:color w:val="000000" w:themeColor="text1"/>
          <w:lang w:val="en"/>
        </w:rPr>
        <w:t xml:space="preserve"> 2001</w:t>
      </w:r>
      <w:r w:rsidRPr="00096952">
        <w:rPr>
          <w:rStyle w:val="mixed-citation"/>
          <w:color w:val="000000" w:themeColor="text1"/>
          <w:lang w:val="en"/>
        </w:rPr>
        <w:t xml:space="preserve">. Cancer epidemiology in the last century and the next decade. </w:t>
      </w:r>
      <w:r w:rsidRPr="00096952">
        <w:rPr>
          <w:rStyle w:val="ref-journal"/>
          <w:color w:val="000000" w:themeColor="text1"/>
          <w:lang w:val="en"/>
        </w:rPr>
        <w:t xml:space="preserve">Nature. </w:t>
      </w:r>
      <w:r w:rsidRPr="00096952">
        <w:rPr>
          <w:color w:val="000000" w:themeColor="text1"/>
          <w:lang w:val="en"/>
        </w:rPr>
        <w:t>13</w:t>
      </w:r>
      <w:r w:rsidRPr="00096952">
        <w:rPr>
          <w:rStyle w:val="mixed-citation"/>
          <w:color w:val="000000" w:themeColor="text1"/>
          <w:lang w:val="en"/>
        </w:rPr>
        <w:t>:390–395. doi: 10.1038/35077256.</w:t>
      </w:r>
    </w:p>
  </w:footnote>
  <w:footnote w:id="71">
    <w:p w14:paraId="1B83C0C3" w14:textId="11D9228A" w:rsidR="00110FC6" w:rsidRDefault="00110FC6">
      <w:pPr>
        <w:pStyle w:val="FootnoteText"/>
      </w:pPr>
      <w:r w:rsidRPr="00096952">
        <w:rPr>
          <w:rStyle w:val="FootnoteReference"/>
          <w:color w:val="000000" w:themeColor="text1"/>
        </w:rPr>
        <w:footnoteRef/>
      </w:r>
      <w:r w:rsidRPr="00096952">
        <w:rPr>
          <w:color w:val="000000" w:themeColor="text1"/>
        </w:rPr>
        <w:t xml:space="preserve"> Takaoka Y, Kawakami N</w:t>
      </w:r>
      <w:r>
        <w:rPr>
          <w:color w:val="000000" w:themeColor="text1"/>
        </w:rPr>
        <w:t xml:space="preserve"> 2013</w:t>
      </w:r>
      <w:r w:rsidRPr="00096952">
        <w:rPr>
          <w:color w:val="000000" w:themeColor="text1"/>
        </w:rPr>
        <w:t xml:space="preserve">. Fruit and vegetable consumption in adolescence and health in early adulthood: a longitudinal analysis of the statistics Canada’s National Population Health Survey. BMC </w:t>
      </w:r>
      <w:r>
        <w:rPr>
          <w:color w:val="000000" w:themeColor="text1"/>
        </w:rPr>
        <w:t>P</w:t>
      </w:r>
      <w:r w:rsidRPr="00096952">
        <w:rPr>
          <w:color w:val="000000" w:themeColor="text1"/>
        </w:rPr>
        <w:t xml:space="preserve">ublic </w:t>
      </w:r>
      <w:r>
        <w:rPr>
          <w:color w:val="000000" w:themeColor="text1"/>
        </w:rPr>
        <w:t>H</w:t>
      </w:r>
      <w:r w:rsidRPr="00096952">
        <w:rPr>
          <w:color w:val="000000" w:themeColor="text1"/>
        </w:rPr>
        <w:t>ealth. Dec;13(1):1206.</w:t>
      </w:r>
    </w:p>
  </w:footnote>
  <w:footnote w:id="72">
    <w:p w14:paraId="37707C8F" w14:textId="520ED622" w:rsidR="00110FC6" w:rsidRPr="000B57B0" w:rsidRDefault="00110FC6" w:rsidP="00342486">
      <w:pPr>
        <w:autoSpaceDE w:val="0"/>
        <w:autoSpaceDN w:val="0"/>
        <w:adjustRightInd w:val="0"/>
        <w:rPr>
          <w:rFonts w:ascii="Arial" w:eastAsia="UniversLTStd-Light" w:hAnsi="Arial" w:cs="Arial"/>
          <w:sz w:val="16"/>
          <w:szCs w:val="16"/>
        </w:rPr>
      </w:pPr>
      <w:r>
        <w:rPr>
          <w:rStyle w:val="FootnoteReference"/>
        </w:rPr>
        <w:footnoteRef/>
      </w:r>
      <w:r>
        <w:t xml:space="preserve"> </w:t>
      </w:r>
      <w:r w:rsidRPr="000B57B0">
        <w:rPr>
          <w:rFonts w:ascii="Arial" w:eastAsia="UniversLTStd-Light" w:hAnsi="Arial" w:cs="Arial"/>
          <w:sz w:val="16"/>
          <w:szCs w:val="16"/>
        </w:rPr>
        <w:t xml:space="preserve">National Health and Medical Research Council 2013. </w:t>
      </w:r>
      <w:r w:rsidRPr="00D742D0">
        <w:rPr>
          <w:rFonts w:ascii="Arial" w:eastAsia="UniversLTStd-Light" w:hAnsi="Arial" w:cs="Arial"/>
          <w:sz w:val="16"/>
          <w:szCs w:val="16"/>
        </w:rPr>
        <w:t xml:space="preserve">Australian </w:t>
      </w:r>
      <w:r>
        <w:rPr>
          <w:rFonts w:ascii="Arial" w:eastAsia="UniversLTStd-Light" w:hAnsi="Arial" w:cs="Arial"/>
          <w:sz w:val="16"/>
          <w:szCs w:val="16"/>
        </w:rPr>
        <w:t>d</w:t>
      </w:r>
      <w:r w:rsidRPr="00D742D0">
        <w:rPr>
          <w:rFonts w:ascii="Arial" w:eastAsia="UniversLTStd-Light" w:hAnsi="Arial" w:cs="Arial"/>
          <w:sz w:val="16"/>
          <w:szCs w:val="16"/>
        </w:rPr>
        <w:t xml:space="preserve">ietary </w:t>
      </w:r>
      <w:r>
        <w:rPr>
          <w:rFonts w:ascii="Arial" w:eastAsia="UniversLTStd-Light" w:hAnsi="Arial" w:cs="Arial"/>
          <w:sz w:val="16"/>
          <w:szCs w:val="16"/>
        </w:rPr>
        <w:t>g</w:t>
      </w:r>
      <w:r w:rsidRPr="00D742D0">
        <w:rPr>
          <w:rFonts w:ascii="Arial" w:eastAsia="UniversLTStd-Light" w:hAnsi="Arial" w:cs="Arial"/>
          <w:sz w:val="16"/>
          <w:szCs w:val="16"/>
        </w:rPr>
        <w:t>uidelines</w:t>
      </w:r>
      <w:r w:rsidRPr="00676EB9">
        <w:rPr>
          <w:rFonts w:ascii="Arial" w:eastAsia="UniversLTStd-Light" w:hAnsi="Arial" w:cs="Arial"/>
          <w:sz w:val="16"/>
          <w:szCs w:val="16"/>
        </w:rPr>
        <w:t>.</w:t>
      </w:r>
      <w:r w:rsidRPr="000B57B0">
        <w:rPr>
          <w:rFonts w:ascii="Arial" w:eastAsia="UniversLTStd-Light" w:hAnsi="Arial" w:cs="Arial"/>
          <w:sz w:val="16"/>
          <w:szCs w:val="16"/>
        </w:rPr>
        <w:t xml:space="preserve"> National Health and Medical</w:t>
      </w:r>
      <w:r>
        <w:rPr>
          <w:rFonts w:ascii="Arial" w:eastAsia="UniversLTStd-Light" w:hAnsi="Arial" w:cs="Arial"/>
          <w:sz w:val="16"/>
          <w:szCs w:val="16"/>
        </w:rPr>
        <w:t xml:space="preserve"> </w:t>
      </w:r>
      <w:r w:rsidRPr="000B57B0">
        <w:rPr>
          <w:rFonts w:ascii="Arial" w:eastAsia="UniversLTStd-Light" w:hAnsi="Arial" w:cs="Arial"/>
          <w:sz w:val="16"/>
          <w:szCs w:val="16"/>
        </w:rPr>
        <w:t>Research Council</w:t>
      </w:r>
      <w:r>
        <w:rPr>
          <w:rFonts w:ascii="Arial" w:eastAsia="UniversLTStd-Light" w:hAnsi="Arial" w:cs="Arial"/>
          <w:sz w:val="16"/>
          <w:szCs w:val="16"/>
        </w:rPr>
        <w:t>, Canberra</w:t>
      </w:r>
      <w:r w:rsidRPr="000B57B0">
        <w:rPr>
          <w:rFonts w:ascii="Arial" w:eastAsia="UniversLTStd-Light" w:hAnsi="Arial" w:cs="Arial"/>
          <w:sz w:val="16"/>
          <w:szCs w:val="16"/>
        </w:rPr>
        <w:t>.</w:t>
      </w:r>
    </w:p>
  </w:footnote>
  <w:footnote w:id="73">
    <w:p w14:paraId="2C0CB8DA" w14:textId="7EA172D3" w:rsidR="00110FC6" w:rsidRDefault="00110FC6" w:rsidP="0079105B">
      <w:pPr>
        <w:pStyle w:val="FootnoteText"/>
      </w:pPr>
      <w:r>
        <w:rPr>
          <w:rStyle w:val="FootnoteReference"/>
        </w:rPr>
        <w:footnoteRef/>
      </w:r>
      <w:r>
        <w:t xml:space="preserve"> OECD 2017. </w:t>
      </w:r>
      <w:r w:rsidRPr="00D742D0">
        <w:t xml:space="preserve">Health at a </w:t>
      </w:r>
      <w:r>
        <w:t>g</w:t>
      </w:r>
      <w:r w:rsidRPr="00D742D0">
        <w:t xml:space="preserve">lance 2017: OECD </w:t>
      </w:r>
      <w:r>
        <w:t>i</w:t>
      </w:r>
      <w:r w:rsidRPr="00D742D0">
        <w:t>ndicators</w:t>
      </w:r>
      <w:r>
        <w:t xml:space="preserve">, OECD Publishing, Paris. Available from: </w:t>
      </w:r>
      <w:r w:rsidRPr="003F48C9">
        <w:t>https://doi.org/10.1787/health_glance-2017-en</w:t>
      </w:r>
    </w:p>
  </w:footnote>
  <w:footnote w:id="74">
    <w:p w14:paraId="4C2931C5" w14:textId="703E4618" w:rsidR="00110FC6" w:rsidRPr="000D5156" w:rsidRDefault="00110FC6" w:rsidP="00600829">
      <w:pPr>
        <w:autoSpaceDE w:val="0"/>
        <w:autoSpaceDN w:val="0"/>
        <w:adjustRightInd w:val="0"/>
        <w:rPr>
          <w:rFonts w:ascii="Arial" w:hAnsi="Arial" w:cs="Arial"/>
          <w:sz w:val="16"/>
          <w:szCs w:val="16"/>
        </w:rPr>
      </w:pPr>
      <w:r w:rsidRPr="000D5156">
        <w:rPr>
          <w:rStyle w:val="FootnoteReference"/>
          <w:rFonts w:cs="Arial"/>
          <w:sz w:val="16"/>
          <w:szCs w:val="16"/>
        </w:rPr>
        <w:footnoteRef/>
      </w:r>
      <w:r w:rsidRPr="000D5156">
        <w:rPr>
          <w:rFonts w:ascii="Arial" w:hAnsi="Arial" w:cs="Arial"/>
          <w:sz w:val="16"/>
          <w:szCs w:val="16"/>
        </w:rPr>
        <w:t xml:space="preserve"> National Health and Medical Research Council 2013</w:t>
      </w:r>
      <w:r>
        <w:rPr>
          <w:rFonts w:ascii="Arial" w:hAnsi="Arial" w:cs="Arial"/>
          <w:sz w:val="16"/>
          <w:szCs w:val="16"/>
        </w:rPr>
        <w:t>.</w:t>
      </w:r>
      <w:r w:rsidRPr="000D5156">
        <w:rPr>
          <w:rFonts w:ascii="Arial" w:hAnsi="Arial" w:cs="Arial"/>
          <w:sz w:val="16"/>
          <w:szCs w:val="16"/>
        </w:rPr>
        <w:t xml:space="preserve"> Australian </w:t>
      </w:r>
      <w:r>
        <w:rPr>
          <w:rFonts w:ascii="Arial" w:hAnsi="Arial" w:cs="Arial"/>
          <w:sz w:val="16"/>
          <w:szCs w:val="16"/>
        </w:rPr>
        <w:t>d</w:t>
      </w:r>
      <w:r w:rsidRPr="000D5156">
        <w:rPr>
          <w:rFonts w:ascii="Arial" w:hAnsi="Arial" w:cs="Arial"/>
          <w:sz w:val="16"/>
          <w:szCs w:val="16"/>
        </w:rPr>
        <w:t xml:space="preserve">ietary </w:t>
      </w:r>
      <w:r>
        <w:rPr>
          <w:rFonts w:ascii="Arial" w:hAnsi="Arial" w:cs="Arial"/>
          <w:sz w:val="16"/>
          <w:szCs w:val="16"/>
        </w:rPr>
        <w:t>g</w:t>
      </w:r>
      <w:r w:rsidRPr="000D5156">
        <w:rPr>
          <w:rFonts w:ascii="Arial" w:hAnsi="Arial" w:cs="Arial"/>
          <w:sz w:val="16"/>
          <w:szCs w:val="16"/>
        </w:rPr>
        <w:t>uidelines. National Health and Medical Research Council</w:t>
      </w:r>
      <w:r>
        <w:rPr>
          <w:rFonts w:ascii="Arial" w:hAnsi="Arial" w:cs="Arial"/>
          <w:sz w:val="16"/>
          <w:szCs w:val="16"/>
        </w:rPr>
        <w:t>, Canberra</w:t>
      </w:r>
      <w:r w:rsidRPr="000D5156">
        <w:rPr>
          <w:rFonts w:ascii="Arial" w:hAnsi="Arial" w:cs="Arial"/>
          <w:sz w:val="16"/>
          <w:szCs w:val="16"/>
        </w:rPr>
        <w:t>.</w:t>
      </w:r>
    </w:p>
  </w:footnote>
  <w:footnote w:id="75">
    <w:p w14:paraId="3B0E2303" w14:textId="6F4DF54A" w:rsidR="00110FC6" w:rsidRPr="000D5156" w:rsidRDefault="00110FC6">
      <w:pPr>
        <w:pStyle w:val="FootnoteText"/>
      </w:pPr>
      <w:r w:rsidRPr="000D5156">
        <w:rPr>
          <w:rStyle w:val="FootnoteReference"/>
        </w:rPr>
        <w:footnoteRef/>
      </w:r>
      <w:r w:rsidRPr="000D5156">
        <w:t xml:space="preserve"> </w:t>
      </w:r>
      <w:r w:rsidRPr="000D5156">
        <w:rPr>
          <w:lang w:val="en"/>
        </w:rPr>
        <w:t xml:space="preserve">OECD 2015, Health at a </w:t>
      </w:r>
      <w:r>
        <w:rPr>
          <w:lang w:val="en"/>
        </w:rPr>
        <w:t>g</w:t>
      </w:r>
      <w:r w:rsidRPr="000D5156">
        <w:rPr>
          <w:lang w:val="en"/>
        </w:rPr>
        <w:t xml:space="preserve">lance 2015: OECD </w:t>
      </w:r>
      <w:r>
        <w:rPr>
          <w:lang w:val="en"/>
        </w:rPr>
        <w:t>i</w:t>
      </w:r>
      <w:r w:rsidRPr="000D5156">
        <w:rPr>
          <w:lang w:val="en"/>
        </w:rPr>
        <w:t xml:space="preserve">ndicators, OECD Publishing, Paris. </w:t>
      </w:r>
      <w:r>
        <w:t xml:space="preserve">Available from: </w:t>
      </w:r>
      <w:r w:rsidRPr="00AF78EE">
        <w:t>http://dx.doi.org/10.1787/health_glance-2015-en</w:t>
      </w:r>
    </w:p>
  </w:footnote>
  <w:footnote w:id="76">
    <w:p w14:paraId="73760D3C" w14:textId="20140A4C" w:rsidR="00110FC6" w:rsidRDefault="00110FC6" w:rsidP="0043593C">
      <w:pPr>
        <w:pStyle w:val="DHHSbody"/>
        <w:rPr>
          <w:lang w:eastAsia="en-AU"/>
        </w:rPr>
      </w:pPr>
      <w:r w:rsidRPr="00AF78EE">
        <w:rPr>
          <w:rStyle w:val="FootnoteReference"/>
          <w:sz w:val="16"/>
          <w:szCs w:val="16"/>
        </w:rPr>
        <w:footnoteRef/>
      </w:r>
      <w:r w:rsidRPr="00676EB9">
        <w:rPr>
          <w:sz w:val="16"/>
          <w:szCs w:val="16"/>
        </w:rPr>
        <w:t xml:space="preserve"> Australian</w:t>
      </w:r>
      <w:r w:rsidRPr="000D5156">
        <w:rPr>
          <w:sz w:val="16"/>
          <w:szCs w:val="16"/>
        </w:rPr>
        <w:t xml:space="preserve"> Bureau of Statistics 2015. </w:t>
      </w:r>
      <w:r w:rsidRPr="00AF78EE">
        <w:rPr>
          <w:sz w:val="16"/>
          <w:szCs w:val="16"/>
        </w:rPr>
        <w:t xml:space="preserve">4364.0.55.001 National Health Survey: First </w:t>
      </w:r>
      <w:r>
        <w:rPr>
          <w:sz w:val="16"/>
          <w:szCs w:val="16"/>
        </w:rPr>
        <w:t>r</w:t>
      </w:r>
      <w:r w:rsidRPr="00AF78EE">
        <w:rPr>
          <w:sz w:val="16"/>
          <w:szCs w:val="16"/>
        </w:rPr>
        <w:t>esults 2014</w:t>
      </w:r>
      <w:r>
        <w:rPr>
          <w:sz w:val="16"/>
          <w:szCs w:val="16"/>
        </w:rPr>
        <w:t>–</w:t>
      </w:r>
      <w:r w:rsidRPr="00AF78EE">
        <w:rPr>
          <w:sz w:val="16"/>
          <w:szCs w:val="16"/>
        </w:rPr>
        <w:t>15</w:t>
      </w:r>
      <w:r w:rsidRPr="00676EB9">
        <w:rPr>
          <w:sz w:val="16"/>
          <w:szCs w:val="16"/>
        </w:rPr>
        <w:t xml:space="preserve">, </w:t>
      </w:r>
      <w:r w:rsidRPr="00AF78EE">
        <w:rPr>
          <w:sz w:val="16"/>
          <w:szCs w:val="16"/>
        </w:rPr>
        <w:t>Australia</w:t>
      </w:r>
      <w:r w:rsidRPr="00676EB9">
        <w:rPr>
          <w:sz w:val="16"/>
          <w:szCs w:val="16"/>
        </w:rPr>
        <w:t>,</w:t>
      </w:r>
      <w:r w:rsidRPr="000D5156">
        <w:rPr>
          <w:sz w:val="16"/>
          <w:szCs w:val="16"/>
        </w:rPr>
        <w:t xml:space="preserve"> Australian Government, Canberra.</w:t>
      </w:r>
    </w:p>
  </w:footnote>
  <w:footnote w:id="77">
    <w:p w14:paraId="4F96701E" w14:textId="235EEE37" w:rsidR="00110FC6" w:rsidRDefault="00110FC6" w:rsidP="00E975C3">
      <w:pPr>
        <w:pStyle w:val="FootnoteText"/>
      </w:pPr>
      <w:r>
        <w:rPr>
          <w:rStyle w:val="FootnoteReference"/>
        </w:rPr>
        <w:footnoteRef/>
      </w:r>
      <w:r>
        <w:t xml:space="preserve"> </w:t>
      </w:r>
      <w:r>
        <w:rPr>
          <w:color w:val="222222"/>
        </w:rPr>
        <w:t>Takaoka Y, Kawakami N 2013. Fruit and vegetable consumption in adolescence and health in early adulthood: a longitudinal analysis of the statistics Canada’s National Population Health Survey. BMC Public Health. Dec;13(1):1206.</w:t>
      </w:r>
    </w:p>
  </w:footnote>
  <w:footnote w:id="78">
    <w:p w14:paraId="6656BF15" w14:textId="75511EDA" w:rsidR="00110FC6" w:rsidRPr="000B57B0" w:rsidRDefault="00110FC6" w:rsidP="00C1743F">
      <w:pPr>
        <w:autoSpaceDE w:val="0"/>
        <w:autoSpaceDN w:val="0"/>
        <w:adjustRightInd w:val="0"/>
        <w:rPr>
          <w:rFonts w:ascii="Arial" w:eastAsia="UniversLTStd-Light" w:hAnsi="Arial" w:cs="Arial"/>
          <w:sz w:val="16"/>
          <w:szCs w:val="16"/>
        </w:rPr>
      </w:pPr>
      <w:r>
        <w:rPr>
          <w:rStyle w:val="FootnoteReference"/>
        </w:rPr>
        <w:footnoteRef/>
      </w:r>
      <w:r>
        <w:t xml:space="preserve"> </w:t>
      </w:r>
      <w:r w:rsidRPr="000B57B0">
        <w:rPr>
          <w:rFonts w:ascii="Arial" w:eastAsia="UniversLTStd-Light" w:hAnsi="Arial" w:cs="Arial"/>
          <w:sz w:val="16"/>
          <w:szCs w:val="16"/>
        </w:rPr>
        <w:t xml:space="preserve">National Health and Medical Research Council 2013. </w:t>
      </w:r>
      <w:r w:rsidRPr="00DD727C">
        <w:rPr>
          <w:rFonts w:ascii="Arial" w:eastAsia="UniversLTStd-Light" w:hAnsi="Arial" w:cs="Arial"/>
          <w:sz w:val="16"/>
          <w:szCs w:val="16"/>
        </w:rPr>
        <w:t xml:space="preserve">Australian </w:t>
      </w:r>
      <w:r>
        <w:rPr>
          <w:rFonts w:ascii="Arial" w:eastAsia="UniversLTStd-Light" w:hAnsi="Arial" w:cs="Arial"/>
          <w:sz w:val="16"/>
          <w:szCs w:val="16"/>
        </w:rPr>
        <w:t>d</w:t>
      </w:r>
      <w:r w:rsidRPr="00DD727C">
        <w:rPr>
          <w:rFonts w:ascii="Arial" w:eastAsia="UniversLTStd-Light" w:hAnsi="Arial" w:cs="Arial"/>
          <w:sz w:val="16"/>
          <w:szCs w:val="16"/>
        </w:rPr>
        <w:t xml:space="preserve">ietary </w:t>
      </w:r>
      <w:r>
        <w:rPr>
          <w:rFonts w:ascii="Arial" w:eastAsia="UniversLTStd-Light" w:hAnsi="Arial" w:cs="Arial"/>
          <w:sz w:val="16"/>
          <w:szCs w:val="16"/>
        </w:rPr>
        <w:t>g</w:t>
      </w:r>
      <w:r w:rsidRPr="00DD727C">
        <w:rPr>
          <w:rFonts w:ascii="Arial" w:eastAsia="UniversLTStd-Light" w:hAnsi="Arial" w:cs="Arial"/>
          <w:sz w:val="16"/>
          <w:szCs w:val="16"/>
        </w:rPr>
        <w:t>uidelines</w:t>
      </w:r>
      <w:r w:rsidRPr="000B57B0">
        <w:rPr>
          <w:rFonts w:ascii="Arial" w:eastAsia="UniversLTStd-Light" w:hAnsi="Arial" w:cs="Arial"/>
          <w:sz w:val="16"/>
          <w:szCs w:val="16"/>
        </w:rPr>
        <w:t>. National Health and Medical</w:t>
      </w:r>
      <w:r>
        <w:rPr>
          <w:rFonts w:ascii="Arial" w:eastAsia="UniversLTStd-Light" w:hAnsi="Arial" w:cs="Arial"/>
          <w:sz w:val="16"/>
          <w:szCs w:val="16"/>
        </w:rPr>
        <w:t xml:space="preserve"> </w:t>
      </w:r>
      <w:r w:rsidRPr="000B57B0">
        <w:rPr>
          <w:rFonts w:ascii="Arial" w:eastAsia="UniversLTStd-Light" w:hAnsi="Arial" w:cs="Arial"/>
          <w:sz w:val="16"/>
          <w:szCs w:val="16"/>
        </w:rPr>
        <w:t>Research Council</w:t>
      </w:r>
      <w:r>
        <w:rPr>
          <w:rFonts w:ascii="Arial" w:eastAsia="UniversLTStd-Light" w:hAnsi="Arial" w:cs="Arial"/>
          <w:sz w:val="16"/>
          <w:szCs w:val="16"/>
        </w:rPr>
        <w:t>, Canberra</w:t>
      </w:r>
      <w:r w:rsidRPr="000B57B0">
        <w:rPr>
          <w:rFonts w:ascii="Arial" w:eastAsia="UniversLTStd-Light" w:hAnsi="Arial" w:cs="Arial"/>
          <w:sz w:val="16"/>
          <w:szCs w:val="16"/>
        </w:rPr>
        <w:t>.</w:t>
      </w:r>
    </w:p>
  </w:footnote>
  <w:footnote w:id="79">
    <w:p w14:paraId="79B7A727" w14:textId="146A8FEE" w:rsidR="00110FC6" w:rsidRDefault="00110FC6" w:rsidP="00166E64">
      <w:pPr>
        <w:pStyle w:val="FootnoteText"/>
      </w:pPr>
      <w:r>
        <w:rPr>
          <w:rStyle w:val="FootnoteReference"/>
        </w:rPr>
        <w:footnoteRef/>
      </w:r>
      <w:r>
        <w:t xml:space="preserve"> Department of Health (DoH) 2014. Australia’s physical activity and sedentary behaviour guidelines, DoH, Canberra, viewed 22 March 2016, &lt;http://www.health.gov.au/internet/main/publishing.nsf/Content/healthpubhlth-strateg-phys-act-guidelines&gt;.</w:t>
      </w:r>
      <w:r w:rsidRPr="002523CC">
        <w:t xml:space="preserve"> </w:t>
      </w:r>
    </w:p>
  </w:footnote>
  <w:footnote w:id="80">
    <w:p w14:paraId="15947164" w14:textId="1055E352" w:rsidR="00110FC6" w:rsidRPr="000751FE" w:rsidRDefault="00110FC6" w:rsidP="000751FE">
      <w:pPr>
        <w:pStyle w:val="FootnoteText"/>
      </w:pPr>
      <w:r w:rsidRPr="000751FE">
        <w:rPr>
          <w:vertAlign w:val="superscript"/>
        </w:rPr>
        <w:footnoteRef/>
      </w:r>
      <w:r w:rsidRPr="000751FE">
        <w:rPr>
          <w:vertAlign w:val="superscript"/>
        </w:rPr>
        <w:t xml:space="preserve"> </w:t>
      </w:r>
      <w:r w:rsidRPr="000751FE">
        <w:rPr>
          <w:rStyle w:val="FootnoteTextChar"/>
          <w:lang w:eastAsia="en-AU"/>
        </w:rPr>
        <w:t>Llewellyn A, Simmonds M, Owen CG et al. 2016. Childhood obesity as a predictor of morbidity in adulthood: a systematic review and meta-analysis. Obesity Reviews.17:56–</w:t>
      </w:r>
      <w:r w:rsidRPr="000751FE">
        <w:t>67.</w:t>
      </w:r>
    </w:p>
  </w:footnote>
  <w:footnote w:id="81">
    <w:p w14:paraId="7ACEC44B" w14:textId="022CC33B" w:rsidR="00110FC6" w:rsidRPr="003712B3" w:rsidRDefault="00110FC6" w:rsidP="00C43F3B">
      <w:pPr>
        <w:pStyle w:val="FootnoteText"/>
      </w:pPr>
      <w:r w:rsidRPr="003712B3">
        <w:rPr>
          <w:rStyle w:val="FootnoteReference"/>
        </w:rPr>
        <w:footnoteRef/>
      </w:r>
      <w:r w:rsidRPr="003712B3">
        <w:t xml:space="preserve"> Department of Education and Training 2015.</w:t>
      </w:r>
      <w:r>
        <w:t xml:space="preserve"> </w:t>
      </w:r>
      <w:r w:rsidRPr="003712B3">
        <w:t>Victorian Students Health and Wellbeing Survey 2014.</w:t>
      </w:r>
      <w:r>
        <w:t xml:space="preserve"> Available from:</w:t>
      </w:r>
      <w:r w:rsidRPr="003712B3">
        <w:t xml:space="preserve"> https://www.education.vic.gov.au/about/research/Pages/studenthealthsurvey.aspx</w:t>
      </w:r>
    </w:p>
  </w:footnote>
  <w:footnote w:id="82">
    <w:p w14:paraId="694D6F93" w14:textId="1A3535C1" w:rsidR="00110FC6" w:rsidRPr="003712B3" w:rsidRDefault="00110FC6" w:rsidP="003712B3">
      <w:pPr>
        <w:pStyle w:val="CopyrightDetails"/>
        <w:ind w:right="-28"/>
        <w:rPr>
          <w:rFonts w:cs="Arial"/>
          <w:color w:val="auto"/>
          <w:sz w:val="16"/>
          <w:szCs w:val="16"/>
        </w:rPr>
      </w:pPr>
      <w:r w:rsidRPr="003712B3">
        <w:rPr>
          <w:rStyle w:val="FootnoteReference"/>
          <w:rFonts w:cs="Arial"/>
          <w:color w:val="auto"/>
          <w:sz w:val="16"/>
          <w:szCs w:val="16"/>
        </w:rPr>
        <w:footnoteRef/>
      </w:r>
      <w:r w:rsidRPr="003712B3">
        <w:rPr>
          <w:rFonts w:cs="Arial"/>
          <w:color w:val="auto"/>
          <w:sz w:val="16"/>
          <w:szCs w:val="16"/>
        </w:rPr>
        <w:t xml:space="preserve"> Department of Education and Training. 2017. Victorian Students Health and</w:t>
      </w:r>
      <w:r>
        <w:rPr>
          <w:rFonts w:cs="Arial"/>
          <w:color w:val="auto"/>
          <w:sz w:val="16"/>
          <w:szCs w:val="16"/>
        </w:rPr>
        <w:t xml:space="preserve"> </w:t>
      </w:r>
      <w:r w:rsidRPr="003712B3">
        <w:rPr>
          <w:rFonts w:cs="Arial"/>
          <w:color w:val="auto"/>
          <w:sz w:val="16"/>
          <w:szCs w:val="16"/>
        </w:rPr>
        <w:t>Wellbeing Survey (2016)</w:t>
      </w:r>
      <w:r w:rsidRPr="003712B3">
        <w:rPr>
          <w:sz w:val="16"/>
          <w:szCs w:val="16"/>
        </w:rPr>
        <w:t xml:space="preserve"> </w:t>
      </w:r>
      <w:r w:rsidRPr="003712B3">
        <w:rPr>
          <w:color w:val="auto"/>
          <w:sz w:val="16"/>
          <w:szCs w:val="16"/>
        </w:rPr>
        <w:t>https://www.education.vic.gov.au/about/research/Pages/studenthealthsurvey.aspx</w:t>
      </w:r>
    </w:p>
  </w:footnote>
  <w:footnote w:id="83">
    <w:p w14:paraId="5ABE3DD5" w14:textId="673EA1E0" w:rsidR="00110FC6" w:rsidRPr="003712B3" w:rsidRDefault="00110FC6">
      <w:pPr>
        <w:pStyle w:val="FootnoteText"/>
      </w:pPr>
      <w:r w:rsidRPr="003712B3">
        <w:rPr>
          <w:rStyle w:val="FootnoteReference"/>
        </w:rPr>
        <w:footnoteRef/>
      </w:r>
      <w:r w:rsidRPr="003712B3">
        <w:t xml:space="preserve"> Australia’s physical activity and sedentary behaviour guidelines changed in 2014.</w:t>
      </w:r>
    </w:p>
  </w:footnote>
  <w:footnote w:id="84">
    <w:p w14:paraId="4F56EFA4" w14:textId="777E00CD" w:rsidR="00110FC6" w:rsidRDefault="00110FC6" w:rsidP="004272A6">
      <w:pPr>
        <w:pStyle w:val="FootnoteText"/>
      </w:pPr>
      <w:r>
        <w:rPr>
          <w:rStyle w:val="FootnoteReference"/>
        </w:rPr>
        <w:footnoteRef/>
      </w:r>
      <w:r>
        <w:t xml:space="preserve"> OECD 2017. </w:t>
      </w:r>
      <w:r w:rsidRPr="007D4610">
        <w:t xml:space="preserve">Health at a </w:t>
      </w:r>
      <w:r>
        <w:t>g</w:t>
      </w:r>
      <w:r w:rsidRPr="007D4610">
        <w:t xml:space="preserve">lance 2017: OECD </w:t>
      </w:r>
      <w:r>
        <w:t>i</w:t>
      </w:r>
      <w:r w:rsidRPr="007D4610">
        <w:t>ndicators</w:t>
      </w:r>
      <w:r>
        <w:t xml:space="preserve">, OECD Publishing, Paris. Available from: </w:t>
      </w:r>
      <w:r w:rsidRPr="003F48C9">
        <w:t>https://doi.org/10.1787/health_glance-2017-en</w:t>
      </w:r>
    </w:p>
  </w:footnote>
  <w:footnote w:id="85">
    <w:p w14:paraId="4F2D69AF" w14:textId="45D3E9D2" w:rsidR="00110FC6" w:rsidRPr="008448C0" w:rsidRDefault="00110FC6" w:rsidP="00F167D4">
      <w:pPr>
        <w:autoSpaceDE w:val="0"/>
        <w:autoSpaceDN w:val="0"/>
        <w:adjustRightInd w:val="0"/>
        <w:rPr>
          <w:rFonts w:ascii="Arial" w:hAnsi="Arial" w:cs="Arial"/>
          <w:sz w:val="16"/>
          <w:szCs w:val="16"/>
          <w:lang w:val="en"/>
        </w:rPr>
      </w:pPr>
      <w:r w:rsidRPr="008240CE">
        <w:rPr>
          <w:rStyle w:val="FootnoteReference"/>
          <w:sz w:val="16"/>
          <w:szCs w:val="16"/>
        </w:rPr>
        <w:footnoteRef/>
      </w:r>
      <w:r w:rsidRPr="008240CE">
        <w:rPr>
          <w:sz w:val="16"/>
          <w:szCs w:val="16"/>
        </w:rPr>
        <w:t xml:space="preserve"> </w:t>
      </w:r>
      <w:r w:rsidRPr="008448C0">
        <w:rPr>
          <w:rFonts w:ascii="Arial" w:hAnsi="Arial" w:cs="Arial"/>
          <w:sz w:val="16"/>
          <w:szCs w:val="16"/>
          <w:lang w:val="en"/>
        </w:rPr>
        <w:t>Obese is defined as BMI ≥</w:t>
      </w:r>
      <w:r>
        <w:rPr>
          <w:rFonts w:ascii="Arial" w:hAnsi="Arial" w:cs="Arial"/>
          <w:sz w:val="16"/>
          <w:szCs w:val="16"/>
          <w:lang w:val="en"/>
        </w:rPr>
        <w:t xml:space="preserve"> </w:t>
      </w:r>
      <w:r w:rsidRPr="008448C0">
        <w:rPr>
          <w:rFonts w:ascii="Arial" w:hAnsi="Arial" w:cs="Arial"/>
          <w:sz w:val="16"/>
          <w:szCs w:val="16"/>
          <w:lang w:val="en"/>
        </w:rPr>
        <w:t>30kg/m</w:t>
      </w:r>
      <w:r w:rsidRPr="008448C0">
        <w:rPr>
          <w:rFonts w:ascii="Arial" w:hAnsi="Arial" w:cs="Arial"/>
          <w:sz w:val="16"/>
          <w:szCs w:val="16"/>
          <w:vertAlign w:val="superscript"/>
          <w:lang w:val="en"/>
        </w:rPr>
        <w:t>2</w:t>
      </w:r>
      <w:r w:rsidRPr="008448C0">
        <w:rPr>
          <w:rFonts w:ascii="Arial" w:hAnsi="Arial" w:cs="Arial"/>
          <w:sz w:val="16"/>
          <w:szCs w:val="16"/>
          <w:lang w:val="en"/>
        </w:rPr>
        <w:t>.</w:t>
      </w:r>
    </w:p>
  </w:footnote>
  <w:footnote w:id="86">
    <w:p w14:paraId="5B1D5476" w14:textId="1C04D8AF" w:rsidR="00110FC6" w:rsidRDefault="00110FC6" w:rsidP="00594D89">
      <w:pPr>
        <w:pStyle w:val="FootnoteText"/>
      </w:pPr>
      <w:r>
        <w:rPr>
          <w:rStyle w:val="FootnoteReference"/>
        </w:rPr>
        <w:footnoteRef/>
      </w:r>
      <w:r>
        <w:t xml:space="preserve"> </w:t>
      </w:r>
      <w:r>
        <w:rPr>
          <w:color w:val="222222"/>
        </w:rPr>
        <w:t>Arriaga ME, Vajdic CM, Canfell K, et al. 2017. The burden of cancer attributable to modifiable risk factors: the Australian cancer-PAF cohort consortium. BMJ Open. Jun 1;7(6) e016178.</w:t>
      </w:r>
    </w:p>
  </w:footnote>
  <w:footnote w:id="87">
    <w:p w14:paraId="0F3953DB" w14:textId="2697D3C4" w:rsidR="00110FC6" w:rsidRDefault="00110FC6" w:rsidP="009A0008">
      <w:pPr>
        <w:pStyle w:val="FootnoteText"/>
      </w:pPr>
      <w:r>
        <w:rPr>
          <w:rStyle w:val="FootnoteReference"/>
        </w:rPr>
        <w:footnoteRef/>
      </w:r>
      <w:r>
        <w:t xml:space="preserve"> OECD 2017. </w:t>
      </w:r>
      <w:r w:rsidRPr="00D30A95">
        <w:t xml:space="preserve">Health at a </w:t>
      </w:r>
      <w:r>
        <w:t>g</w:t>
      </w:r>
      <w:r w:rsidRPr="00D30A95">
        <w:t xml:space="preserve">lance 2017: OECD </w:t>
      </w:r>
      <w:r>
        <w:t>i</w:t>
      </w:r>
      <w:r w:rsidRPr="00D30A95">
        <w:t>ndicators</w:t>
      </w:r>
      <w:r>
        <w:t xml:space="preserve">, OECD Publishing, Paris. Available from: </w:t>
      </w:r>
      <w:r w:rsidRPr="003F48C9">
        <w:t>https://doi.org/10.1787/health_glance-2017-en</w:t>
      </w:r>
    </w:p>
  </w:footnote>
  <w:footnote w:id="88">
    <w:p w14:paraId="10F19A28" w14:textId="1120196A" w:rsidR="00110FC6" w:rsidRPr="002E6961" w:rsidRDefault="00110FC6" w:rsidP="002E6961">
      <w:pPr>
        <w:autoSpaceDE w:val="0"/>
        <w:autoSpaceDN w:val="0"/>
        <w:adjustRightInd w:val="0"/>
        <w:spacing w:before="60" w:after="60" w:line="200" w:lineRule="atLeast"/>
        <w:rPr>
          <w:rFonts w:ascii="Arial" w:hAnsi="Arial" w:cs="Arial"/>
          <w:sz w:val="16"/>
          <w:szCs w:val="16"/>
        </w:rPr>
      </w:pPr>
      <w:r w:rsidRPr="002E6961">
        <w:rPr>
          <w:rStyle w:val="FootnoteReference"/>
          <w:rFonts w:cs="Arial"/>
          <w:sz w:val="16"/>
          <w:szCs w:val="16"/>
        </w:rPr>
        <w:footnoteRef/>
      </w:r>
      <w:r>
        <w:t xml:space="preserve"> </w:t>
      </w:r>
      <w:r w:rsidRPr="002E6961">
        <w:rPr>
          <w:rFonts w:ascii="Arial" w:hAnsi="Arial" w:cs="Arial"/>
          <w:sz w:val="16"/>
          <w:szCs w:val="16"/>
        </w:rPr>
        <w:t>The aim of this campaign was to address the burden of chronic disease caused by overweight and</w:t>
      </w:r>
      <w:r>
        <w:rPr>
          <w:rFonts w:ascii="Arial" w:hAnsi="Arial" w:cs="Arial"/>
          <w:sz w:val="16"/>
          <w:szCs w:val="16"/>
        </w:rPr>
        <w:t xml:space="preserve"> </w:t>
      </w:r>
      <w:r w:rsidRPr="002E6961">
        <w:rPr>
          <w:rFonts w:ascii="Arial" w:hAnsi="Arial" w:cs="Arial"/>
          <w:sz w:val="16"/>
          <w:szCs w:val="16"/>
        </w:rPr>
        <w:t>obesity, poor diet and physical inactivity via a variety of initiatives including mass media, social media,</w:t>
      </w:r>
      <w:r>
        <w:rPr>
          <w:rFonts w:ascii="Arial" w:hAnsi="Arial" w:cs="Arial"/>
          <w:sz w:val="16"/>
          <w:szCs w:val="16"/>
        </w:rPr>
        <w:t xml:space="preserve"> </w:t>
      </w:r>
      <w:r w:rsidRPr="002E6961">
        <w:rPr>
          <w:rFonts w:ascii="Arial" w:hAnsi="Arial" w:cs="Arial"/>
          <w:sz w:val="16"/>
          <w:szCs w:val="16"/>
        </w:rPr>
        <w:t>community engagement, tools</w:t>
      </w:r>
      <w:r>
        <w:rPr>
          <w:rFonts w:ascii="Arial" w:hAnsi="Arial" w:cs="Arial"/>
          <w:sz w:val="16"/>
          <w:szCs w:val="16"/>
        </w:rPr>
        <w:t>/</w:t>
      </w:r>
      <w:r w:rsidRPr="002E6961">
        <w:rPr>
          <w:rFonts w:ascii="Arial" w:hAnsi="Arial" w:cs="Arial"/>
          <w:sz w:val="16"/>
          <w:szCs w:val="16"/>
        </w:rPr>
        <w:t xml:space="preserve">resources and </w:t>
      </w:r>
      <w:r>
        <w:rPr>
          <w:rFonts w:ascii="Arial" w:hAnsi="Arial" w:cs="Arial"/>
          <w:sz w:val="16"/>
          <w:szCs w:val="16"/>
        </w:rPr>
        <w:t>public relations</w:t>
      </w:r>
      <w:r w:rsidRPr="002E6961">
        <w:rPr>
          <w:rFonts w:ascii="Arial" w:hAnsi="Arial" w:cs="Arial"/>
          <w:sz w:val="16"/>
          <w:szCs w:val="16"/>
        </w:rPr>
        <w:t xml:space="preserve"> to </w:t>
      </w:r>
      <w:r>
        <w:rPr>
          <w:rFonts w:ascii="Arial" w:hAnsi="Arial" w:cs="Arial"/>
          <w:sz w:val="16"/>
          <w:szCs w:val="16"/>
        </w:rPr>
        <w:t xml:space="preserve">inform, </w:t>
      </w:r>
      <w:r w:rsidRPr="002E6961">
        <w:rPr>
          <w:rFonts w:ascii="Arial" w:hAnsi="Arial" w:cs="Arial"/>
          <w:sz w:val="16"/>
          <w:szCs w:val="16"/>
        </w:rPr>
        <w:t>encourage and support West</w:t>
      </w:r>
      <w:r>
        <w:rPr>
          <w:rFonts w:ascii="Arial" w:hAnsi="Arial" w:cs="Arial"/>
          <w:sz w:val="16"/>
          <w:szCs w:val="16"/>
        </w:rPr>
        <w:t>ern</w:t>
      </w:r>
      <w:r w:rsidRPr="002E6961">
        <w:rPr>
          <w:rFonts w:ascii="Arial" w:hAnsi="Arial" w:cs="Arial"/>
          <w:sz w:val="16"/>
          <w:szCs w:val="16"/>
        </w:rPr>
        <w:t xml:space="preserve"> Australians </w:t>
      </w:r>
      <w:r>
        <w:rPr>
          <w:rFonts w:ascii="Arial" w:hAnsi="Arial" w:cs="Arial"/>
          <w:sz w:val="16"/>
          <w:szCs w:val="16"/>
        </w:rPr>
        <w:t xml:space="preserve">to </w:t>
      </w:r>
      <w:r w:rsidRPr="002E6961">
        <w:rPr>
          <w:rFonts w:ascii="Arial" w:hAnsi="Arial" w:cs="Arial"/>
          <w:sz w:val="16"/>
          <w:szCs w:val="16"/>
        </w:rPr>
        <w:t>adopt healthier lifestyle behaviours</w:t>
      </w:r>
      <w:r>
        <w:rPr>
          <w:rFonts w:ascii="Calibri" w:hAnsi="Calibri" w:cs="Calibri"/>
          <w:sz w:val="22"/>
          <w:szCs w:val="22"/>
        </w:rPr>
        <w:t>.</w:t>
      </w:r>
    </w:p>
  </w:footnote>
  <w:footnote w:id="89">
    <w:p w14:paraId="51F6CAC4" w14:textId="240C956F" w:rsidR="00110FC6" w:rsidRDefault="00110FC6">
      <w:pPr>
        <w:pStyle w:val="FootnoteText"/>
      </w:pPr>
      <w:r>
        <w:rPr>
          <w:rStyle w:val="FootnoteReference"/>
        </w:rPr>
        <w:footnoteRef/>
      </w:r>
      <w:r>
        <w:t xml:space="preserve"> </w:t>
      </w:r>
      <w:r>
        <w:rPr>
          <w:color w:val="222222"/>
        </w:rPr>
        <w:t>Drieskens S, Demarest S, Bel S, et al. 2018. Correction of self-reported BMI based on objective measurements: a Belgian experience</w:t>
      </w:r>
      <w:r w:rsidRPr="00676EB9">
        <w:rPr>
          <w:color w:val="222222"/>
        </w:rPr>
        <w:t xml:space="preserve">. </w:t>
      </w:r>
      <w:r w:rsidRPr="00E434BC">
        <w:rPr>
          <w:color w:val="222222"/>
        </w:rPr>
        <w:t>Archives of Public Health</w:t>
      </w:r>
      <w:r w:rsidRPr="00676EB9">
        <w:rPr>
          <w:color w:val="222222"/>
        </w:rPr>
        <w:t>.</w:t>
      </w:r>
      <w:r>
        <w:rPr>
          <w:color w:val="222222"/>
        </w:rPr>
        <w:t xml:space="preserve"> Dec;76(1):10.</w:t>
      </w:r>
    </w:p>
  </w:footnote>
  <w:footnote w:id="90">
    <w:p w14:paraId="04B61CCA" w14:textId="29DE11C8" w:rsidR="00110FC6" w:rsidRPr="00297031" w:rsidRDefault="00110FC6" w:rsidP="00297031">
      <w:pPr>
        <w:autoSpaceDE w:val="0"/>
        <w:autoSpaceDN w:val="0"/>
        <w:adjustRightInd w:val="0"/>
        <w:rPr>
          <w:rFonts w:ascii="Arial" w:hAnsi="Arial" w:cs="Arial"/>
          <w:sz w:val="16"/>
          <w:szCs w:val="16"/>
        </w:rPr>
      </w:pPr>
      <w:r w:rsidRPr="00297031">
        <w:rPr>
          <w:rStyle w:val="FootnoteReference"/>
          <w:rFonts w:cs="Arial"/>
          <w:sz w:val="16"/>
          <w:szCs w:val="16"/>
        </w:rPr>
        <w:footnoteRef/>
      </w:r>
      <w:r w:rsidRPr="00297031">
        <w:rPr>
          <w:rFonts w:ascii="Arial" w:hAnsi="Arial" w:cs="Arial"/>
          <w:sz w:val="16"/>
          <w:szCs w:val="16"/>
        </w:rPr>
        <w:t xml:space="preserve"> Australian Institute of Health and Welfare 2017. A picture of overweight and obesity in Australia 2017. Cat. no.PHE 216. AIHW</w:t>
      </w:r>
      <w:r>
        <w:rPr>
          <w:rFonts w:ascii="Arial" w:hAnsi="Arial" w:cs="Arial"/>
          <w:sz w:val="16"/>
          <w:szCs w:val="16"/>
        </w:rPr>
        <w:t>, Canberra</w:t>
      </w:r>
      <w:r w:rsidRPr="00297031">
        <w:rPr>
          <w:rFonts w:ascii="Arial" w:hAnsi="Arial" w:cs="Arial"/>
          <w:sz w:val="16"/>
          <w:szCs w:val="16"/>
        </w:rPr>
        <w:t>.</w:t>
      </w:r>
    </w:p>
  </w:footnote>
  <w:footnote w:id="91">
    <w:p w14:paraId="03CD968D" w14:textId="0FD99963" w:rsidR="00110FC6" w:rsidRDefault="00110FC6" w:rsidP="00083EAB">
      <w:pPr>
        <w:pStyle w:val="FootnoteText"/>
      </w:pPr>
      <w:r w:rsidRPr="00297031">
        <w:rPr>
          <w:rStyle w:val="FootnoteReference"/>
        </w:rPr>
        <w:footnoteRef/>
      </w:r>
      <w:r w:rsidRPr="00297031">
        <w:t xml:space="preserve"> </w:t>
      </w:r>
      <w:r>
        <w:t>Australian Bureau of Statistics</w:t>
      </w:r>
      <w:r w:rsidRPr="00297031">
        <w:t xml:space="preserve"> 2018. National Health Survey: first results, 2017–1</w:t>
      </w:r>
      <w:r>
        <w:t>8</w:t>
      </w:r>
      <w:r w:rsidRPr="00297031">
        <w:t>. ABS</w:t>
      </w:r>
      <w:r>
        <w:t>, Canberra</w:t>
      </w:r>
      <w:r w:rsidRPr="00297031">
        <w:t xml:space="preserve">. </w:t>
      </w:r>
      <w:r>
        <w:t xml:space="preserve">Available from: </w:t>
      </w:r>
      <w:r w:rsidRPr="00297031">
        <w:t>http://www.abs.gov.au/AUSSTATS/abs@.nsf/DetailsPage/4364.0.55.0012017-18?OpenDocument</w:t>
      </w:r>
    </w:p>
  </w:footnote>
  <w:footnote w:id="92">
    <w:p w14:paraId="21595B61" w14:textId="19C61340" w:rsidR="00110FC6" w:rsidRDefault="00110FC6" w:rsidP="00F636D4">
      <w:pPr>
        <w:pStyle w:val="FootnoteText"/>
      </w:pPr>
      <w:r>
        <w:rPr>
          <w:rStyle w:val="FootnoteReference"/>
        </w:rPr>
        <w:footnoteRef/>
      </w:r>
      <w:r>
        <w:t xml:space="preserve"> Lopes DM, McMahon SB 2016. Ultraviolet radiation on the skin: a painful experience? CNS Neuroscience &amp; Therapeutics. 22:118-26.</w:t>
      </w:r>
    </w:p>
  </w:footnote>
  <w:footnote w:id="93">
    <w:p w14:paraId="7C136AF5" w14:textId="46128E95" w:rsidR="00110FC6" w:rsidRPr="007E54AE" w:rsidRDefault="00110FC6" w:rsidP="00F636D4">
      <w:pPr>
        <w:pStyle w:val="FootnoteText"/>
        <w:rPr>
          <w:lang w:val="en-NZ"/>
        </w:rPr>
      </w:pPr>
      <w:r w:rsidRPr="008260ED">
        <w:rPr>
          <w:rStyle w:val="FootnoteReference"/>
        </w:rPr>
        <w:footnoteRef/>
      </w:r>
      <w:r w:rsidRPr="008260ED">
        <w:t xml:space="preserve"> </w:t>
      </w:r>
      <w:r w:rsidRPr="008260ED">
        <w:rPr>
          <w:lang w:val="en-NZ"/>
        </w:rPr>
        <w:t>Better Health Channel</w:t>
      </w:r>
      <w:r>
        <w:rPr>
          <w:lang w:val="en-NZ"/>
        </w:rPr>
        <w:t xml:space="preserve"> 2019</w:t>
      </w:r>
      <w:r w:rsidRPr="008260ED">
        <w:rPr>
          <w:lang w:val="en-NZ"/>
        </w:rPr>
        <w:t>. Sunburn.</w:t>
      </w:r>
      <w:r>
        <w:rPr>
          <w:lang w:val="en-NZ"/>
        </w:rPr>
        <w:t xml:space="preserve"> </w:t>
      </w:r>
      <w:r>
        <w:t xml:space="preserve">Available from: </w:t>
      </w:r>
      <w:r w:rsidRPr="008260ED">
        <w:rPr>
          <w:lang w:val="en-NZ"/>
        </w:rPr>
        <w:t>https://www.betterhealth.vic.gov.au/health/conditionsandtreatments/sunburn</w:t>
      </w:r>
    </w:p>
  </w:footnote>
  <w:footnote w:id="94">
    <w:p w14:paraId="32407CB1" w14:textId="3D827D76" w:rsidR="00110FC6" w:rsidRDefault="00110FC6" w:rsidP="00665EED">
      <w:pPr>
        <w:pStyle w:val="FootnoteText"/>
      </w:pPr>
      <w:r>
        <w:rPr>
          <w:rStyle w:val="FootnoteReference"/>
        </w:rPr>
        <w:footnoteRef/>
      </w:r>
      <w:r>
        <w:t xml:space="preserve"> </w:t>
      </w:r>
      <w:r w:rsidRPr="00FC3A15">
        <w:t xml:space="preserve">Two or more sun protective behaviours were defined as used sunscreen or headwear and at least one other sun protective behaviour (excluding sunglasses) by the respondent. </w:t>
      </w:r>
      <w:r>
        <w:t xml:space="preserve">The prevalence of adults who used </w:t>
      </w:r>
      <w:r w:rsidRPr="00FC3A15">
        <w:t xml:space="preserve">two or more sun protective behaviours on summer weekends </w:t>
      </w:r>
      <w:r>
        <w:t xml:space="preserve">is presented </w:t>
      </w:r>
      <w:r w:rsidRPr="00FC3A15">
        <w:t>among respondents outdoors in Melbourne in 2013</w:t>
      </w:r>
      <w:r>
        <w:t>–</w:t>
      </w:r>
      <w:r w:rsidRPr="00FC3A15">
        <w:t xml:space="preserve">14 (25 November 2013 to 30 January 2014) and </w:t>
      </w:r>
      <w:r>
        <w:t xml:space="preserve">in </w:t>
      </w:r>
      <w:r w:rsidRPr="00FC3A15">
        <w:t>2016</w:t>
      </w:r>
      <w:r>
        <w:t>–</w:t>
      </w:r>
      <w:r w:rsidRPr="00FC3A15">
        <w:t>17 (28 November 2016 to 31 January 2017).</w:t>
      </w:r>
    </w:p>
  </w:footnote>
  <w:footnote w:id="95">
    <w:p w14:paraId="3EAAEF8C" w14:textId="5D95CF0E" w:rsidR="00110FC6" w:rsidRPr="004712BE" w:rsidRDefault="00110FC6" w:rsidP="00665EED">
      <w:pPr>
        <w:pStyle w:val="CommentText"/>
        <w:rPr>
          <w:rFonts w:ascii="Arial" w:hAnsi="Arial" w:cs="Arial"/>
          <w:sz w:val="16"/>
          <w:szCs w:val="16"/>
        </w:rPr>
      </w:pPr>
      <w:r w:rsidRPr="004712BE">
        <w:rPr>
          <w:rStyle w:val="FootnoteReference"/>
          <w:rFonts w:eastAsia="MS Gothic" w:cs="Arial"/>
          <w:sz w:val="16"/>
          <w:szCs w:val="16"/>
        </w:rPr>
        <w:footnoteRef/>
      </w:r>
      <w:r w:rsidRPr="004712BE">
        <w:rPr>
          <w:rFonts w:ascii="Arial" w:hAnsi="Arial" w:cs="Arial"/>
          <w:sz w:val="16"/>
          <w:szCs w:val="16"/>
        </w:rPr>
        <w:t xml:space="preserve"> Tabbakh T, Dobbinson S</w:t>
      </w:r>
      <w:r>
        <w:rPr>
          <w:rFonts w:ascii="Arial" w:hAnsi="Arial" w:cs="Arial"/>
          <w:sz w:val="16"/>
          <w:szCs w:val="16"/>
        </w:rPr>
        <w:t xml:space="preserve"> 2017.</w:t>
      </w:r>
      <w:r w:rsidRPr="004712BE">
        <w:rPr>
          <w:rFonts w:ascii="Arial" w:hAnsi="Arial" w:cs="Arial"/>
          <w:sz w:val="16"/>
          <w:szCs w:val="16"/>
        </w:rPr>
        <w:t xml:space="preserve"> 2016</w:t>
      </w:r>
      <w:r>
        <w:rPr>
          <w:rFonts w:ascii="Arial" w:hAnsi="Arial" w:cs="Arial"/>
          <w:sz w:val="16"/>
          <w:szCs w:val="16"/>
        </w:rPr>
        <w:t>–</w:t>
      </w:r>
      <w:r w:rsidRPr="004712BE">
        <w:rPr>
          <w:rFonts w:ascii="Arial" w:hAnsi="Arial" w:cs="Arial"/>
          <w:sz w:val="16"/>
          <w:szCs w:val="16"/>
        </w:rPr>
        <w:t>17 National Sun Protection Survey: Report 2 Sun protective behaviours and sunburn incidence on weekends among Australians in summer 2016</w:t>
      </w:r>
      <w:r>
        <w:rPr>
          <w:rFonts w:ascii="Arial" w:hAnsi="Arial" w:cs="Arial"/>
          <w:sz w:val="16"/>
          <w:szCs w:val="16"/>
        </w:rPr>
        <w:t>–</w:t>
      </w:r>
      <w:r w:rsidRPr="004712BE">
        <w:rPr>
          <w:rFonts w:ascii="Arial" w:hAnsi="Arial" w:cs="Arial"/>
          <w:sz w:val="16"/>
          <w:szCs w:val="16"/>
        </w:rPr>
        <w:t>17 (unpublished). Centre for Behavioural Research in Cancer, Cancer Council Victoria</w:t>
      </w:r>
      <w:r>
        <w:rPr>
          <w:rFonts w:ascii="Arial" w:hAnsi="Arial" w:cs="Arial"/>
          <w:sz w:val="16"/>
          <w:szCs w:val="16"/>
        </w:rPr>
        <w:t>,</w:t>
      </w:r>
      <w:r w:rsidRPr="004712BE">
        <w:rPr>
          <w:rFonts w:ascii="Arial" w:hAnsi="Arial" w:cs="Arial"/>
          <w:sz w:val="16"/>
          <w:szCs w:val="16"/>
        </w:rPr>
        <w:t xml:space="preserve"> Melbourne</w:t>
      </w:r>
      <w:r>
        <w:rPr>
          <w:rFonts w:ascii="Arial" w:hAnsi="Arial" w:cs="Arial"/>
          <w:sz w:val="16"/>
          <w:szCs w:val="16"/>
        </w:rPr>
        <w:t>.</w:t>
      </w:r>
    </w:p>
  </w:footnote>
  <w:footnote w:id="96">
    <w:p w14:paraId="3EB493D8" w14:textId="77777777" w:rsidR="00110FC6" w:rsidRPr="004712BE" w:rsidRDefault="00110FC6" w:rsidP="00665EED">
      <w:pPr>
        <w:pStyle w:val="DHHSbody"/>
        <w:spacing w:after="0" w:line="240" w:lineRule="auto"/>
        <w:rPr>
          <w:rFonts w:cs="Arial"/>
        </w:rPr>
      </w:pPr>
      <w:r w:rsidRPr="004712BE">
        <w:rPr>
          <w:rStyle w:val="FootnoteReference"/>
          <w:rFonts w:cs="Arial"/>
          <w:sz w:val="16"/>
          <w:szCs w:val="16"/>
        </w:rPr>
        <w:footnoteRef/>
      </w:r>
      <w:r w:rsidRPr="004712BE">
        <w:rPr>
          <w:rFonts w:cs="Arial"/>
          <w:sz w:val="16"/>
          <w:szCs w:val="16"/>
        </w:rPr>
        <w:t xml:space="preserve"> </w:t>
      </w:r>
      <w:r w:rsidRPr="00AD7E6D">
        <w:rPr>
          <w:sz w:val="16"/>
          <w:szCs w:val="16"/>
        </w:rPr>
        <w:t>SunSmart is the primary skin cancer prevention health promotion program in Victoria, operating the popular SunSmart Schools Program, as well as a host of other successful and valuable community, school and workplace programs. It</w:t>
      </w:r>
      <w:r>
        <w:t xml:space="preserve"> </w:t>
      </w:r>
      <w:r w:rsidRPr="004712BE">
        <w:rPr>
          <w:rFonts w:cs="Arial"/>
          <w:sz w:val="16"/>
          <w:szCs w:val="16"/>
          <w:lang w:val="en"/>
        </w:rPr>
        <w:t>plays a leading role in promoting the balance between the risks of skin cancer from too much sun exposure and maintaining adequate vitamin D levels.</w:t>
      </w:r>
    </w:p>
  </w:footnote>
  <w:footnote w:id="97">
    <w:p w14:paraId="309891F9" w14:textId="4735279C" w:rsidR="00110FC6" w:rsidRDefault="00110FC6" w:rsidP="00665EED">
      <w:pPr>
        <w:pStyle w:val="FootnoteText"/>
      </w:pPr>
      <w:r>
        <w:rPr>
          <w:rStyle w:val="FootnoteReference"/>
        </w:rPr>
        <w:footnoteRef/>
      </w:r>
      <w:r>
        <w:t xml:space="preserve"> </w:t>
      </w:r>
      <w:r w:rsidRPr="00CD3E85">
        <w:t xml:space="preserve">Dobbinson SJ, Volkov </w:t>
      </w:r>
      <w:r>
        <w:t>A,</w:t>
      </w:r>
      <w:r w:rsidRPr="00CD3E85">
        <w:t xml:space="preserve"> Wakefield</w:t>
      </w:r>
      <w:r>
        <w:t xml:space="preserve"> MA 2015</w:t>
      </w:r>
      <w:r w:rsidRPr="00CD3E85">
        <w:t xml:space="preserve">. Continued </w:t>
      </w:r>
      <w:r>
        <w:t>i</w:t>
      </w:r>
      <w:r w:rsidRPr="00CD3E85">
        <w:t xml:space="preserve">mpact of SunSmart </w:t>
      </w:r>
      <w:r>
        <w:t>a</w:t>
      </w:r>
      <w:r w:rsidRPr="00CD3E85">
        <w:t xml:space="preserve">dvertising on </w:t>
      </w:r>
      <w:r>
        <w:t>y</w:t>
      </w:r>
      <w:r w:rsidRPr="00CD3E85">
        <w:t xml:space="preserve">outh and </w:t>
      </w:r>
      <w:r>
        <w:t>a</w:t>
      </w:r>
      <w:r w:rsidRPr="00CD3E85">
        <w:t>dults</w:t>
      </w:r>
      <w:r>
        <w:t>’</w:t>
      </w:r>
      <w:r w:rsidRPr="00CD3E85">
        <w:t xml:space="preserve"> </w:t>
      </w:r>
      <w:r>
        <w:t>b</w:t>
      </w:r>
      <w:r w:rsidRPr="00CD3E85">
        <w:t>ehaviours.</w:t>
      </w:r>
      <w:r>
        <w:t xml:space="preserve"> </w:t>
      </w:r>
      <w:r w:rsidRPr="004A0195">
        <w:rPr>
          <w:iCs/>
        </w:rPr>
        <w:t>American Journal of Preventive Medicine</w:t>
      </w:r>
      <w:r w:rsidRPr="00676EB9">
        <w:rPr>
          <w:iCs/>
        </w:rPr>
        <w:t xml:space="preserve">. </w:t>
      </w:r>
      <w:r w:rsidRPr="00CD3E85">
        <w:t>49(1):</w:t>
      </w:r>
      <w:r>
        <w:t xml:space="preserve"> </w:t>
      </w:r>
      <w:r w:rsidRPr="00CD3E85">
        <w:t>20-8.</w:t>
      </w:r>
    </w:p>
  </w:footnote>
  <w:footnote w:id="98">
    <w:p w14:paraId="6824C264" w14:textId="16957B53" w:rsidR="00110FC6" w:rsidRPr="004712BE" w:rsidRDefault="00110FC6" w:rsidP="00665EED">
      <w:pPr>
        <w:pStyle w:val="FootnoteText"/>
        <w:spacing w:before="0" w:after="0" w:line="240" w:lineRule="auto"/>
      </w:pPr>
      <w:r w:rsidRPr="004712BE">
        <w:rPr>
          <w:rStyle w:val="FootnoteReference"/>
        </w:rPr>
        <w:footnoteRef/>
      </w:r>
      <w:r w:rsidRPr="004712BE">
        <w:t xml:space="preserve"> Department of Health 2012. Skin cancer prevention framework 2013</w:t>
      </w:r>
      <w:r>
        <w:t>–</w:t>
      </w:r>
      <w:r w:rsidRPr="004712BE">
        <w:t>17.</w:t>
      </w:r>
      <w:r>
        <w:t xml:space="preserve"> Australian Government, Canberra.</w:t>
      </w:r>
    </w:p>
  </w:footnote>
  <w:footnote w:id="99">
    <w:p w14:paraId="4C8463E4" w14:textId="2B0BA2E3" w:rsidR="00110FC6" w:rsidRDefault="00110FC6" w:rsidP="008D225A">
      <w:pPr>
        <w:pStyle w:val="FootnoteText"/>
      </w:pPr>
      <w:r>
        <w:rPr>
          <w:rStyle w:val="FootnoteReference"/>
        </w:rPr>
        <w:footnoteRef/>
      </w:r>
      <w:r>
        <w:t xml:space="preserve"> As the age of students in the first year of high school varies between justifications, age 15 is used as the age for routine review of vaccination coverage that provides the best comparison to allow for those varying ages in administration, as per World Health Organization recommendations.</w:t>
      </w:r>
    </w:p>
  </w:footnote>
  <w:footnote w:id="100">
    <w:p w14:paraId="0DF8F228" w14:textId="34324CD1" w:rsidR="00110FC6" w:rsidRPr="00D95940" w:rsidRDefault="00110FC6" w:rsidP="000C78CC">
      <w:pPr>
        <w:pStyle w:val="FootnoteText"/>
      </w:pPr>
      <w:r>
        <w:rPr>
          <w:rStyle w:val="FootnoteReference"/>
        </w:rPr>
        <w:footnoteRef/>
      </w:r>
      <w:r>
        <w:t xml:space="preserve"> </w:t>
      </w:r>
      <w:r w:rsidRPr="00D95940">
        <w:t xml:space="preserve">Department of Health and Human Services 2016. </w:t>
      </w:r>
      <w:r w:rsidRPr="00D95940">
        <w:rPr>
          <w:i/>
        </w:rPr>
        <w:t>Victorian hepatitis B strategy 2016–2020</w:t>
      </w:r>
      <w:r w:rsidRPr="00D95940">
        <w:t>.</w:t>
      </w:r>
      <w:r>
        <w:t xml:space="preserve"> State Government of Victoria, Melbourne.</w:t>
      </w:r>
    </w:p>
  </w:footnote>
  <w:footnote w:id="101">
    <w:p w14:paraId="226E9138" w14:textId="2BFE7FAC" w:rsidR="00110FC6" w:rsidRPr="00D95940" w:rsidRDefault="00110FC6" w:rsidP="000C78CC">
      <w:pPr>
        <w:pStyle w:val="FootnoteText"/>
      </w:pPr>
      <w:r w:rsidRPr="00D95940">
        <w:rPr>
          <w:rStyle w:val="FootnoteReference"/>
        </w:rPr>
        <w:footnoteRef/>
      </w:r>
      <w:r w:rsidRPr="00D95940">
        <w:t xml:space="preserve"> Hepatitis B is classified into two categories: newly acquired and unspecified.</w:t>
      </w:r>
      <w:r>
        <w:t xml:space="preserve"> U</w:t>
      </w:r>
      <w:r w:rsidRPr="00D95940">
        <w:t>nspecified hepatitis B is defined as an infection acquired more than 24 hours prior to diagnosis or unknown duration.</w:t>
      </w:r>
      <w:r>
        <w:t xml:space="preserve"> </w:t>
      </w:r>
      <w:r w:rsidRPr="00D95940">
        <w:t>Unspecified hepatitis B is generally considered a chronic infection.</w:t>
      </w:r>
    </w:p>
  </w:footnote>
  <w:footnote w:id="102">
    <w:p w14:paraId="06C5DD06" w14:textId="575BFAB4" w:rsidR="00110FC6" w:rsidRPr="00D95940" w:rsidRDefault="00110FC6" w:rsidP="000C78CC">
      <w:pPr>
        <w:pStyle w:val="FootnoteText"/>
      </w:pPr>
      <w:r w:rsidRPr="00D95940">
        <w:rPr>
          <w:rStyle w:val="FootnoteReference"/>
        </w:rPr>
        <w:footnoteRef/>
      </w:r>
      <w:r w:rsidRPr="00D95940">
        <w:t xml:space="preserve"> Public Health Event Surveillance System (PHESS), </w:t>
      </w:r>
      <w:r>
        <w:t>Department of Health and Human Services</w:t>
      </w:r>
      <w:r w:rsidRPr="00D95940">
        <w:t>.</w:t>
      </w:r>
    </w:p>
  </w:footnote>
  <w:footnote w:id="103">
    <w:p w14:paraId="6FBCF430" w14:textId="65E24307" w:rsidR="00110FC6" w:rsidRPr="00D95940" w:rsidRDefault="00110FC6" w:rsidP="000C78CC">
      <w:pPr>
        <w:autoSpaceDE w:val="0"/>
        <w:autoSpaceDN w:val="0"/>
        <w:adjustRightInd w:val="0"/>
        <w:rPr>
          <w:rFonts w:ascii="Arial" w:hAnsi="Arial" w:cs="Arial"/>
          <w:sz w:val="16"/>
          <w:szCs w:val="16"/>
        </w:rPr>
      </w:pPr>
      <w:r w:rsidRPr="00D95940">
        <w:rPr>
          <w:rStyle w:val="FootnoteReference"/>
          <w:rFonts w:eastAsia="MS Mincho" w:cs="Arial"/>
          <w:sz w:val="16"/>
          <w:szCs w:val="16"/>
        </w:rPr>
        <w:footnoteRef/>
      </w:r>
      <w:r w:rsidRPr="00D95940">
        <w:rPr>
          <w:rFonts w:ascii="Arial" w:hAnsi="Arial" w:cs="Arial"/>
          <w:sz w:val="16"/>
          <w:szCs w:val="16"/>
        </w:rPr>
        <w:t xml:space="preserve"> This target is also a goal of the </w:t>
      </w:r>
      <w:r w:rsidRPr="00D95940">
        <w:rPr>
          <w:rFonts w:ascii="Arial" w:hAnsi="Arial" w:cs="Arial"/>
          <w:i/>
          <w:sz w:val="16"/>
          <w:szCs w:val="16"/>
        </w:rPr>
        <w:t>WHO global health sector strategy on viral hepatitis 2016</w:t>
      </w:r>
      <w:r>
        <w:rPr>
          <w:rFonts w:ascii="Arial" w:hAnsi="Arial" w:cs="Arial"/>
          <w:i/>
          <w:sz w:val="16"/>
          <w:szCs w:val="16"/>
        </w:rPr>
        <w:t>–</w:t>
      </w:r>
      <w:r w:rsidRPr="00D95940">
        <w:rPr>
          <w:rFonts w:ascii="Arial" w:hAnsi="Arial" w:cs="Arial"/>
          <w:i/>
          <w:sz w:val="16"/>
          <w:szCs w:val="16"/>
        </w:rPr>
        <w:t>2021</w:t>
      </w:r>
      <w:r>
        <w:rPr>
          <w:rFonts w:ascii="Arial" w:hAnsi="Arial" w:cs="Arial"/>
          <w:sz w:val="16"/>
          <w:szCs w:val="16"/>
        </w:rPr>
        <w:t xml:space="preserve"> (2016). </w:t>
      </w:r>
      <w:r w:rsidRPr="00D95940">
        <w:rPr>
          <w:rFonts w:ascii="Arial" w:hAnsi="Arial" w:cs="Arial"/>
          <w:sz w:val="16"/>
          <w:szCs w:val="16"/>
        </w:rPr>
        <w:t>WHO has defined the elimination of viral hepatitis as a public health threat as achieving a 90</w:t>
      </w:r>
      <w:r>
        <w:rPr>
          <w:rFonts w:ascii="Arial" w:hAnsi="Arial" w:cs="Arial"/>
          <w:sz w:val="16"/>
          <w:szCs w:val="16"/>
        </w:rPr>
        <w:t xml:space="preserve"> per cent</w:t>
      </w:r>
      <w:r w:rsidRPr="00D95940">
        <w:rPr>
          <w:rFonts w:ascii="Arial" w:hAnsi="Arial" w:cs="Arial"/>
          <w:sz w:val="16"/>
          <w:szCs w:val="16"/>
        </w:rPr>
        <w:t xml:space="preserve"> reduction in new chronic infections and a 65</w:t>
      </w:r>
      <w:r>
        <w:rPr>
          <w:rFonts w:ascii="Arial" w:hAnsi="Arial" w:cs="Arial"/>
          <w:sz w:val="16"/>
          <w:szCs w:val="16"/>
        </w:rPr>
        <w:t xml:space="preserve"> per cent</w:t>
      </w:r>
      <w:r w:rsidRPr="00D95940">
        <w:rPr>
          <w:rFonts w:ascii="Arial" w:hAnsi="Arial" w:cs="Arial"/>
          <w:sz w:val="16"/>
          <w:szCs w:val="16"/>
        </w:rPr>
        <w:t xml:space="preserve"> reduction in mortality.</w:t>
      </w:r>
    </w:p>
  </w:footnote>
  <w:footnote w:id="104">
    <w:p w14:paraId="3EF0BA71" w14:textId="5811B2BA" w:rsidR="00110FC6" w:rsidRPr="00D95940" w:rsidRDefault="00110FC6" w:rsidP="000C78CC">
      <w:pPr>
        <w:pStyle w:val="FootnoteText"/>
      </w:pPr>
      <w:r>
        <w:rPr>
          <w:rStyle w:val="FootnoteReference"/>
        </w:rPr>
        <w:footnoteRef/>
      </w:r>
      <w:r>
        <w:t xml:space="preserve"> </w:t>
      </w:r>
      <w:r w:rsidRPr="00D95940">
        <w:t>Department of Health and Human Services 201</w:t>
      </w:r>
      <w:r w:rsidRPr="00676EB9">
        <w:t xml:space="preserve">6. </w:t>
      </w:r>
      <w:r w:rsidRPr="001611A9">
        <w:t>Victorian hepatitis B strategy 2016–2020</w:t>
      </w:r>
      <w:r w:rsidRPr="00676EB9">
        <w:t xml:space="preserve">. </w:t>
      </w:r>
      <w:r>
        <w:t>State Government of Victoria, Melbourne.</w:t>
      </w:r>
    </w:p>
  </w:footnote>
  <w:footnote w:id="105">
    <w:p w14:paraId="342D5532" w14:textId="6BEAB89F" w:rsidR="00110FC6" w:rsidRDefault="00110FC6" w:rsidP="000C78CC">
      <w:pPr>
        <w:pStyle w:val="FootnoteText"/>
      </w:pPr>
      <w:r>
        <w:rPr>
          <w:rStyle w:val="FootnoteReference"/>
        </w:rPr>
        <w:footnoteRef/>
      </w:r>
      <w:r>
        <w:t xml:space="preserve"> Hepatitis C is classified into two categories: newly acquired and unspecified. For the purposes of this report unspecified hepatitis C is defined as an infection acquired more than 24 months prior to diagnosis or unspecified period of time. Unspecified hepatitis C is generally considered a chronic infection.</w:t>
      </w:r>
    </w:p>
  </w:footnote>
  <w:footnote w:id="106">
    <w:p w14:paraId="4A2A3854" w14:textId="5203E752" w:rsidR="00110FC6" w:rsidRDefault="00110FC6" w:rsidP="000C78CC">
      <w:pPr>
        <w:pStyle w:val="FootnoteText"/>
      </w:pPr>
      <w:r>
        <w:rPr>
          <w:rStyle w:val="FootnoteReference"/>
        </w:rPr>
        <w:footnoteRef/>
      </w:r>
      <w:r>
        <w:t xml:space="preserve"> </w:t>
      </w:r>
      <w:r w:rsidRPr="0048730A">
        <w:t xml:space="preserve">Public Health Event Surveillance System (PHESS), </w:t>
      </w:r>
      <w:r>
        <w:t>Department of Health and Human Services.</w:t>
      </w:r>
    </w:p>
  </w:footnote>
  <w:footnote w:id="107">
    <w:p w14:paraId="189BBB19" w14:textId="7601A1B2" w:rsidR="00110FC6" w:rsidRPr="00FF2BD2" w:rsidRDefault="00110FC6" w:rsidP="007616B1">
      <w:pPr>
        <w:autoSpaceDE w:val="0"/>
        <w:autoSpaceDN w:val="0"/>
        <w:adjustRightInd w:val="0"/>
        <w:rPr>
          <w:rFonts w:ascii="Arial" w:eastAsia="ArialMTPro-Light" w:hAnsi="Arial" w:cs="Arial"/>
          <w:sz w:val="16"/>
          <w:szCs w:val="16"/>
        </w:rPr>
      </w:pPr>
      <w:r w:rsidRPr="00FF2BD2">
        <w:rPr>
          <w:rStyle w:val="FootnoteReference"/>
          <w:rFonts w:eastAsia="MS Mincho" w:cs="Arial"/>
          <w:sz w:val="16"/>
          <w:szCs w:val="16"/>
        </w:rPr>
        <w:footnoteRef/>
      </w:r>
      <w:r w:rsidRPr="00FF2BD2">
        <w:rPr>
          <w:rFonts w:ascii="Arial" w:hAnsi="Arial" w:cs="Arial"/>
          <w:sz w:val="16"/>
          <w:szCs w:val="16"/>
        </w:rPr>
        <w:t xml:space="preserve"> </w:t>
      </w:r>
      <w:r w:rsidRPr="00FF2BD2">
        <w:rPr>
          <w:rFonts w:ascii="Arial" w:eastAsia="ArialMTPro-Light" w:hAnsi="Arial" w:cs="Arial"/>
          <w:sz w:val="16"/>
          <w:szCs w:val="16"/>
        </w:rPr>
        <w:t>Iversen J, Maher L</w:t>
      </w:r>
      <w:r>
        <w:rPr>
          <w:rFonts w:ascii="Arial" w:eastAsia="ArialMTPro-Light" w:hAnsi="Arial" w:cs="Arial"/>
          <w:sz w:val="16"/>
          <w:szCs w:val="16"/>
        </w:rPr>
        <w:t xml:space="preserve"> 2015</w:t>
      </w:r>
      <w:r w:rsidRPr="00FF2BD2">
        <w:rPr>
          <w:rFonts w:ascii="Arial" w:eastAsia="ArialMTPro-Light" w:hAnsi="Arial" w:cs="Arial"/>
          <w:sz w:val="16"/>
          <w:szCs w:val="16"/>
        </w:rPr>
        <w:t>. Australian NSP survey: prevalence of HIV, HCV and injecting and sexual behaviour among needle</w:t>
      </w:r>
      <w:r>
        <w:rPr>
          <w:rFonts w:ascii="Arial" w:eastAsia="ArialMTPro-Light" w:hAnsi="Arial" w:cs="Arial"/>
          <w:sz w:val="16"/>
          <w:szCs w:val="16"/>
        </w:rPr>
        <w:t xml:space="preserve"> </w:t>
      </w:r>
      <w:r w:rsidRPr="00FF2BD2">
        <w:rPr>
          <w:rFonts w:ascii="Arial" w:eastAsia="ArialMTPro-Light" w:hAnsi="Arial" w:cs="Arial"/>
          <w:sz w:val="16"/>
          <w:szCs w:val="16"/>
        </w:rPr>
        <w:t>and syringe program attendees: 20</w:t>
      </w:r>
      <w:r>
        <w:rPr>
          <w:rFonts w:ascii="Arial" w:eastAsia="ArialMTPro-Light" w:hAnsi="Arial" w:cs="Arial"/>
          <w:sz w:val="16"/>
          <w:szCs w:val="16"/>
        </w:rPr>
        <w:t>-</w:t>
      </w:r>
      <w:r w:rsidRPr="00FF2BD2">
        <w:rPr>
          <w:rFonts w:ascii="Arial" w:eastAsia="ArialMTPro-Light" w:hAnsi="Arial" w:cs="Arial"/>
          <w:sz w:val="16"/>
          <w:szCs w:val="16"/>
        </w:rPr>
        <w:t>year national data report 1995</w:t>
      </w:r>
      <w:r>
        <w:rPr>
          <w:rFonts w:ascii="Arial" w:eastAsia="ArialMTPro-Light" w:hAnsi="Arial" w:cs="Arial"/>
          <w:sz w:val="16"/>
          <w:szCs w:val="16"/>
        </w:rPr>
        <w:t>–</w:t>
      </w:r>
      <w:r w:rsidRPr="00FF2BD2">
        <w:rPr>
          <w:rFonts w:ascii="Arial" w:eastAsia="ArialMTPro-Light" w:hAnsi="Arial" w:cs="Arial"/>
          <w:sz w:val="16"/>
          <w:szCs w:val="16"/>
        </w:rPr>
        <w:t>2014. Kirby Institute, UNSW</w:t>
      </w:r>
      <w:r>
        <w:rPr>
          <w:rFonts w:ascii="Arial" w:eastAsia="ArialMTPro-Light" w:hAnsi="Arial" w:cs="Arial"/>
          <w:sz w:val="16"/>
          <w:szCs w:val="16"/>
        </w:rPr>
        <w:t xml:space="preserve">, </w:t>
      </w:r>
      <w:r w:rsidRPr="00FF2BD2">
        <w:rPr>
          <w:rFonts w:ascii="Arial" w:eastAsia="ArialMTPro-Light" w:hAnsi="Arial" w:cs="Arial"/>
          <w:sz w:val="16"/>
          <w:szCs w:val="16"/>
        </w:rPr>
        <w:t>Sydney.</w:t>
      </w:r>
    </w:p>
  </w:footnote>
  <w:footnote w:id="108">
    <w:p w14:paraId="695652A4" w14:textId="557DA465" w:rsidR="00110FC6" w:rsidRPr="00D95940" w:rsidRDefault="00110FC6" w:rsidP="000C78CC">
      <w:pPr>
        <w:autoSpaceDE w:val="0"/>
        <w:autoSpaceDN w:val="0"/>
        <w:adjustRightInd w:val="0"/>
        <w:rPr>
          <w:rFonts w:ascii="Arial" w:hAnsi="Arial" w:cs="Arial"/>
          <w:sz w:val="16"/>
          <w:szCs w:val="16"/>
        </w:rPr>
      </w:pPr>
      <w:r w:rsidRPr="00D95940">
        <w:rPr>
          <w:rStyle w:val="FootnoteReference"/>
          <w:rFonts w:eastAsia="MS Mincho" w:cs="Arial"/>
          <w:sz w:val="16"/>
          <w:szCs w:val="16"/>
        </w:rPr>
        <w:footnoteRef/>
      </w:r>
      <w:r w:rsidRPr="00D95940">
        <w:rPr>
          <w:rFonts w:ascii="Arial" w:hAnsi="Arial" w:cs="Arial"/>
          <w:sz w:val="16"/>
          <w:szCs w:val="16"/>
        </w:rPr>
        <w:t xml:space="preserve"> This target is also a goal of the </w:t>
      </w:r>
      <w:r w:rsidRPr="00D95940">
        <w:rPr>
          <w:rFonts w:ascii="Arial" w:hAnsi="Arial" w:cs="Arial"/>
          <w:i/>
          <w:sz w:val="16"/>
          <w:szCs w:val="16"/>
        </w:rPr>
        <w:t xml:space="preserve">WHO </w:t>
      </w:r>
      <w:r>
        <w:rPr>
          <w:rFonts w:ascii="Arial" w:hAnsi="Arial" w:cs="Arial"/>
          <w:i/>
          <w:sz w:val="16"/>
          <w:szCs w:val="16"/>
        </w:rPr>
        <w:t>g</w:t>
      </w:r>
      <w:r w:rsidRPr="00D95940">
        <w:rPr>
          <w:rFonts w:ascii="Arial" w:hAnsi="Arial" w:cs="Arial"/>
          <w:i/>
          <w:sz w:val="16"/>
          <w:szCs w:val="16"/>
        </w:rPr>
        <w:t xml:space="preserve">lobal </w:t>
      </w:r>
      <w:r>
        <w:rPr>
          <w:rFonts w:ascii="Arial" w:hAnsi="Arial" w:cs="Arial"/>
          <w:i/>
          <w:sz w:val="16"/>
          <w:szCs w:val="16"/>
        </w:rPr>
        <w:t>h</w:t>
      </w:r>
      <w:r w:rsidRPr="00D95940">
        <w:rPr>
          <w:rFonts w:ascii="Arial" w:hAnsi="Arial" w:cs="Arial"/>
          <w:i/>
          <w:sz w:val="16"/>
          <w:szCs w:val="16"/>
        </w:rPr>
        <w:t xml:space="preserve">ealth </w:t>
      </w:r>
      <w:r>
        <w:rPr>
          <w:rFonts w:ascii="Arial" w:hAnsi="Arial" w:cs="Arial"/>
          <w:i/>
          <w:sz w:val="16"/>
          <w:szCs w:val="16"/>
        </w:rPr>
        <w:t>s</w:t>
      </w:r>
      <w:r w:rsidRPr="00D95940">
        <w:rPr>
          <w:rFonts w:ascii="Arial" w:hAnsi="Arial" w:cs="Arial"/>
          <w:i/>
          <w:sz w:val="16"/>
          <w:szCs w:val="16"/>
        </w:rPr>
        <w:t xml:space="preserve">ector </w:t>
      </w:r>
      <w:r>
        <w:rPr>
          <w:rFonts w:ascii="Arial" w:hAnsi="Arial" w:cs="Arial"/>
          <w:i/>
          <w:sz w:val="16"/>
          <w:szCs w:val="16"/>
        </w:rPr>
        <w:t>s</w:t>
      </w:r>
      <w:r w:rsidRPr="00D95940">
        <w:rPr>
          <w:rFonts w:ascii="Arial" w:hAnsi="Arial" w:cs="Arial"/>
          <w:i/>
          <w:sz w:val="16"/>
          <w:szCs w:val="16"/>
        </w:rPr>
        <w:t xml:space="preserve">trategy on </w:t>
      </w:r>
      <w:r>
        <w:rPr>
          <w:rFonts w:ascii="Arial" w:hAnsi="Arial" w:cs="Arial"/>
          <w:i/>
          <w:sz w:val="16"/>
          <w:szCs w:val="16"/>
        </w:rPr>
        <w:t>v</w:t>
      </w:r>
      <w:r w:rsidRPr="00D95940">
        <w:rPr>
          <w:rFonts w:ascii="Arial" w:hAnsi="Arial" w:cs="Arial"/>
          <w:i/>
          <w:sz w:val="16"/>
          <w:szCs w:val="16"/>
        </w:rPr>
        <w:t xml:space="preserve">iral </w:t>
      </w:r>
      <w:r>
        <w:rPr>
          <w:rFonts w:ascii="Arial" w:hAnsi="Arial" w:cs="Arial"/>
          <w:i/>
          <w:sz w:val="16"/>
          <w:szCs w:val="16"/>
        </w:rPr>
        <w:t>h</w:t>
      </w:r>
      <w:r w:rsidRPr="00D95940">
        <w:rPr>
          <w:rFonts w:ascii="Arial" w:hAnsi="Arial" w:cs="Arial"/>
          <w:i/>
          <w:sz w:val="16"/>
          <w:szCs w:val="16"/>
        </w:rPr>
        <w:t>epatitis 2016</w:t>
      </w:r>
      <w:r>
        <w:rPr>
          <w:rFonts w:ascii="Arial" w:hAnsi="Arial" w:cs="Arial"/>
          <w:i/>
          <w:sz w:val="16"/>
          <w:szCs w:val="16"/>
        </w:rPr>
        <w:t>–</w:t>
      </w:r>
      <w:r w:rsidRPr="00D95940">
        <w:rPr>
          <w:rFonts w:ascii="Arial" w:hAnsi="Arial" w:cs="Arial"/>
          <w:i/>
          <w:sz w:val="16"/>
          <w:szCs w:val="16"/>
        </w:rPr>
        <w:t>2021</w:t>
      </w:r>
      <w:r>
        <w:rPr>
          <w:rFonts w:ascii="Arial" w:hAnsi="Arial" w:cs="Arial"/>
          <w:sz w:val="16"/>
          <w:szCs w:val="16"/>
        </w:rPr>
        <w:t xml:space="preserve"> (2016). </w:t>
      </w:r>
      <w:r w:rsidRPr="00D95940">
        <w:rPr>
          <w:rFonts w:ascii="Arial" w:hAnsi="Arial" w:cs="Arial"/>
          <w:sz w:val="16"/>
          <w:szCs w:val="16"/>
        </w:rPr>
        <w:t>WHO has defined the elimination of viral hepatitis as a public health threat as achieving a 90</w:t>
      </w:r>
      <w:r>
        <w:rPr>
          <w:rFonts w:ascii="Arial" w:hAnsi="Arial" w:cs="Arial"/>
          <w:sz w:val="16"/>
          <w:szCs w:val="16"/>
        </w:rPr>
        <w:t xml:space="preserve"> per cent</w:t>
      </w:r>
      <w:r w:rsidRPr="00D95940">
        <w:rPr>
          <w:rFonts w:ascii="Arial" w:hAnsi="Arial" w:cs="Arial"/>
          <w:sz w:val="16"/>
          <w:szCs w:val="16"/>
        </w:rPr>
        <w:t xml:space="preserve"> reduction in new chronic infections and a 65</w:t>
      </w:r>
      <w:r>
        <w:rPr>
          <w:rFonts w:ascii="Arial" w:hAnsi="Arial" w:cs="Arial"/>
          <w:sz w:val="16"/>
          <w:szCs w:val="16"/>
        </w:rPr>
        <w:t xml:space="preserve"> per cent</w:t>
      </w:r>
      <w:r w:rsidRPr="00D95940">
        <w:rPr>
          <w:rFonts w:ascii="Arial" w:hAnsi="Arial" w:cs="Arial"/>
          <w:sz w:val="16"/>
          <w:szCs w:val="16"/>
        </w:rPr>
        <w:t xml:space="preserve"> reduction in mortality.</w:t>
      </w:r>
    </w:p>
  </w:footnote>
  <w:footnote w:id="109">
    <w:p w14:paraId="07FBA215" w14:textId="3699D2EA" w:rsidR="00110FC6" w:rsidRDefault="00110FC6">
      <w:pPr>
        <w:pStyle w:val="FootnoteText"/>
      </w:pPr>
      <w:r>
        <w:rPr>
          <w:rStyle w:val="FootnoteReference"/>
        </w:rPr>
        <w:footnoteRef/>
      </w:r>
      <w:r>
        <w:t xml:space="preserve"> </w:t>
      </w:r>
      <w:r>
        <w:rPr>
          <w:color w:val="222222"/>
        </w:rPr>
        <w:t>Maucort</w:t>
      </w:r>
      <w:r>
        <w:rPr>
          <w:rFonts w:ascii="Cambria Math" w:hAnsi="Cambria Math" w:cs="Cambria Math"/>
          <w:color w:val="222222"/>
        </w:rPr>
        <w:t>‐</w:t>
      </w:r>
      <w:r>
        <w:rPr>
          <w:color w:val="222222"/>
        </w:rPr>
        <w:t>Boulch D, de Martel C, Franceschi S, et al. 2018. Fraction and incidence of liver cancer attributable to hepatitis B and C viruses worldwide. International Journal of Cancer. Jun 15;142(12):2471-7.</w:t>
      </w:r>
    </w:p>
  </w:footnote>
  <w:footnote w:id="110">
    <w:p w14:paraId="0E454DC3" w14:textId="68CA5E8A" w:rsidR="00110FC6" w:rsidRPr="00461BE4" w:rsidRDefault="00110FC6">
      <w:pPr>
        <w:pStyle w:val="FootnoteText"/>
      </w:pPr>
      <w:r w:rsidRPr="00461BE4">
        <w:rPr>
          <w:rStyle w:val="FootnoteReference"/>
        </w:rPr>
        <w:footnoteRef/>
      </w:r>
      <w:r w:rsidRPr="00461BE4">
        <w:t xml:space="preserve"> </w:t>
      </w:r>
      <w:r w:rsidRPr="00461BE4">
        <w:rPr>
          <w:rStyle w:val="A2"/>
          <w:sz w:val="16"/>
          <w:szCs w:val="16"/>
        </w:rPr>
        <w:t>Thursfield V, Farrugia H</w:t>
      </w:r>
      <w:r>
        <w:rPr>
          <w:rStyle w:val="A2"/>
          <w:sz w:val="16"/>
          <w:szCs w:val="16"/>
        </w:rPr>
        <w:t xml:space="preserve"> 2018</w:t>
      </w:r>
      <w:r w:rsidRPr="00461BE4">
        <w:rPr>
          <w:rStyle w:val="A2"/>
          <w:sz w:val="16"/>
          <w:szCs w:val="16"/>
        </w:rPr>
        <w:t xml:space="preserve">. Cancer in Victoria: Statistics &amp; </w:t>
      </w:r>
      <w:r>
        <w:rPr>
          <w:rStyle w:val="A2"/>
          <w:sz w:val="16"/>
          <w:szCs w:val="16"/>
        </w:rPr>
        <w:t>t</w:t>
      </w:r>
      <w:r w:rsidRPr="00461BE4">
        <w:rPr>
          <w:rStyle w:val="A2"/>
          <w:sz w:val="16"/>
          <w:szCs w:val="16"/>
        </w:rPr>
        <w:t>rends 2017. Cancer Council Victoria, Melbourne</w:t>
      </w:r>
      <w:r>
        <w:rPr>
          <w:rStyle w:val="A2"/>
          <w:sz w:val="16"/>
          <w:szCs w:val="16"/>
        </w:rPr>
        <w:t>.</w:t>
      </w:r>
    </w:p>
  </w:footnote>
  <w:footnote w:id="111">
    <w:p w14:paraId="0B9BBDB0" w14:textId="0C07242D" w:rsidR="00110FC6" w:rsidRDefault="00110FC6">
      <w:pPr>
        <w:pStyle w:val="FootnoteText"/>
      </w:pPr>
      <w:r>
        <w:rPr>
          <w:rStyle w:val="FootnoteReference"/>
        </w:rPr>
        <w:footnoteRef/>
      </w:r>
      <w:r>
        <w:t xml:space="preserve"> </w:t>
      </w:r>
      <w:r w:rsidRPr="00CF2150">
        <w:rPr>
          <w:lang w:val="en"/>
        </w:rPr>
        <w:t xml:space="preserve">Hepatitis </w:t>
      </w:r>
      <w:r>
        <w:rPr>
          <w:lang w:val="en"/>
        </w:rPr>
        <w:t>B</w:t>
      </w:r>
      <w:r w:rsidRPr="00CF2150">
        <w:rPr>
          <w:lang w:val="en"/>
        </w:rPr>
        <w:t xml:space="preserve"> virus diagnos</w:t>
      </w:r>
      <w:r>
        <w:rPr>
          <w:lang w:val="en"/>
        </w:rPr>
        <w:t>is</w:t>
      </w:r>
      <w:r w:rsidRPr="00CF2150">
        <w:rPr>
          <w:lang w:val="en"/>
        </w:rPr>
        <w:t xml:space="preserve"> relative to the detection of decompensated cirrhosis and hepatocellular carcinoma </w:t>
      </w:r>
      <w:r>
        <w:rPr>
          <w:lang w:val="en"/>
        </w:rPr>
        <w:t>is</w:t>
      </w:r>
      <w:r w:rsidRPr="00CF2150">
        <w:rPr>
          <w:lang w:val="en"/>
        </w:rPr>
        <w:t xml:space="preserve"> an indicator of late hepatitis diagnosis.</w:t>
      </w:r>
    </w:p>
  </w:footnote>
  <w:footnote w:id="112">
    <w:p w14:paraId="0824E253" w14:textId="40BAE4A3" w:rsidR="00110FC6" w:rsidRDefault="00110FC6">
      <w:pPr>
        <w:pStyle w:val="FootnoteText"/>
      </w:pPr>
      <w:r>
        <w:rPr>
          <w:rStyle w:val="FootnoteReference"/>
        </w:rPr>
        <w:footnoteRef/>
      </w:r>
      <w:r>
        <w:t xml:space="preserve"> </w:t>
      </w:r>
      <w:r>
        <w:rPr>
          <w:color w:val="222222"/>
        </w:rPr>
        <w:t>Samji H, Yu A, Kuo M, et al. 2017. Late hepatitis B and C diagnosis in relation to disease decompensation and hepatocellular carcinoma development. Journal of Hepatology. 1;67(5):909-17.</w:t>
      </w:r>
    </w:p>
  </w:footnote>
  <w:footnote w:id="113">
    <w:p w14:paraId="047B6F45" w14:textId="14F4B255" w:rsidR="00110FC6" w:rsidRDefault="00110FC6">
      <w:pPr>
        <w:pStyle w:val="FootnoteText"/>
      </w:pPr>
      <w:r>
        <w:rPr>
          <w:rStyle w:val="FootnoteReference"/>
        </w:rPr>
        <w:footnoteRef/>
      </w:r>
      <w:r>
        <w:t xml:space="preserve"> </w:t>
      </w:r>
      <w:r>
        <w:rPr>
          <w:color w:val="222222"/>
        </w:rPr>
        <w:t>Maucort</w:t>
      </w:r>
      <w:r>
        <w:rPr>
          <w:rFonts w:ascii="Cambria Math" w:hAnsi="Cambria Math" w:cs="Cambria Math"/>
          <w:color w:val="222222"/>
        </w:rPr>
        <w:t>‐</w:t>
      </w:r>
      <w:r>
        <w:rPr>
          <w:color w:val="222222"/>
        </w:rPr>
        <w:t>Boulch D, de Martel C, Franceschi S, et al. 2018. Fraction and incidence of liver cancer attributable to hepatitis B and C viruses worldwide. International Journal of Cancer. Jun 15;142(12):2471-7.</w:t>
      </w:r>
    </w:p>
  </w:footnote>
  <w:footnote w:id="114">
    <w:p w14:paraId="23ED7615" w14:textId="33139EEF" w:rsidR="00110FC6" w:rsidRPr="00461BE4" w:rsidRDefault="00110FC6" w:rsidP="00365DBF">
      <w:pPr>
        <w:pStyle w:val="FootnoteText"/>
      </w:pPr>
      <w:r w:rsidRPr="00461BE4">
        <w:rPr>
          <w:rStyle w:val="FootnoteReference"/>
        </w:rPr>
        <w:footnoteRef/>
      </w:r>
      <w:r w:rsidRPr="00461BE4">
        <w:t xml:space="preserve"> </w:t>
      </w:r>
      <w:r w:rsidRPr="00461BE4">
        <w:rPr>
          <w:rStyle w:val="A2"/>
          <w:sz w:val="16"/>
          <w:szCs w:val="16"/>
        </w:rPr>
        <w:t>Thursfield V, Farrugia H</w:t>
      </w:r>
      <w:r>
        <w:rPr>
          <w:rStyle w:val="A2"/>
          <w:sz w:val="16"/>
          <w:szCs w:val="16"/>
        </w:rPr>
        <w:t xml:space="preserve"> 2018</w:t>
      </w:r>
      <w:r w:rsidRPr="00461BE4">
        <w:rPr>
          <w:rStyle w:val="A2"/>
          <w:sz w:val="16"/>
          <w:szCs w:val="16"/>
        </w:rPr>
        <w:t xml:space="preserve">. Cancer in Victoria: </w:t>
      </w:r>
      <w:r>
        <w:rPr>
          <w:rStyle w:val="A2"/>
          <w:sz w:val="16"/>
          <w:szCs w:val="16"/>
        </w:rPr>
        <w:t>s</w:t>
      </w:r>
      <w:r w:rsidRPr="00461BE4">
        <w:rPr>
          <w:rStyle w:val="A2"/>
          <w:sz w:val="16"/>
          <w:szCs w:val="16"/>
        </w:rPr>
        <w:t xml:space="preserve">tatistics &amp; </w:t>
      </w:r>
      <w:r>
        <w:rPr>
          <w:rStyle w:val="A2"/>
          <w:sz w:val="16"/>
          <w:szCs w:val="16"/>
        </w:rPr>
        <w:t>t</w:t>
      </w:r>
      <w:r w:rsidRPr="00461BE4">
        <w:rPr>
          <w:rStyle w:val="A2"/>
          <w:sz w:val="16"/>
          <w:szCs w:val="16"/>
        </w:rPr>
        <w:t>rends 2017. Cancer Council Victoria, Melbourne</w:t>
      </w:r>
      <w:r>
        <w:rPr>
          <w:rStyle w:val="A2"/>
          <w:sz w:val="16"/>
          <w:szCs w:val="16"/>
        </w:rPr>
        <w:t>.</w:t>
      </w:r>
    </w:p>
  </w:footnote>
  <w:footnote w:id="115">
    <w:p w14:paraId="10CDBB7C" w14:textId="12C509D9" w:rsidR="00110FC6" w:rsidRDefault="00110FC6">
      <w:pPr>
        <w:pStyle w:val="FootnoteText"/>
      </w:pPr>
      <w:r>
        <w:rPr>
          <w:rStyle w:val="FootnoteReference"/>
        </w:rPr>
        <w:footnoteRef/>
      </w:r>
      <w:r>
        <w:t xml:space="preserve"> Department of Health and Human Services 2016</w:t>
      </w:r>
      <w:r w:rsidRPr="00104832">
        <w:rPr>
          <w:i/>
        </w:rPr>
        <w:t xml:space="preserve">. </w:t>
      </w:r>
      <w:r w:rsidRPr="00135A8F">
        <w:rPr>
          <w:iCs/>
        </w:rPr>
        <w:t>Victorian hepatitis C strategy 2016–2020</w:t>
      </w:r>
      <w:r>
        <w:t xml:space="preserve">. State Government of Victoria, Melbourne. </w:t>
      </w:r>
    </w:p>
  </w:footnote>
  <w:footnote w:id="116">
    <w:p w14:paraId="5D8312DC" w14:textId="2EB8E9A6" w:rsidR="00110FC6" w:rsidRDefault="00110FC6">
      <w:pPr>
        <w:pStyle w:val="FootnoteText"/>
      </w:pPr>
      <w:r>
        <w:rPr>
          <w:rStyle w:val="FootnoteReference"/>
        </w:rPr>
        <w:footnoteRef/>
      </w:r>
      <w:r>
        <w:t xml:space="preserve"> </w:t>
      </w:r>
      <w:r w:rsidRPr="00CF2150">
        <w:rPr>
          <w:lang w:val="en"/>
        </w:rPr>
        <w:t>Hepatitis C virus diagnos</w:t>
      </w:r>
      <w:r>
        <w:rPr>
          <w:lang w:val="en"/>
        </w:rPr>
        <w:t>is</w:t>
      </w:r>
      <w:r w:rsidRPr="00CF2150">
        <w:rPr>
          <w:lang w:val="en"/>
        </w:rPr>
        <w:t xml:space="preserve"> relative to the detection of decompensated cirrhosis and hepatocellular carcinoma </w:t>
      </w:r>
      <w:r>
        <w:rPr>
          <w:lang w:val="en"/>
        </w:rPr>
        <w:t>is</w:t>
      </w:r>
      <w:r w:rsidRPr="00CF2150">
        <w:rPr>
          <w:lang w:val="en"/>
        </w:rPr>
        <w:t xml:space="preserve"> an indicator of late hepatitis diagnosis.</w:t>
      </w:r>
    </w:p>
  </w:footnote>
  <w:footnote w:id="117">
    <w:p w14:paraId="1174DFCB" w14:textId="4A2C5C7D" w:rsidR="00110FC6" w:rsidRDefault="00110FC6">
      <w:pPr>
        <w:pStyle w:val="FootnoteText"/>
      </w:pPr>
      <w:r>
        <w:rPr>
          <w:rStyle w:val="FootnoteReference"/>
        </w:rPr>
        <w:footnoteRef/>
      </w:r>
      <w:r>
        <w:t xml:space="preserve"> Department of Health and Human Services 2016</w:t>
      </w:r>
      <w:r w:rsidRPr="00104832">
        <w:rPr>
          <w:i/>
        </w:rPr>
        <w:t xml:space="preserve">. </w:t>
      </w:r>
      <w:r w:rsidRPr="00135A8F">
        <w:rPr>
          <w:iCs/>
        </w:rPr>
        <w:t>Victorian hepatitis C strategy 2016–2020</w:t>
      </w:r>
      <w:r w:rsidRPr="00676EB9">
        <w:rPr>
          <w:iCs/>
        </w:rPr>
        <w:t>.</w:t>
      </w:r>
      <w:r>
        <w:t xml:space="preserve"> State Government of Victoria, Melbourne.</w:t>
      </w:r>
    </w:p>
  </w:footnote>
  <w:footnote w:id="118">
    <w:p w14:paraId="54C3031E" w14:textId="3A3A11C6" w:rsidR="00110FC6" w:rsidRDefault="00110FC6">
      <w:pPr>
        <w:pStyle w:val="FootnoteText"/>
      </w:pPr>
      <w:r>
        <w:rPr>
          <w:rStyle w:val="FootnoteReference"/>
        </w:rPr>
        <w:footnoteRef/>
      </w:r>
      <w:r>
        <w:t xml:space="preserve"> </w:t>
      </w:r>
      <w:r w:rsidRPr="00F40C1D">
        <w:t>It is recognised that both males and females can develop breast cancer.</w:t>
      </w:r>
      <w:r>
        <w:t xml:space="preserve"> </w:t>
      </w:r>
      <w:r w:rsidRPr="00F40C1D">
        <w:rPr>
          <w:color w:val="000000"/>
        </w:rPr>
        <w:t>However, the proportion of females who develop breast cancer is much higher than the proportion of males who do so. To present the proportion across the entire population (males and females) would not accurately reflect the burden of breast cancer in females. Hence for this measure, all cases of male breast cancer were excluded.</w:t>
      </w:r>
    </w:p>
  </w:footnote>
  <w:footnote w:id="119">
    <w:p w14:paraId="1491CCF8" w14:textId="0E69D7D8" w:rsidR="00110FC6" w:rsidRDefault="00110FC6" w:rsidP="00170972">
      <w:pPr>
        <w:pStyle w:val="FootnoteText"/>
      </w:pPr>
      <w:r>
        <w:rPr>
          <w:rStyle w:val="FootnoteReference"/>
        </w:rPr>
        <w:footnoteRef/>
      </w:r>
      <w:r>
        <w:t xml:space="preserve"> Australia’s health 2018. Available from: </w:t>
      </w:r>
      <w:r w:rsidRPr="00B02763">
        <w:t>https://www.aihw.gov.au/getmedia/7c42913d-295f-4bc9-9c24-4e44eff4a04a/aihw-aus-221.pdf.aspx?inline=true</w:t>
      </w:r>
    </w:p>
  </w:footnote>
  <w:footnote w:id="120">
    <w:p w14:paraId="05725941" w14:textId="1D0E3B03" w:rsidR="00110FC6" w:rsidRDefault="00110FC6">
      <w:pPr>
        <w:pStyle w:val="FootnoteText"/>
      </w:pPr>
      <w:r>
        <w:rPr>
          <w:rStyle w:val="FootnoteReference"/>
        </w:rPr>
        <w:footnoteRef/>
      </w:r>
      <w:r>
        <w:t xml:space="preserve"> </w:t>
      </w:r>
      <w:r w:rsidRPr="00994BE5">
        <w:rPr>
          <w:rStyle w:val="A2"/>
          <w:sz w:val="16"/>
          <w:szCs w:val="16"/>
        </w:rPr>
        <w:t>Thursfield V, Farrugia H</w:t>
      </w:r>
      <w:r>
        <w:rPr>
          <w:rStyle w:val="A2"/>
          <w:sz w:val="16"/>
          <w:szCs w:val="16"/>
        </w:rPr>
        <w:t xml:space="preserve"> 2018</w:t>
      </w:r>
      <w:r w:rsidRPr="00994BE5">
        <w:rPr>
          <w:rStyle w:val="A2"/>
          <w:sz w:val="16"/>
          <w:szCs w:val="16"/>
        </w:rPr>
        <w:t xml:space="preserve">. Cancer in Victoria: </w:t>
      </w:r>
      <w:r>
        <w:rPr>
          <w:rStyle w:val="A2"/>
          <w:sz w:val="16"/>
          <w:szCs w:val="16"/>
        </w:rPr>
        <w:t>s</w:t>
      </w:r>
      <w:r w:rsidRPr="00994BE5">
        <w:rPr>
          <w:rStyle w:val="A2"/>
          <w:sz w:val="16"/>
          <w:szCs w:val="16"/>
        </w:rPr>
        <w:t xml:space="preserve">tatistics &amp; </w:t>
      </w:r>
      <w:r>
        <w:rPr>
          <w:rStyle w:val="A2"/>
          <w:sz w:val="16"/>
          <w:szCs w:val="16"/>
        </w:rPr>
        <w:t>t</w:t>
      </w:r>
      <w:r w:rsidRPr="00994BE5">
        <w:rPr>
          <w:rStyle w:val="A2"/>
          <w:sz w:val="16"/>
          <w:szCs w:val="16"/>
        </w:rPr>
        <w:t>rends 2017. Cancer Council Victoria, Melbourne.</w:t>
      </w:r>
    </w:p>
  </w:footnote>
  <w:footnote w:id="121">
    <w:p w14:paraId="402A5FEC" w14:textId="1C36D522" w:rsidR="00110FC6" w:rsidRDefault="00110FC6">
      <w:pPr>
        <w:pStyle w:val="FootnoteText"/>
      </w:pPr>
      <w:r>
        <w:rPr>
          <w:rStyle w:val="FootnoteReference"/>
        </w:rPr>
        <w:footnoteRef/>
      </w:r>
      <w:r>
        <w:t xml:space="preserve"> </w:t>
      </w:r>
      <w:r w:rsidRPr="00DA2713">
        <w:rPr>
          <w:rFonts w:cs="Open Sans"/>
          <w:color w:val="000000"/>
        </w:rPr>
        <w:t xml:space="preserve">Youlden DR, Cramb SM, Dunn NAM, </w:t>
      </w:r>
      <w:r>
        <w:rPr>
          <w:rFonts w:cs="Open Sans"/>
          <w:color w:val="000000"/>
        </w:rPr>
        <w:t>et al</w:t>
      </w:r>
      <w:r w:rsidRPr="00DA2713">
        <w:rPr>
          <w:rFonts w:cs="Open Sans"/>
          <w:color w:val="000000"/>
        </w:rPr>
        <w:t xml:space="preserve">. </w:t>
      </w:r>
      <w:r>
        <w:rPr>
          <w:rFonts w:cs="Open Sans"/>
          <w:color w:val="000000"/>
        </w:rPr>
        <w:t xml:space="preserve">2012. </w:t>
      </w:r>
      <w:r w:rsidRPr="00DA2713">
        <w:rPr>
          <w:rFonts w:cs="Open Sans"/>
          <w:color w:val="000000"/>
        </w:rPr>
        <w:t>The descriptive epidemiology of female breast cancer: an international comparison of screening, incidence, survival and mortality. Cancer Epidemiology</w:t>
      </w:r>
      <w:r>
        <w:rPr>
          <w:rFonts w:cs="Open Sans"/>
          <w:color w:val="000000"/>
        </w:rPr>
        <w:t>.</w:t>
      </w:r>
      <w:r w:rsidRPr="00DA2713">
        <w:rPr>
          <w:rFonts w:cs="Open Sans"/>
          <w:color w:val="000000"/>
        </w:rPr>
        <w:t xml:space="preserve"> 36:237</w:t>
      </w:r>
      <w:r>
        <w:rPr>
          <w:rFonts w:cs="Open Sans"/>
          <w:color w:val="000000"/>
        </w:rPr>
        <w:t>-</w:t>
      </w:r>
      <w:r w:rsidRPr="00DA2713">
        <w:rPr>
          <w:rFonts w:cs="Open Sans"/>
          <w:color w:val="000000"/>
        </w:rPr>
        <w:t>48.</w:t>
      </w:r>
    </w:p>
  </w:footnote>
  <w:footnote w:id="122">
    <w:p w14:paraId="3C7B1D09" w14:textId="1A294C45" w:rsidR="00110FC6" w:rsidRPr="001A2A05" w:rsidRDefault="00110FC6" w:rsidP="004D5453">
      <w:pPr>
        <w:pStyle w:val="FootnoteText"/>
        <w:rPr>
          <w:lang w:val="en"/>
        </w:rPr>
      </w:pPr>
      <w:r>
        <w:rPr>
          <w:rStyle w:val="FootnoteReference"/>
        </w:rPr>
        <w:footnoteRef/>
      </w:r>
      <w:r>
        <w:t xml:space="preserve"> </w:t>
      </w:r>
      <w:r w:rsidRPr="0034084F">
        <w:t xml:space="preserve">Women aged 40–49 and 75 </w:t>
      </w:r>
      <w:r>
        <w:t>or older</w:t>
      </w:r>
      <w:r w:rsidRPr="0034084F">
        <w:t xml:space="preserve"> are also eligible to </w:t>
      </w:r>
      <w:r>
        <w:t>participate in the national breast screening program</w:t>
      </w:r>
      <w:r w:rsidRPr="0034084F">
        <w:t xml:space="preserve"> but are not actively targeted.</w:t>
      </w:r>
    </w:p>
  </w:footnote>
  <w:footnote w:id="123">
    <w:p w14:paraId="71CAD5BA" w14:textId="0BD22A69" w:rsidR="00110FC6" w:rsidRPr="00791B1F" w:rsidRDefault="00110FC6" w:rsidP="004D5453">
      <w:pPr>
        <w:pStyle w:val="FootnoteText"/>
      </w:pPr>
      <w:r>
        <w:rPr>
          <w:rStyle w:val="FootnoteReference"/>
        </w:rPr>
        <w:footnoteRef/>
      </w:r>
      <w:r>
        <w:t xml:space="preserve"> </w:t>
      </w:r>
      <w:r w:rsidRPr="00791B1F">
        <w:t>O'Hara J</w:t>
      </w:r>
      <w:r>
        <w:t>,</w:t>
      </w:r>
      <w:r w:rsidRPr="00791B1F">
        <w:t xml:space="preserve"> McPhee,</w:t>
      </w:r>
      <w:r>
        <w:t xml:space="preserve"> </w:t>
      </w:r>
      <w:r w:rsidRPr="00791B1F">
        <w:t>C, Dodson S</w:t>
      </w:r>
      <w:r>
        <w:t xml:space="preserve">, et al. </w:t>
      </w:r>
      <w:r w:rsidRPr="00791B1F">
        <w:t>2018</w:t>
      </w:r>
      <w:r>
        <w:t>.</w:t>
      </w:r>
      <w:r w:rsidRPr="00791B1F">
        <w:t xml:space="preserve"> Barriers to breast cancer</w:t>
      </w:r>
      <w:r>
        <w:t xml:space="preserve"> </w:t>
      </w:r>
      <w:r w:rsidRPr="00791B1F">
        <w:t>screening among diverse cultural groups in Melbourne, Australia</w:t>
      </w:r>
      <w:r w:rsidRPr="00791B1F">
        <w:rPr>
          <w:i/>
          <w:iCs/>
        </w:rPr>
        <w:t xml:space="preserve">, </w:t>
      </w:r>
      <w:r w:rsidRPr="00AC5924">
        <w:rPr>
          <w:iCs/>
        </w:rPr>
        <w:t xml:space="preserve">International </w:t>
      </w:r>
      <w:r>
        <w:rPr>
          <w:iCs/>
        </w:rPr>
        <w:t>J</w:t>
      </w:r>
      <w:r w:rsidRPr="00AC5924">
        <w:rPr>
          <w:iCs/>
        </w:rPr>
        <w:t>ournal of</w:t>
      </w:r>
      <w:r w:rsidRPr="00AC5924">
        <w:t xml:space="preserve"> </w:t>
      </w:r>
      <w:r>
        <w:rPr>
          <w:iCs/>
        </w:rPr>
        <w:t>E</w:t>
      </w:r>
      <w:r w:rsidRPr="00AC5924">
        <w:rPr>
          <w:iCs/>
        </w:rPr>
        <w:t xml:space="preserve">nvironmental </w:t>
      </w:r>
      <w:r>
        <w:rPr>
          <w:iCs/>
        </w:rPr>
        <w:t>R</w:t>
      </w:r>
      <w:r w:rsidRPr="00AC5924">
        <w:rPr>
          <w:iCs/>
        </w:rPr>
        <w:t xml:space="preserve">esearch and </w:t>
      </w:r>
      <w:r>
        <w:rPr>
          <w:iCs/>
        </w:rPr>
        <w:t>P</w:t>
      </w:r>
      <w:r w:rsidRPr="00AC5924">
        <w:rPr>
          <w:iCs/>
        </w:rPr>
        <w:t xml:space="preserve">ublic </w:t>
      </w:r>
      <w:r>
        <w:rPr>
          <w:iCs/>
        </w:rPr>
        <w:t>H</w:t>
      </w:r>
      <w:r w:rsidRPr="00AC5924">
        <w:rPr>
          <w:iCs/>
        </w:rPr>
        <w:t>ealth</w:t>
      </w:r>
      <w:r>
        <w:t>.</w:t>
      </w:r>
      <w:r w:rsidRPr="00791B1F">
        <w:t xml:space="preserve"> 15</w:t>
      </w:r>
      <w:r>
        <w:t xml:space="preserve"> (8):</w:t>
      </w:r>
      <w:r w:rsidRPr="00791B1F">
        <w:t xml:space="preserve"> 1677</w:t>
      </w:r>
      <w:r>
        <w:t xml:space="preserve">: </w:t>
      </w:r>
      <w:r w:rsidRPr="00791B1F">
        <w:t>1-13.</w:t>
      </w:r>
    </w:p>
  </w:footnote>
  <w:footnote w:id="124">
    <w:p w14:paraId="6A369196" w14:textId="56AF946F" w:rsidR="00110FC6" w:rsidRPr="006C3747" w:rsidRDefault="00110FC6" w:rsidP="00ED3649">
      <w:pPr>
        <w:pStyle w:val="DHHSbody"/>
        <w:rPr>
          <w:rStyle w:val="FootnoteTextChar"/>
        </w:rPr>
      </w:pPr>
      <w:r w:rsidRPr="00912BCA">
        <w:rPr>
          <w:rStyle w:val="FootnoteReference"/>
          <w:sz w:val="16"/>
          <w:szCs w:val="16"/>
        </w:rPr>
        <w:footnoteRef/>
      </w:r>
      <w:r>
        <w:t xml:space="preserve"> </w:t>
      </w:r>
      <w:r w:rsidRPr="006C3747">
        <w:rPr>
          <w:rStyle w:val="FootnoteTextChar"/>
        </w:rPr>
        <w:t>Metastasis is a term used to describe the spread of cancer.</w:t>
      </w:r>
    </w:p>
  </w:footnote>
  <w:footnote w:id="125">
    <w:p w14:paraId="643DEB63" w14:textId="22A302DC" w:rsidR="00110FC6" w:rsidRPr="00B842F3" w:rsidRDefault="00110FC6" w:rsidP="00E26AC7">
      <w:pPr>
        <w:pStyle w:val="FootnoteText"/>
      </w:pPr>
      <w:r w:rsidRPr="00B842F3">
        <w:rPr>
          <w:rStyle w:val="FootnoteReference"/>
          <w:b/>
        </w:rPr>
        <w:footnoteRef/>
      </w:r>
      <w:r w:rsidRPr="00B842F3">
        <w:t xml:space="preserve"> Hansen RP, Vedsted P, Sokolowski I, </w:t>
      </w:r>
      <w:r>
        <w:t>et al</w:t>
      </w:r>
      <w:r w:rsidRPr="00B842F3">
        <w:t xml:space="preserve"> </w:t>
      </w:r>
      <w:r>
        <w:t>2011</w:t>
      </w:r>
      <w:r w:rsidRPr="00B842F3">
        <w:t xml:space="preserve">. Time intervals from first symptom to treatment of cancer: a cohort study of 2,212 newly diagnosed cancer patients. BMC </w:t>
      </w:r>
      <w:r>
        <w:t>H</w:t>
      </w:r>
      <w:r w:rsidRPr="00B842F3">
        <w:t xml:space="preserve">ealth </w:t>
      </w:r>
      <w:r>
        <w:t>S</w:t>
      </w:r>
      <w:r w:rsidRPr="00B842F3">
        <w:t xml:space="preserve">ervices </w:t>
      </w:r>
      <w:r>
        <w:t>R</w:t>
      </w:r>
      <w:r w:rsidRPr="00B842F3">
        <w:t>esearch. Dec;11(1):284.</w:t>
      </w:r>
    </w:p>
  </w:footnote>
  <w:footnote w:id="126">
    <w:p w14:paraId="5F28018E" w14:textId="29850EBA" w:rsidR="00110FC6" w:rsidRDefault="00110FC6">
      <w:pPr>
        <w:pStyle w:val="FootnoteText"/>
      </w:pPr>
      <w:r>
        <w:rPr>
          <w:rStyle w:val="FootnoteReference"/>
        </w:rPr>
        <w:footnoteRef/>
      </w:r>
      <w:r>
        <w:t xml:space="preserve"> Optimal care pathways in practice refer to targets measured from the referral date, but the data is unavailable.  Therefore, the diagnosis date as recorded in the VCR is used to report against Measure 12.1. </w:t>
      </w:r>
    </w:p>
  </w:footnote>
  <w:footnote w:id="127">
    <w:p w14:paraId="5F5A4D50" w14:textId="77777777" w:rsidR="00110FC6" w:rsidRDefault="00110FC6" w:rsidP="00E26AC7">
      <w:pPr>
        <w:pStyle w:val="FootnoteText"/>
      </w:pPr>
      <w:r w:rsidRPr="00B842F3">
        <w:rPr>
          <w:rStyle w:val="FootnoteReference"/>
        </w:rPr>
        <w:footnoteRef/>
      </w:r>
      <w:r w:rsidRPr="00B842F3">
        <w:t xml:space="preserve"> There are limitations to reporting against this measure</w:t>
      </w:r>
      <w:r>
        <w:t>,</w:t>
      </w:r>
      <w:r w:rsidRPr="00B842F3">
        <w:t xml:space="preserve"> namely</w:t>
      </w:r>
      <w:r>
        <w:t>:</w:t>
      </w:r>
      <w:r w:rsidRPr="00B842F3">
        <w:t xml:space="preserve"> </w:t>
      </w:r>
    </w:p>
    <w:p w14:paraId="2654D0CD" w14:textId="77777777" w:rsidR="00110FC6" w:rsidRDefault="00110FC6" w:rsidP="00160602">
      <w:pPr>
        <w:pStyle w:val="FootnoteText"/>
        <w:numPr>
          <w:ilvl w:val="0"/>
          <w:numId w:val="60"/>
        </w:numPr>
        <w:rPr>
          <w:rFonts w:eastAsia="Times New Roman"/>
        </w:rPr>
      </w:pPr>
      <w:r>
        <w:t>P</w:t>
      </w:r>
      <w:r w:rsidRPr="00B842F3">
        <w:rPr>
          <w:rFonts w:eastAsia="Times New Roman"/>
        </w:rPr>
        <w:t xml:space="preserve">atients who could not be assigned to a tumour stream may have inaccurate treatment information in these results. These patients were flagged for surgery if they had an operation code that matched any of the surgery codes for any of the tumour streams. Operations unrelated to their diagnosis may have been counted as a treatment for these patients. Also, without specific surgery codes related to their diagnoses, some treatments may have been missed </w:t>
      </w:r>
      <w:r>
        <w:rPr>
          <w:rFonts w:eastAsia="Times New Roman"/>
        </w:rPr>
        <w:t>because</w:t>
      </w:r>
      <w:r w:rsidRPr="00B842F3">
        <w:rPr>
          <w:rFonts w:eastAsia="Times New Roman"/>
        </w:rPr>
        <w:t xml:space="preserve"> the surgery code </w:t>
      </w:r>
      <w:r>
        <w:rPr>
          <w:rFonts w:eastAsia="Times New Roman"/>
        </w:rPr>
        <w:t>wa</w:t>
      </w:r>
      <w:r w:rsidRPr="00B842F3">
        <w:rPr>
          <w:rFonts w:eastAsia="Times New Roman"/>
        </w:rPr>
        <w:t xml:space="preserve">s not in the currently available list of surgery codes. Chemotherapy and radiotherapy admissions were not matched by VAED diagnosis codes or </w:t>
      </w:r>
      <w:r w:rsidRPr="002178CC">
        <w:rPr>
          <w:rFonts w:eastAsia="Times New Roman"/>
        </w:rPr>
        <w:t>Victorian Radiotherapy Minimum Data Set</w:t>
      </w:r>
      <w:r w:rsidRPr="00B842F3" w:rsidDel="00DD6613">
        <w:rPr>
          <w:rFonts w:eastAsia="Times New Roman"/>
        </w:rPr>
        <w:t xml:space="preserve"> </w:t>
      </w:r>
      <w:r w:rsidRPr="00B842F3">
        <w:rPr>
          <w:rFonts w:eastAsia="Times New Roman"/>
        </w:rPr>
        <w:t>primary site, meaning that some treatments not specific to the diagnosis may have been included. However, if specific matching had been used, some treatments may have been missed for these individuals. Due to the small percentage of all non-metastatic patients that these individuals account for</w:t>
      </w:r>
      <w:r w:rsidRPr="00FA703E">
        <w:rPr>
          <w:rFonts w:eastAsia="Times New Roman"/>
        </w:rPr>
        <w:t xml:space="preserve"> </w:t>
      </w:r>
      <w:r w:rsidRPr="00B842F3">
        <w:rPr>
          <w:rFonts w:eastAsia="Times New Roman"/>
        </w:rPr>
        <w:t xml:space="preserve">(approximately </w:t>
      </w:r>
      <w:r>
        <w:rPr>
          <w:rFonts w:eastAsia="Times New Roman"/>
        </w:rPr>
        <w:t xml:space="preserve">three </w:t>
      </w:r>
      <w:r w:rsidRPr="00B842F3">
        <w:rPr>
          <w:rFonts w:eastAsia="Times New Roman"/>
        </w:rPr>
        <w:t xml:space="preserve">per cent), this is unlikely to </w:t>
      </w:r>
      <w:r>
        <w:rPr>
          <w:rFonts w:eastAsia="Times New Roman"/>
        </w:rPr>
        <w:t>affect</w:t>
      </w:r>
      <w:r w:rsidRPr="00B842F3">
        <w:rPr>
          <w:rFonts w:eastAsia="Times New Roman"/>
        </w:rPr>
        <w:t xml:space="preserve"> the overall results</w:t>
      </w:r>
      <w:r>
        <w:rPr>
          <w:rFonts w:eastAsia="Times New Roman"/>
        </w:rPr>
        <w:t>.</w:t>
      </w:r>
    </w:p>
    <w:p w14:paraId="1EDB210A" w14:textId="77777777" w:rsidR="00110FC6" w:rsidRDefault="00110FC6" w:rsidP="00160602">
      <w:pPr>
        <w:pStyle w:val="FootnoteText"/>
        <w:numPr>
          <w:ilvl w:val="0"/>
          <w:numId w:val="60"/>
        </w:numPr>
        <w:rPr>
          <w:rFonts w:eastAsia="Times New Roman"/>
        </w:rPr>
      </w:pPr>
      <w:r>
        <w:rPr>
          <w:rFonts w:eastAsia="Times New Roman"/>
        </w:rPr>
        <w:t>I</w:t>
      </w:r>
      <w:r w:rsidRPr="00B842F3">
        <w:rPr>
          <w:rFonts w:eastAsia="Times New Roman"/>
        </w:rPr>
        <w:t>t is not possible to tell whether the intent of surgery or chemotherapy was curative or palliative, and so some patients who were receiving palliative treatment may have been included</w:t>
      </w:r>
      <w:r>
        <w:rPr>
          <w:rFonts w:eastAsia="Times New Roman"/>
        </w:rPr>
        <w:t>.</w:t>
      </w:r>
    </w:p>
    <w:p w14:paraId="578F4AEF" w14:textId="77777777" w:rsidR="00110FC6" w:rsidRPr="00B842F3" w:rsidRDefault="00110FC6" w:rsidP="00160602">
      <w:pPr>
        <w:pStyle w:val="FootnoteText"/>
        <w:numPr>
          <w:ilvl w:val="0"/>
          <w:numId w:val="60"/>
        </w:numPr>
      </w:pPr>
      <w:r>
        <w:rPr>
          <w:rFonts w:eastAsia="Times New Roman"/>
        </w:rPr>
        <w:t>P</w:t>
      </w:r>
      <w:r w:rsidRPr="00B842F3">
        <w:rPr>
          <w:rFonts w:eastAsia="Times New Roman"/>
        </w:rPr>
        <w:t>atients who did not have an admitted episode in the VAED in the allocated timeframe could not be reclassified as metastatic at diagnosis. Some of these patients may have had metastatic disease and were then incorrectly included in the cohort.</w:t>
      </w:r>
    </w:p>
    <w:p w14:paraId="2F3A858C" w14:textId="77777777" w:rsidR="00110FC6" w:rsidRDefault="00110FC6" w:rsidP="00A751CE">
      <w:pPr>
        <w:pStyle w:val="FootnoteText"/>
      </w:pPr>
    </w:p>
  </w:footnote>
  <w:footnote w:id="128">
    <w:p w14:paraId="60A03BB2" w14:textId="72E8D452" w:rsidR="00110FC6" w:rsidRDefault="00110FC6">
      <w:pPr>
        <w:pStyle w:val="FootnoteText"/>
      </w:pPr>
      <w:r>
        <w:rPr>
          <w:rStyle w:val="FootnoteReference"/>
        </w:rPr>
        <w:footnoteRef/>
      </w:r>
      <w:r>
        <w:t xml:space="preserve"> For example, </w:t>
      </w:r>
      <w:r>
        <w:rPr>
          <w:lang w:val="en-GB"/>
        </w:rPr>
        <w:t>f</w:t>
      </w:r>
      <w:r w:rsidRPr="007F77CF">
        <w:rPr>
          <w:lang w:val="en-GB"/>
        </w:rPr>
        <w:t xml:space="preserve">or some cancers such as colorectal the risk of </w:t>
      </w:r>
      <w:r>
        <w:rPr>
          <w:lang w:val="en-GB"/>
        </w:rPr>
        <w:t xml:space="preserve">developing </w:t>
      </w:r>
      <w:r w:rsidRPr="007F77CF">
        <w:rPr>
          <w:lang w:val="en-GB"/>
        </w:rPr>
        <w:t>cancer in</w:t>
      </w:r>
      <w:r>
        <w:rPr>
          <w:lang w:val="en-GB"/>
        </w:rPr>
        <w:t xml:space="preserve"> </w:t>
      </w:r>
      <w:r w:rsidRPr="007F77CF">
        <w:rPr>
          <w:lang w:val="en-GB"/>
        </w:rPr>
        <w:t>people under the age of 40 years is gradually increasing</w:t>
      </w:r>
      <w:r>
        <w:rPr>
          <w:lang w:val="en-GB"/>
        </w:rPr>
        <w:t>.</w:t>
      </w:r>
    </w:p>
  </w:footnote>
  <w:footnote w:id="129">
    <w:p w14:paraId="4FDC2106" w14:textId="4B41D564" w:rsidR="00110FC6" w:rsidRDefault="00110FC6">
      <w:pPr>
        <w:pStyle w:val="FootnoteText"/>
      </w:pPr>
      <w:r>
        <w:rPr>
          <w:rStyle w:val="FootnoteReference"/>
        </w:rPr>
        <w:footnoteRef/>
      </w:r>
      <w:r>
        <w:t xml:space="preserve"> </w:t>
      </w:r>
      <w:r>
        <w:rPr>
          <w:color w:val="222222"/>
        </w:rPr>
        <w:t xml:space="preserve">Chu QD, Hill HC, Douglass HO, et al. 2002. Predictive factors associated with long-term survival in patients with neuroendocrine tumors of the pancreas. </w:t>
      </w:r>
      <w:r w:rsidRPr="00342BB2">
        <w:rPr>
          <w:iCs/>
          <w:color w:val="222222"/>
        </w:rPr>
        <w:t>Annals of Surgical Oncology</w:t>
      </w:r>
      <w:r w:rsidRPr="00676EB9">
        <w:rPr>
          <w:iCs/>
          <w:color w:val="222222"/>
        </w:rPr>
        <w:t>.</w:t>
      </w:r>
      <w:r>
        <w:rPr>
          <w:color w:val="222222"/>
        </w:rPr>
        <w:t xml:space="preserve"> Nov 1;9(9):855-62.</w:t>
      </w:r>
    </w:p>
  </w:footnote>
  <w:footnote w:id="130">
    <w:p w14:paraId="1CB210E4" w14:textId="49A14787" w:rsidR="00110FC6" w:rsidRDefault="00110FC6">
      <w:pPr>
        <w:pStyle w:val="FootnoteText"/>
      </w:pPr>
      <w:r>
        <w:rPr>
          <w:rStyle w:val="FootnoteReference"/>
        </w:rPr>
        <w:footnoteRef/>
      </w:r>
      <w:r>
        <w:t xml:space="preserve"> </w:t>
      </w:r>
      <w:r>
        <w:rPr>
          <w:color w:val="222222"/>
        </w:rPr>
        <w:t>Anderson O, Ni Z, Møller H, et al. 2011. Hospital volume and survival in oesophagectomy and gastrectomy for cancer.</w:t>
      </w:r>
      <w:r w:rsidRPr="00676EB9">
        <w:rPr>
          <w:iCs/>
          <w:color w:val="222222"/>
        </w:rPr>
        <w:t xml:space="preserve"> </w:t>
      </w:r>
      <w:r w:rsidRPr="00342BB2">
        <w:rPr>
          <w:iCs/>
          <w:color w:val="222222"/>
        </w:rPr>
        <w:t>European Journal of Cancer</w:t>
      </w:r>
      <w:r>
        <w:rPr>
          <w:color w:val="222222"/>
        </w:rPr>
        <w:t>. Nov 1;47(16):2408-14.</w:t>
      </w:r>
    </w:p>
  </w:footnote>
  <w:footnote w:id="131">
    <w:p w14:paraId="23BAA75A" w14:textId="4AF314A9" w:rsidR="00110FC6" w:rsidRDefault="00110FC6">
      <w:pPr>
        <w:pStyle w:val="FootnoteText"/>
      </w:pPr>
      <w:r>
        <w:rPr>
          <w:rStyle w:val="FootnoteReference"/>
        </w:rPr>
        <w:footnoteRef/>
      </w:r>
      <w:r>
        <w:t xml:space="preserve"> </w:t>
      </w:r>
      <w:r w:rsidRPr="00726696">
        <w:t>https://www.cancer.nsw.gov.au/getattachment/cancer-control/Cancer-Control-in-NSW-Statewide-Report-2017-Appendices.pdf?lang=en-AU</w:t>
      </w:r>
    </w:p>
  </w:footnote>
  <w:footnote w:id="132">
    <w:p w14:paraId="20C8EA35" w14:textId="1C0F6251" w:rsidR="00110FC6" w:rsidRPr="00FB0245" w:rsidRDefault="00110FC6" w:rsidP="00FB0245">
      <w:pPr>
        <w:pStyle w:val="FootnoteText"/>
        <w:rPr>
          <w:rStyle w:val="FootnoteTextChar"/>
        </w:rPr>
      </w:pPr>
      <w:r w:rsidRPr="00FB0245">
        <w:rPr>
          <w:rStyle w:val="FootnoteReference"/>
        </w:rPr>
        <w:footnoteRef/>
      </w:r>
      <w:r w:rsidRPr="00FB0245">
        <w:rPr>
          <w:rStyle w:val="FootnoteReference"/>
        </w:rPr>
        <w:t xml:space="preserve"> </w:t>
      </w:r>
      <w:r w:rsidRPr="00FB0245">
        <w:rPr>
          <w:rStyle w:val="FootnoteTextChar"/>
        </w:rPr>
        <w:t>Du</w:t>
      </w:r>
      <w:r w:rsidRPr="00650387">
        <w:rPr>
          <w:rStyle w:val="FootnoteTextChar"/>
        </w:rPr>
        <w:t>ckett S</w:t>
      </w:r>
      <w:r>
        <w:rPr>
          <w:rStyle w:val="FootnoteTextChar"/>
        </w:rPr>
        <w:t>,</w:t>
      </w:r>
      <w:r w:rsidRPr="00650387">
        <w:rPr>
          <w:rStyle w:val="FootnoteTextChar"/>
        </w:rPr>
        <w:t xml:space="preserve"> et al. </w:t>
      </w:r>
      <w:r>
        <w:rPr>
          <w:rStyle w:val="FootnoteTextChar"/>
        </w:rPr>
        <w:t xml:space="preserve">2016. </w:t>
      </w:r>
      <w:r w:rsidRPr="00650387">
        <w:rPr>
          <w:rStyle w:val="FootnoteTextChar"/>
        </w:rPr>
        <w:t>Targeting zero Supporting the Victorian hospital system to eliminate avoidable harm and strengthen quality of care - Report of the Review of Hospital Safety and Quality Assurance in Victoria</w:t>
      </w:r>
      <w:r w:rsidRPr="00FB0245">
        <w:rPr>
          <w:rStyle w:val="FootnoteTextChar"/>
        </w:rPr>
        <w:t>. Published by the Victorian Government, Melbourne.</w:t>
      </w:r>
      <w:r>
        <w:rPr>
          <w:rStyle w:val="FootnoteTextChar"/>
        </w:rPr>
        <w:t xml:space="preserve"> </w:t>
      </w:r>
      <w:r w:rsidRPr="00FB0245">
        <w:rPr>
          <w:rStyle w:val="FootnoteTextChar"/>
        </w:rPr>
        <w:t>http://www.healthissuescentre.org.au/news/detail/targeting-zero-patient-safety-victoria</w:t>
      </w:r>
    </w:p>
  </w:footnote>
  <w:footnote w:id="133">
    <w:p w14:paraId="6DEE9A5C" w14:textId="313CCC6B" w:rsidR="00110FC6" w:rsidRPr="00176EDB" w:rsidRDefault="00110FC6" w:rsidP="00142364">
      <w:pPr>
        <w:pStyle w:val="FootnoteText"/>
        <w:rPr>
          <w:i/>
          <w:iCs/>
          <w:sz w:val="19"/>
          <w:szCs w:val="19"/>
        </w:rPr>
      </w:pPr>
      <w:r w:rsidRPr="00176EDB">
        <w:rPr>
          <w:rStyle w:val="FootnoteReference"/>
        </w:rPr>
        <w:footnoteRef/>
      </w:r>
      <w:r w:rsidRPr="00176EDB">
        <w:t xml:space="preserve"> Marshall K, Loeliger J 2012</w:t>
      </w:r>
      <w:r>
        <w:t>.</w:t>
      </w:r>
      <w:r w:rsidRPr="00176EDB">
        <w:t xml:space="preserve"> </w:t>
      </w:r>
      <w:r w:rsidRPr="00342BB2">
        <w:t xml:space="preserve">Investigating </w:t>
      </w:r>
      <w:r>
        <w:t>p</w:t>
      </w:r>
      <w:r w:rsidRPr="00342BB2">
        <w:t xml:space="preserve">ractices </w:t>
      </w:r>
      <w:r>
        <w:t>r</w:t>
      </w:r>
      <w:r w:rsidRPr="00342BB2">
        <w:t xml:space="preserve">elating to </w:t>
      </w:r>
      <w:r>
        <w:t>m</w:t>
      </w:r>
      <w:r w:rsidRPr="00342BB2">
        <w:t xml:space="preserve">alnutrition in Victorian </w:t>
      </w:r>
      <w:r>
        <w:t>c</w:t>
      </w:r>
      <w:r w:rsidRPr="00342BB2">
        <w:t xml:space="preserve">ancer </w:t>
      </w:r>
      <w:r>
        <w:t>s</w:t>
      </w:r>
      <w:r w:rsidRPr="00342BB2">
        <w:t>ervices – summary</w:t>
      </w:r>
      <w:r w:rsidRPr="00176EDB">
        <w:rPr>
          <w:i/>
          <w:iCs/>
        </w:rPr>
        <w:t xml:space="preserve"> </w:t>
      </w:r>
      <w:r w:rsidRPr="00342BB2">
        <w:t>report</w:t>
      </w:r>
      <w:r w:rsidRPr="00176EDB">
        <w:t>, Department of Health, State Government of Victoria, Melbourne.</w:t>
      </w:r>
    </w:p>
  </w:footnote>
  <w:footnote w:id="134">
    <w:p w14:paraId="3870FDB1" w14:textId="4C0C8AAB" w:rsidR="00110FC6" w:rsidRPr="00176EDB" w:rsidRDefault="00110FC6" w:rsidP="00142364">
      <w:pPr>
        <w:pStyle w:val="FootnoteText"/>
      </w:pPr>
      <w:r w:rsidRPr="00176EDB">
        <w:rPr>
          <w:rStyle w:val="FootnoteReference"/>
        </w:rPr>
        <w:footnoteRef/>
      </w:r>
      <w:r w:rsidRPr="00176EDB">
        <w:t xml:space="preserve"> </w:t>
      </w:r>
      <w:r w:rsidRPr="00342BB2">
        <w:t>Marshall KM</w:t>
      </w:r>
      <w:r w:rsidRPr="00E04AFC">
        <w:t xml:space="preserve">, Loeliger J, Nolte L, et al. 2019. Prevalence of malnutrition and impact on clinical outcomes in cancer services: a comparison of two time points. </w:t>
      </w:r>
      <w:r w:rsidRPr="00E04AFC">
        <w:rPr>
          <w:iCs/>
        </w:rPr>
        <w:t>Clinical Nutrition</w:t>
      </w:r>
      <w:r w:rsidRPr="00E04AFC">
        <w:t>; 38(9):644-651.</w:t>
      </w:r>
    </w:p>
  </w:footnote>
  <w:footnote w:id="135">
    <w:p w14:paraId="2A08C1B7" w14:textId="413B1D07" w:rsidR="00110FC6" w:rsidRDefault="00110FC6" w:rsidP="00142364">
      <w:pPr>
        <w:pStyle w:val="FootnoteText"/>
      </w:pPr>
      <w:r w:rsidRPr="00176EDB">
        <w:rPr>
          <w:rStyle w:val="FootnoteReference"/>
        </w:rPr>
        <w:footnoteRef/>
      </w:r>
      <w:r w:rsidRPr="00176EDB">
        <w:t xml:space="preserve"> </w:t>
      </w:r>
      <w:r>
        <w:t>Ibid.</w:t>
      </w:r>
    </w:p>
  </w:footnote>
  <w:footnote w:id="136">
    <w:p w14:paraId="406E9E31" w14:textId="3121C739" w:rsidR="00110FC6" w:rsidRDefault="00110FC6" w:rsidP="00142364">
      <w:pPr>
        <w:pStyle w:val="FootnoteText"/>
      </w:pPr>
      <w:r>
        <w:rPr>
          <w:rStyle w:val="FootnoteReference"/>
        </w:rPr>
        <w:footnoteRef/>
      </w:r>
      <w:r>
        <w:t xml:space="preserve"> </w:t>
      </w:r>
      <w:r w:rsidRPr="00030871">
        <w:t>https://www.petermac.org/services/treatment/allied-health/nutrition/VCMC/cancer-malnutrition-point-prevalence-study-pps</w:t>
      </w:r>
      <w:r>
        <w:t>.</w:t>
      </w:r>
    </w:p>
  </w:footnote>
  <w:footnote w:id="137">
    <w:p w14:paraId="45821131" w14:textId="0C408AD3" w:rsidR="00110FC6" w:rsidRDefault="00110FC6">
      <w:pPr>
        <w:pStyle w:val="FootnoteText"/>
      </w:pPr>
      <w:r>
        <w:rPr>
          <w:rStyle w:val="FootnoteReference"/>
        </w:rPr>
        <w:footnoteRef/>
      </w:r>
      <w:r>
        <w:t xml:space="preserve"> </w:t>
      </w:r>
      <w:r w:rsidRPr="00B42CA0">
        <w:t xml:space="preserve">Schrager S, Phillips G, Burnside E 2017. Shared decision making in cancer screening. </w:t>
      </w:r>
      <w:r w:rsidRPr="00B42CA0">
        <w:rPr>
          <w:iCs/>
        </w:rPr>
        <w:t>Family Practice Management</w:t>
      </w:r>
      <w:r w:rsidRPr="00B42CA0">
        <w:t>. May;24(3):5.</w:t>
      </w:r>
    </w:p>
  </w:footnote>
  <w:footnote w:id="138">
    <w:p w14:paraId="6E22E14E" w14:textId="47791C54" w:rsidR="00110FC6" w:rsidRDefault="00110FC6">
      <w:pPr>
        <w:pStyle w:val="FootnoteText"/>
      </w:pPr>
      <w:r>
        <w:rPr>
          <w:rStyle w:val="FootnoteReference"/>
        </w:rPr>
        <w:footnoteRef/>
      </w:r>
      <w:r>
        <w:t xml:space="preserve"> </w:t>
      </w:r>
      <w:r>
        <w:rPr>
          <w:color w:val="222222"/>
        </w:rPr>
        <w:t xml:space="preserve">Kehl KL, Landrum MB, Arora NK, et al. 2015. Shared decision making in cancer care: the association of actual and preferred decision roles with patient-reported quality. </w:t>
      </w:r>
      <w:r w:rsidRPr="00B42CA0">
        <w:rPr>
          <w:iCs/>
          <w:color w:val="222222"/>
        </w:rPr>
        <w:t>JAMA Oncology</w:t>
      </w:r>
      <w:r>
        <w:rPr>
          <w:color w:val="222222"/>
        </w:rPr>
        <w:t>. Apr;1(1):50.</w:t>
      </w:r>
    </w:p>
  </w:footnote>
  <w:footnote w:id="139">
    <w:p w14:paraId="36DED37E" w14:textId="37E65BAF" w:rsidR="00110FC6" w:rsidRPr="008D6F6B" w:rsidRDefault="00110FC6">
      <w:pPr>
        <w:pStyle w:val="FootnoteText"/>
      </w:pPr>
      <w:r>
        <w:rPr>
          <w:rStyle w:val="FootnoteReference"/>
        </w:rPr>
        <w:footnoteRef/>
      </w:r>
      <w:r>
        <w:t xml:space="preserve"> </w:t>
      </w:r>
      <w:r w:rsidRPr="008D6F6B">
        <w:rPr>
          <w:color w:val="333333"/>
        </w:rPr>
        <w:t xml:space="preserve">Prades J, et al. </w:t>
      </w:r>
      <w:r>
        <w:rPr>
          <w:color w:val="333333"/>
        </w:rPr>
        <w:t xml:space="preserve">2015. </w:t>
      </w:r>
      <w:r w:rsidRPr="008D6F6B">
        <w:rPr>
          <w:color w:val="333333"/>
        </w:rPr>
        <w:t>Is it worth reorganising cancer services on the basis of multidisciplinary teams (MDTs)? A systematic review of the objectives and organisation of MDTs and their impact on patient outcomes. Health Policy</w:t>
      </w:r>
      <w:r>
        <w:rPr>
          <w:color w:val="333333"/>
        </w:rPr>
        <w:t>.</w:t>
      </w:r>
      <w:r w:rsidRPr="008D6F6B">
        <w:rPr>
          <w:color w:val="333333"/>
        </w:rPr>
        <w:t xml:space="preserve"> 119(4):464</w:t>
      </w:r>
      <w:r>
        <w:rPr>
          <w:rStyle w:val="sr-only1"/>
          <w:color w:val="333333"/>
        </w:rPr>
        <w:t>-</w:t>
      </w:r>
      <w:r w:rsidRPr="008D6F6B">
        <w:rPr>
          <w:color w:val="333333"/>
        </w:rPr>
        <w:t>74</w:t>
      </w:r>
    </w:p>
  </w:footnote>
  <w:footnote w:id="140">
    <w:p w14:paraId="7417669A" w14:textId="527C15C7" w:rsidR="00110FC6" w:rsidRDefault="00110FC6">
      <w:pPr>
        <w:pStyle w:val="FootnoteText"/>
      </w:pPr>
      <w:r>
        <w:rPr>
          <w:rStyle w:val="FootnoteReference"/>
        </w:rPr>
        <w:footnoteRef/>
      </w:r>
      <w:r>
        <w:t xml:space="preserve"> Department of Health and Human Services 2016. </w:t>
      </w:r>
      <w:r w:rsidRPr="00811D05">
        <w:rPr>
          <w:iCs/>
        </w:rPr>
        <w:t>Victoria’s end</w:t>
      </w:r>
      <w:r>
        <w:rPr>
          <w:iCs/>
        </w:rPr>
        <w:t>-</w:t>
      </w:r>
      <w:r w:rsidRPr="00811D05">
        <w:rPr>
          <w:iCs/>
        </w:rPr>
        <w:t>of</w:t>
      </w:r>
      <w:r>
        <w:rPr>
          <w:iCs/>
        </w:rPr>
        <w:t>-</w:t>
      </w:r>
      <w:r w:rsidRPr="00811D05">
        <w:rPr>
          <w:iCs/>
        </w:rPr>
        <w:t>life and palliative care framework</w:t>
      </w:r>
      <w:r>
        <w:rPr>
          <w:iCs/>
        </w:rPr>
        <w:t>: a</w:t>
      </w:r>
      <w:r w:rsidRPr="00811D05">
        <w:rPr>
          <w:iCs/>
        </w:rPr>
        <w:t xml:space="preserve"> guide for high-quality end</w:t>
      </w:r>
      <w:r>
        <w:rPr>
          <w:iCs/>
        </w:rPr>
        <w:t>-</w:t>
      </w:r>
      <w:r w:rsidRPr="00811D05">
        <w:rPr>
          <w:iCs/>
        </w:rPr>
        <w:t>of</w:t>
      </w:r>
      <w:r>
        <w:rPr>
          <w:iCs/>
        </w:rPr>
        <w:t>-</w:t>
      </w:r>
      <w:r w:rsidRPr="00811D05">
        <w:rPr>
          <w:iCs/>
        </w:rPr>
        <w:t>life care for all Victorians</w:t>
      </w:r>
      <w:r w:rsidRPr="00676EB9">
        <w:rPr>
          <w:iCs/>
        </w:rPr>
        <w:t>.</w:t>
      </w:r>
      <w:r>
        <w:rPr>
          <w:iCs/>
        </w:rPr>
        <w:t xml:space="preserve"> State Government of Victoria, Melbourne.</w:t>
      </w:r>
    </w:p>
  </w:footnote>
  <w:footnote w:id="141">
    <w:p w14:paraId="3157C2B5" w14:textId="499C8E52" w:rsidR="00110FC6" w:rsidRDefault="00110FC6" w:rsidP="00253677">
      <w:pPr>
        <w:pStyle w:val="FootnoteText"/>
      </w:pPr>
      <w:r>
        <w:rPr>
          <w:rStyle w:val="FootnoteReference"/>
        </w:rPr>
        <w:footnoteRef/>
      </w:r>
      <w:r>
        <w:t xml:space="preserve"> Earle CC, Park ER, Lai B, et al. 2003. Identifying potential indicators of the quality of end-of-life cancer care from administrative data. Journal of Clinical Oncology. 21(6):1133–1138.</w:t>
      </w:r>
    </w:p>
  </w:footnote>
  <w:footnote w:id="142">
    <w:p w14:paraId="2D3F902F" w14:textId="6C41F04B" w:rsidR="00110FC6" w:rsidRDefault="00110FC6">
      <w:pPr>
        <w:pStyle w:val="FootnoteText"/>
      </w:pPr>
      <w:r>
        <w:rPr>
          <w:rStyle w:val="FootnoteReference"/>
        </w:rPr>
        <w:footnoteRef/>
      </w:r>
      <w:r>
        <w:t xml:space="preserve"> Grunfeld E, Urquhart R, Mykhalovskiy E et al. 2008. Toward population-based indicators of quality end-of-life care: testing stakeholder agreement. Cancer. 112(10):2301–2308.</w:t>
      </w:r>
    </w:p>
  </w:footnote>
  <w:footnote w:id="143">
    <w:p w14:paraId="4767E048" w14:textId="160CB0B7" w:rsidR="00110FC6" w:rsidRDefault="00110FC6">
      <w:pPr>
        <w:pStyle w:val="FootnoteText"/>
      </w:pPr>
      <w:r>
        <w:rPr>
          <w:rStyle w:val="FootnoteReference"/>
        </w:rPr>
        <w:footnoteRef/>
      </w:r>
      <w:r>
        <w:t xml:space="preserve"> </w:t>
      </w:r>
      <w:r w:rsidRPr="005F2F8D">
        <w:t>Wright AA</w:t>
      </w:r>
      <w:r>
        <w:t>,</w:t>
      </w:r>
      <w:r w:rsidRPr="005F2F8D">
        <w:t xml:space="preserve"> Zhang B</w:t>
      </w:r>
      <w:r>
        <w:t>,</w:t>
      </w:r>
      <w:r w:rsidRPr="005F2F8D">
        <w:t xml:space="preserve"> Ray A</w:t>
      </w:r>
      <w:r>
        <w:t>,</w:t>
      </w:r>
      <w:r w:rsidRPr="005F2F8D">
        <w:t xml:space="preserve"> et al.</w:t>
      </w:r>
      <w:r>
        <w:t xml:space="preserve"> 2008. </w:t>
      </w:r>
      <w:r w:rsidRPr="005F2F8D">
        <w:t>Associations between end-of-life discussions, patient mental health, medical care near death, and caregiver bereavement adjustment. JAMA</w:t>
      </w:r>
      <w:r>
        <w:t>.</w:t>
      </w:r>
      <w:r w:rsidRPr="005F2F8D">
        <w:t xml:space="preserve"> 300(14):1665–1673.</w:t>
      </w:r>
    </w:p>
  </w:footnote>
  <w:footnote w:id="144">
    <w:p w14:paraId="323DE595" w14:textId="7FE4168C" w:rsidR="00110FC6" w:rsidRDefault="00110FC6">
      <w:pPr>
        <w:pStyle w:val="FootnoteText"/>
      </w:pPr>
      <w:r>
        <w:rPr>
          <w:rStyle w:val="FootnoteReference"/>
        </w:rPr>
        <w:footnoteRef/>
      </w:r>
      <w:r>
        <w:t xml:space="preserve"> </w:t>
      </w:r>
      <w:r>
        <w:rPr>
          <w:rStyle w:val="citation"/>
          <w:lang w:val="en"/>
        </w:rPr>
        <w:t xml:space="preserve">Emanuel EJ, Young-Xu Y, Levinsky NG, et al. 2003. Chemotherapy use among Medicare beneficiaries at the end of life. </w:t>
      </w:r>
      <w:r>
        <w:rPr>
          <w:rStyle w:val="ref-journal"/>
          <w:lang w:val="en"/>
        </w:rPr>
        <w:t>Annals of Internal Medicine.</w:t>
      </w:r>
      <w:r>
        <w:rPr>
          <w:rStyle w:val="citation"/>
          <w:lang w:val="en"/>
        </w:rPr>
        <w:t xml:space="preserve"> </w:t>
      </w:r>
      <w:r>
        <w:rPr>
          <w:lang w:val="en"/>
        </w:rPr>
        <w:t>138</w:t>
      </w:r>
      <w:r>
        <w:rPr>
          <w:rStyle w:val="citation"/>
          <w:lang w:val="en"/>
        </w:rPr>
        <w:t>:639-43.</w:t>
      </w:r>
    </w:p>
  </w:footnote>
  <w:footnote w:id="145">
    <w:p w14:paraId="7B00332A" w14:textId="5E6C4FCE" w:rsidR="00110FC6" w:rsidRDefault="00110FC6">
      <w:pPr>
        <w:pStyle w:val="FootnoteText"/>
      </w:pPr>
      <w:r>
        <w:rPr>
          <w:rStyle w:val="FootnoteReference"/>
        </w:rPr>
        <w:footnoteRef/>
      </w:r>
      <w:r>
        <w:t xml:space="preserve"> </w:t>
      </w:r>
      <w:r>
        <w:rPr>
          <w:color w:val="222222"/>
        </w:rPr>
        <w:t>Rochigneux P, Raoul JL, Beaussant Y, et al. 2016. Use of chemotherapy near the end of life: what factors matter? Annals of Oncology. Dec 19;28(4):809-17.</w:t>
      </w:r>
    </w:p>
  </w:footnote>
  <w:footnote w:id="146">
    <w:p w14:paraId="6D146E32" w14:textId="50C7884E" w:rsidR="00110FC6" w:rsidRDefault="00110FC6">
      <w:pPr>
        <w:pStyle w:val="FootnoteText"/>
      </w:pPr>
      <w:r>
        <w:rPr>
          <w:rStyle w:val="FootnoteReference"/>
        </w:rPr>
        <w:footnoteRef/>
      </w:r>
      <w:r>
        <w:t xml:space="preserve"> </w:t>
      </w:r>
      <w:r>
        <w:rPr>
          <w:color w:val="222222"/>
        </w:rPr>
        <w:t>Guadagnolo BA, Liao KP, Elting L, et al. 2013. Use of radiation therapy in the last 30 days of life among a large population-based cohort of elderly patients in the United States. Journal of Clinical Oncology. Jan 1;31(1):80.</w:t>
      </w:r>
    </w:p>
  </w:footnote>
  <w:footnote w:id="147">
    <w:p w14:paraId="6A277233" w14:textId="0B602B1D" w:rsidR="00110FC6" w:rsidRDefault="00110FC6" w:rsidP="00CE0FEE">
      <w:pPr>
        <w:pStyle w:val="FootnoteText"/>
      </w:pPr>
      <w:r>
        <w:rPr>
          <w:rStyle w:val="FootnoteReference"/>
        </w:rPr>
        <w:footnoteRef/>
      </w:r>
      <w:r>
        <w:t xml:space="preserve"> </w:t>
      </w:r>
      <w:r w:rsidRPr="0072493B">
        <w:t xml:space="preserve">Tracey EA, Chen S, Baker D, </w:t>
      </w:r>
      <w:r>
        <w:t>et al.</w:t>
      </w:r>
      <w:r w:rsidRPr="0072493B">
        <w:t xml:space="preserve"> 2006. Cancer in New South Wales: incidence and mortality 2004. Cancer Institute NSW</w:t>
      </w:r>
      <w:r>
        <w:t>, Sydney</w:t>
      </w:r>
      <w:r w:rsidRPr="0072493B">
        <w:t>.</w:t>
      </w:r>
      <w:r>
        <w:t xml:space="preserve"> </w:t>
      </w:r>
    </w:p>
    <w:p w14:paraId="5B4C61A5" w14:textId="7CFBFD0A" w:rsidR="00110FC6" w:rsidRDefault="00110FC6">
      <w:pPr>
        <w:pStyle w:val="FootnoteText"/>
      </w:pPr>
    </w:p>
  </w:footnote>
  <w:footnote w:id="148">
    <w:p w14:paraId="0E83A773" w14:textId="4DD22A6A" w:rsidR="00110FC6" w:rsidRDefault="00110FC6">
      <w:pPr>
        <w:pStyle w:val="FootnoteText"/>
      </w:pPr>
      <w:r>
        <w:rPr>
          <w:rStyle w:val="FootnoteReference"/>
        </w:rPr>
        <w:footnoteRef/>
      </w:r>
      <w:r>
        <w:t xml:space="preserve"> See: </w:t>
      </w:r>
      <w:r w:rsidRPr="00B626FA">
        <w:t>http://www.pancreaticcancer.net.au/patients-pancreatic-cancer/statistics/</w:t>
      </w:r>
    </w:p>
  </w:footnote>
  <w:footnote w:id="149">
    <w:p w14:paraId="5DB85B9B" w14:textId="368A3A1E" w:rsidR="00110FC6" w:rsidRPr="00F3402F" w:rsidRDefault="00110FC6">
      <w:pPr>
        <w:pStyle w:val="FootnoteText"/>
      </w:pPr>
      <w:r w:rsidRPr="00F3402F">
        <w:rPr>
          <w:rStyle w:val="FootnoteReference"/>
        </w:rPr>
        <w:footnoteRef/>
      </w:r>
      <w:r w:rsidRPr="00F3402F">
        <w:t xml:space="preserve"> Vaughan S, Coward JI, Bast Jr RC, </w:t>
      </w:r>
      <w:r>
        <w:t>et al</w:t>
      </w:r>
      <w:r w:rsidRPr="00F3402F">
        <w:t xml:space="preserve">. </w:t>
      </w:r>
      <w:r>
        <w:t xml:space="preserve">2011. </w:t>
      </w:r>
      <w:r w:rsidRPr="00F3402F">
        <w:t>Rethinking ovarian cancer: recommendations for improving outcomes. Nature Reviews Cancer. Oct;11(10):719.</w:t>
      </w:r>
    </w:p>
  </w:footnote>
  <w:footnote w:id="150">
    <w:p w14:paraId="41C9ECC8" w14:textId="39E58E20" w:rsidR="00110FC6" w:rsidRPr="00F3402F" w:rsidRDefault="00110FC6" w:rsidP="00940CE5">
      <w:pPr>
        <w:ind w:left="-5" w:right="3"/>
        <w:rPr>
          <w:rFonts w:ascii="Arial" w:hAnsi="Arial" w:cs="Arial"/>
          <w:sz w:val="16"/>
          <w:szCs w:val="16"/>
        </w:rPr>
      </w:pPr>
      <w:r w:rsidRPr="00F3402F">
        <w:rPr>
          <w:rStyle w:val="FootnoteReference"/>
          <w:rFonts w:cs="Arial"/>
          <w:sz w:val="16"/>
          <w:szCs w:val="16"/>
        </w:rPr>
        <w:footnoteRef/>
      </w:r>
      <w:r w:rsidRPr="00F3402F">
        <w:rPr>
          <w:rFonts w:ascii="Arial" w:hAnsi="Arial" w:cs="Arial"/>
          <w:sz w:val="16"/>
          <w:szCs w:val="16"/>
        </w:rPr>
        <w:t xml:space="preserve"> AIHW &amp; NBOCC (National Breast and Ovarian Cancer Centre) 2010. Ovarian cancer in Australia: an overview, 2010. Cancer series no. 52. Cat. no. CAN 48. AIHW</w:t>
      </w:r>
      <w:r>
        <w:rPr>
          <w:rFonts w:ascii="Arial" w:hAnsi="Arial" w:cs="Arial"/>
          <w:sz w:val="16"/>
          <w:szCs w:val="16"/>
        </w:rPr>
        <w:t>, Canberra</w:t>
      </w:r>
      <w:r w:rsidRPr="00F3402F">
        <w:rPr>
          <w:rFonts w:ascii="Arial" w:hAnsi="Arial" w:cs="Arial"/>
          <w:sz w:val="16"/>
          <w:szCs w:val="16"/>
        </w:rPr>
        <w:t xml:space="preserve">. </w:t>
      </w:r>
    </w:p>
  </w:footnote>
  <w:footnote w:id="151">
    <w:p w14:paraId="08BC6B24" w14:textId="122AE41B" w:rsidR="00110FC6" w:rsidRPr="00F3402F" w:rsidRDefault="00110FC6">
      <w:pPr>
        <w:pStyle w:val="FootnoteText"/>
      </w:pPr>
      <w:r w:rsidRPr="00F3402F">
        <w:rPr>
          <w:rStyle w:val="FootnoteReference"/>
        </w:rPr>
        <w:footnoteRef/>
      </w:r>
      <w:r w:rsidRPr="00F3402F">
        <w:t xml:space="preserve"> </w:t>
      </w:r>
      <w:r>
        <w:t xml:space="preserve">See: </w:t>
      </w:r>
      <w:r w:rsidRPr="00F3402F">
        <w:t>https://ovariancancer.net.au/wp-content/uploads/2019/01/Ovarian-Cancer-Facts-_2019_-FINAL.pdf</w:t>
      </w:r>
    </w:p>
  </w:footnote>
  <w:footnote w:id="152">
    <w:p w14:paraId="7B6B6BF6" w14:textId="048A4352" w:rsidR="00110FC6" w:rsidRPr="008336E6" w:rsidRDefault="00110FC6" w:rsidP="009B1B93">
      <w:pPr>
        <w:pStyle w:val="FootnoteText"/>
      </w:pPr>
      <w:r w:rsidRPr="009E2696">
        <w:rPr>
          <w:rStyle w:val="FootnoteReference"/>
        </w:rPr>
        <w:footnoteRef/>
      </w:r>
      <w:r>
        <w:t xml:space="preserve"> </w:t>
      </w:r>
      <w:r w:rsidRPr="008336E6">
        <w:t>World Cancer Research Fund / American Institute for Cancer Research</w:t>
      </w:r>
      <w:r>
        <w:t xml:space="preserve"> 2011</w:t>
      </w:r>
      <w:r w:rsidRPr="008336E6">
        <w:t>. Continuous update project report.</w:t>
      </w:r>
      <w:r>
        <w:t xml:space="preserve"> </w:t>
      </w:r>
      <w:r w:rsidRPr="008336E6">
        <w:t xml:space="preserve">Food, Nutrition, Physical Activity, and the Prevention of Colorectal Cancer. </w:t>
      </w:r>
    </w:p>
  </w:footnote>
  <w:footnote w:id="153">
    <w:p w14:paraId="00DBB97A" w14:textId="2F7CCBB8" w:rsidR="00110FC6" w:rsidRPr="005F7E72" w:rsidRDefault="00110FC6" w:rsidP="009B1B93">
      <w:pPr>
        <w:pStyle w:val="FootnoteText"/>
        <w:rPr>
          <w:lang w:val="en-NZ"/>
        </w:rPr>
      </w:pPr>
      <w:r w:rsidRPr="009E2696">
        <w:rPr>
          <w:rStyle w:val="FootnoteReference"/>
        </w:rPr>
        <w:footnoteRef/>
      </w:r>
      <w:r w:rsidRPr="009E2696">
        <w:t xml:space="preserve"> See:</w:t>
      </w:r>
      <w:r w:rsidRPr="006C50CE">
        <w:rPr>
          <w:sz w:val="20"/>
          <w:szCs w:val="20"/>
        </w:rPr>
        <w:t xml:space="preserve"> </w:t>
      </w:r>
      <w:r w:rsidRPr="005F7E72">
        <w:t>https://ncci.canceraustralia.gov.au/outcomes/relative-survival-rate/relative-survival-stage-diagnosis-colorectal-cancer</w:t>
      </w:r>
    </w:p>
  </w:footnote>
  <w:footnote w:id="154">
    <w:p w14:paraId="39F8C476" w14:textId="47CB0520" w:rsidR="00110FC6" w:rsidRDefault="00110FC6">
      <w:pPr>
        <w:pStyle w:val="FootnoteText"/>
      </w:pPr>
      <w:r>
        <w:rPr>
          <w:rStyle w:val="FootnoteReference"/>
        </w:rPr>
        <w:footnoteRef/>
      </w:r>
      <w:r>
        <w:t xml:space="preserve"> See: </w:t>
      </w:r>
      <w:r w:rsidRPr="006059EB">
        <w:t>https://www.cancer.org.au/about-cancer/types-of-cancer/brain-cancer.html</w:t>
      </w:r>
    </w:p>
  </w:footnote>
  <w:footnote w:id="155">
    <w:p w14:paraId="0D2C67AE" w14:textId="213C78A2" w:rsidR="00110FC6" w:rsidRPr="00BF5AF1" w:rsidRDefault="00110FC6" w:rsidP="00BF5AF1">
      <w:pPr>
        <w:spacing w:after="10"/>
        <w:ind w:left="-5" w:right="3"/>
        <w:rPr>
          <w:rFonts w:ascii="Arial" w:hAnsi="Arial" w:cs="Arial"/>
          <w:sz w:val="16"/>
          <w:szCs w:val="16"/>
        </w:rPr>
      </w:pPr>
      <w:r w:rsidRPr="00BF5AF1">
        <w:rPr>
          <w:rStyle w:val="FootnoteReference"/>
          <w:rFonts w:cs="Arial"/>
          <w:sz w:val="16"/>
          <w:szCs w:val="16"/>
        </w:rPr>
        <w:footnoteRef/>
      </w:r>
      <w:r w:rsidRPr="00BF5AF1">
        <w:rPr>
          <w:rFonts w:ascii="Arial" w:hAnsi="Arial" w:cs="Arial"/>
          <w:sz w:val="16"/>
          <w:szCs w:val="16"/>
        </w:rPr>
        <w:t xml:space="preserve"> AIHW 2011. Cancer in adolescents and young adults in Australia. Cancer series no. 62. Cat. no. CAN 59. AIHW</w:t>
      </w:r>
      <w:r>
        <w:rPr>
          <w:rFonts w:ascii="Arial" w:hAnsi="Arial" w:cs="Arial"/>
          <w:sz w:val="16"/>
          <w:szCs w:val="16"/>
        </w:rPr>
        <w:t>, Canberra.</w:t>
      </w:r>
    </w:p>
  </w:footnote>
  <w:footnote w:id="156">
    <w:p w14:paraId="6CC9A730" w14:textId="4D227F0A" w:rsidR="00110FC6" w:rsidRDefault="00110FC6">
      <w:pPr>
        <w:pStyle w:val="FootnoteText"/>
      </w:pPr>
      <w:r>
        <w:rPr>
          <w:rStyle w:val="FootnoteReference"/>
        </w:rPr>
        <w:footnoteRef/>
      </w:r>
      <w:r>
        <w:t xml:space="preserve"> See: </w:t>
      </w:r>
      <w:r w:rsidRPr="002945F6">
        <w:t>https://www.curebraincancer.org.au/page/8/facts-stats</w:t>
      </w:r>
    </w:p>
  </w:footnote>
  <w:footnote w:id="157">
    <w:p w14:paraId="408E77F2" w14:textId="17C6D4D5" w:rsidR="00110FC6" w:rsidRDefault="00110FC6">
      <w:pPr>
        <w:pStyle w:val="FootnoteText"/>
      </w:pPr>
      <w:r>
        <w:rPr>
          <w:rStyle w:val="FootnoteReference"/>
        </w:rPr>
        <w:footnoteRef/>
      </w:r>
      <w:r>
        <w:t xml:space="preserve"> See: </w:t>
      </w:r>
      <w:r w:rsidRPr="00A408A8">
        <w:t>https://www.cancer.org.au/about-cancer/types-of-cancer/stomach-cancer.html</w:t>
      </w:r>
      <w:r>
        <w:t>.</w:t>
      </w:r>
    </w:p>
  </w:footnote>
  <w:footnote w:id="158">
    <w:p w14:paraId="0EE02BC8" w14:textId="77777777" w:rsidR="00110FC6" w:rsidRDefault="00110FC6" w:rsidP="009B1B93">
      <w:pPr>
        <w:pStyle w:val="FootnoteText"/>
      </w:pPr>
      <w:r>
        <w:rPr>
          <w:rStyle w:val="FootnoteReference"/>
        </w:rPr>
        <w:footnoteRef/>
      </w:r>
      <w:r>
        <w:t xml:space="preserve"> </w:t>
      </w:r>
      <w:r w:rsidRPr="00DB4495">
        <w:t>Milligan DW</w:t>
      </w:r>
      <w:r>
        <w:t xml:space="preserve"> 2008</w:t>
      </w:r>
      <w:r w:rsidRPr="00DB4495">
        <w:t>. Survival from adult leukaemia in England and Wales up to 2001. British Journal of Cancer</w:t>
      </w:r>
      <w:r>
        <w:t xml:space="preserve">. </w:t>
      </w:r>
      <w:r w:rsidRPr="00DB4495">
        <w:t>99: S119–20.</w:t>
      </w:r>
      <w:r>
        <w:t xml:space="preserve"> </w:t>
      </w:r>
    </w:p>
    <w:p w14:paraId="11C16AC3" w14:textId="071D6CB6" w:rsidR="00110FC6" w:rsidRDefault="00110FC6">
      <w:pPr>
        <w:pStyle w:val="FootnoteText"/>
      </w:pPr>
    </w:p>
  </w:footnote>
  <w:footnote w:id="159">
    <w:p w14:paraId="6BF70FBD" w14:textId="796FC8A0" w:rsidR="00110FC6" w:rsidRDefault="00110FC6">
      <w:pPr>
        <w:pStyle w:val="FootnoteText"/>
      </w:pPr>
      <w:r>
        <w:rPr>
          <w:rStyle w:val="FootnoteReference"/>
        </w:rPr>
        <w:footnoteRef/>
      </w:r>
      <w:r>
        <w:t xml:space="preserve"> See: </w:t>
      </w:r>
      <w:r w:rsidRPr="00160C1F">
        <w:t>https://ncci.canceraustralia.gov.au/outcomes/relative-survival-rate/5-year-relative-survival</w:t>
      </w:r>
    </w:p>
  </w:footnote>
  <w:footnote w:id="160">
    <w:p w14:paraId="11537A0C" w14:textId="7345D035" w:rsidR="00110FC6" w:rsidRDefault="00110FC6">
      <w:pPr>
        <w:pStyle w:val="FootnoteText"/>
      </w:pPr>
      <w:r>
        <w:rPr>
          <w:rStyle w:val="FootnoteReference"/>
        </w:rPr>
        <w:footnoteRef/>
      </w:r>
      <w:r>
        <w:t xml:space="preserve"> Ibid.</w:t>
      </w:r>
    </w:p>
  </w:footnote>
  <w:footnote w:id="161">
    <w:p w14:paraId="253BCA14" w14:textId="66C5E84D" w:rsidR="00110FC6" w:rsidRPr="00E44FE3" w:rsidRDefault="00110FC6" w:rsidP="0089551F">
      <w:pPr>
        <w:pStyle w:val="FootnoteText"/>
        <w:spacing w:before="0" w:after="0" w:line="240" w:lineRule="auto"/>
      </w:pPr>
      <w:r>
        <w:rPr>
          <w:rStyle w:val="FootnoteReference"/>
        </w:rPr>
        <w:footnoteRef/>
      </w:r>
      <w:r>
        <w:t xml:space="preserve"> </w:t>
      </w:r>
      <w:r w:rsidRPr="00E44FE3">
        <w:rPr>
          <w:lang w:val="en"/>
        </w:rPr>
        <w:t>Australian Institute of Health and Welfare 2017. Cancer in Australia 2017. Cancer series no.101.Cat. no. CAN 100. AIHW</w:t>
      </w:r>
      <w:r>
        <w:rPr>
          <w:lang w:val="en"/>
        </w:rPr>
        <w:t>, Canberra</w:t>
      </w:r>
      <w:r w:rsidRPr="00E44FE3">
        <w:rPr>
          <w:lang w:val="en"/>
        </w:rPr>
        <w:t>.</w:t>
      </w:r>
    </w:p>
  </w:footnote>
  <w:footnote w:id="162">
    <w:p w14:paraId="0023AEF0" w14:textId="30B7448B" w:rsidR="00110FC6" w:rsidRPr="00110802" w:rsidRDefault="00110FC6" w:rsidP="0089551F">
      <w:pPr>
        <w:pStyle w:val="FootnoteText"/>
        <w:spacing w:before="0" w:after="0" w:line="240" w:lineRule="auto"/>
      </w:pPr>
      <w:r w:rsidRPr="00110802">
        <w:rPr>
          <w:rStyle w:val="FootnoteReference"/>
        </w:rPr>
        <w:footnoteRef/>
      </w:r>
      <w:r w:rsidRPr="00110802">
        <w:t xml:space="preserve"> </w:t>
      </w:r>
      <w:r>
        <w:t xml:space="preserve">See: </w:t>
      </w:r>
      <w:r w:rsidRPr="00110802">
        <w:t>https://www.aihw.gov.au/getmedia/7c42913d-295f-4bc9-9c24-4e44eff4a04a/aihw-aus-221.pdf.aspx?inline=true</w:t>
      </w:r>
    </w:p>
  </w:footnote>
  <w:footnote w:id="163">
    <w:p w14:paraId="4416BC41" w14:textId="7FC29472" w:rsidR="00110FC6" w:rsidRPr="0089551F" w:rsidRDefault="00110FC6" w:rsidP="0089551F">
      <w:pPr>
        <w:ind w:left="-5"/>
        <w:rPr>
          <w:sz w:val="16"/>
          <w:szCs w:val="16"/>
        </w:rPr>
      </w:pPr>
      <w:r w:rsidRPr="00E44FE3">
        <w:rPr>
          <w:rStyle w:val="FootnoteReference"/>
          <w:rFonts w:cs="Arial"/>
          <w:sz w:val="16"/>
          <w:szCs w:val="16"/>
        </w:rPr>
        <w:footnoteRef/>
      </w:r>
      <w:r w:rsidRPr="00E44FE3">
        <w:rPr>
          <w:rFonts w:ascii="Arial" w:hAnsi="Arial" w:cs="Arial"/>
          <w:sz w:val="16"/>
          <w:szCs w:val="16"/>
        </w:rPr>
        <w:t xml:space="preserve"> </w:t>
      </w:r>
      <w:r w:rsidRPr="008D2B37">
        <w:rPr>
          <w:rFonts w:ascii="Arial" w:eastAsia="Arial" w:hAnsi="Arial" w:cs="Arial"/>
          <w:sz w:val="16"/>
          <w:szCs w:val="16"/>
        </w:rPr>
        <w:t>Australian Institute of Health and Welfare 2012. Cancer survival and prevalence in Australia: period estimates from 1982 to 2010. Cancer Series no. 69. Cat. no. CAN 65. AIHW</w:t>
      </w:r>
      <w:r>
        <w:rPr>
          <w:rFonts w:ascii="Arial" w:eastAsia="Arial" w:hAnsi="Arial" w:cs="Arial"/>
          <w:sz w:val="16"/>
          <w:szCs w:val="16"/>
        </w:rPr>
        <w:t>, Canberra</w:t>
      </w:r>
      <w:r w:rsidRPr="008D2B37">
        <w:rPr>
          <w:rFonts w:ascii="Arial" w:eastAsia="Arial" w:hAnsi="Arial" w:cs="Arial"/>
          <w:sz w:val="16"/>
          <w:szCs w:val="16"/>
        </w:rPr>
        <w:t xml:space="preserve">. </w:t>
      </w:r>
    </w:p>
  </w:footnote>
  <w:footnote w:id="164">
    <w:p w14:paraId="52395E1E" w14:textId="79A4025E" w:rsidR="00110FC6" w:rsidRDefault="00110FC6" w:rsidP="0089551F">
      <w:pPr>
        <w:pStyle w:val="FootnoteText"/>
        <w:spacing w:before="0" w:after="0" w:line="240" w:lineRule="auto"/>
      </w:pPr>
      <w:r>
        <w:rPr>
          <w:rStyle w:val="FootnoteReference"/>
        </w:rPr>
        <w:footnoteRef/>
      </w:r>
      <w:r>
        <w:t xml:space="preserve"> </w:t>
      </w:r>
      <w:r>
        <w:rPr>
          <w:color w:val="222222"/>
        </w:rPr>
        <w:t>Afshar N, English DR, Thursfield V, et al. 2018. Differences in cancer survival by sex: a population-based study using cancer registry data. Cancer Causes &amp; Control. Nov 1;29(11):1059-69.</w:t>
      </w:r>
    </w:p>
  </w:footnote>
  <w:footnote w:id="165">
    <w:p w14:paraId="73FAE89A" w14:textId="0F011E06" w:rsidR="00110FC6" w:rsidRDefault="00110FC6">
      <w:pPr>
        <w:pStyle w:val="FootnoteText"/>
      </w:pPr>
      <w:r>
        <w:rPr>
          <w:rStyle w:val="FootnoteReference"/>
        </w:rPr>
        <w:footnoteRef/>
      </w:r>
      <w:r>
        <w:t xml:space="preserve"> See: </w:t>
      </w:r>
      <w:r w:rsidRPr="00160C1F">
        <w:t>https://ncci.canceraustralia.gov.au/outcomes/relative-survival-rate/5-year-relative-survival</w:t>
      </w:r>
    </w:p>
  </w:footnote>
  <w:footnote w:id="166">
    <w:p w14:paraId="72B53205" w14:textId="0CD7ADE5" w:rsidR="00110FC6" w:rsidRDefault="00110FC6">
      <w:pPr>
        <w:pStyle w:val="FootnoteText"/>
      </w:pPr>
      <w:r>
        <w:rPr>
          <w:rStyle w:val="FootnoteReference"/>
        </w:rPr>
        <w:footnoteRef/>
      </w:r>
      <w:r>
        <w:t xml:space="preserve"> Cancer Australia. </w:t>
      </w:r>
      <w:r>
        <w:rPr>
          <w:color w:val="000000"/>
          <w:lang w:val="en"/>
        </w:rPr>
        <w:t xml:space="preserve">Lung cancer in Australia. Available from: </w:t>
      </w:r>
      <w:r w:rsidRPr="00021442">
        <w:rPr>
          <w:color w:val="000000"/>
          <w:lang w:val="en"/>
        </w:rPr>
        <w:t>https://lung-cancer.canceraustralia.gov.au/statistics</w:t>
      </w:r>
    </w:p>
  </w:footnote>
  <w:footnote w:id="167">
    <w:p w14:paraId="7BBA5DB8" w14:textId="196B4357" w:rsidR="00110FC6" w:rsidRDefault="00110FC6">
      <w:pPr>
        <w:pStyle w:val="FootnoteText"/>
      </w:pPr>
      <w:r>
        <w:rPr>
          <w:rStyle w:val="FootnoteReference"/>
        </w:rPr>
        <w:footnoteRef/>
      </w:r>
      <w:r>
        <w:t xml:space="preserve"> Ibid.</w:t>
      </w:r>
    </w:p>
  </w:footnote>
  <w:footnote w:id="168">
    <w:p w14:paraId="37AA5B26" w14:textId="07C76855" w:rsidR="00110FC6" w:rsidRDefault="00110FC6" w:rsidP="00D0407C">
      <w:pPr>
        <w:pStyle w:val="FootnoteText"/>
      </w:pPr>
      <w:r>
        <w:rPr>
          <w:rStyle w:val="FootnoteReference"/>
        </w:rPr>
        <w:footnoteRef/>
      </w:r>
      <w:r>
        <w:t xml:space="preserve"> Ibid.</w:t>
      </w:r>
    </w:p>
  </w:footnote>
  <w:footnote w:id="169">
    <w:p w14:paraId="1D778BA9" w14:textId="1647165F" w:rsidR="00110FC6" w:rsidRDefault="00110FC6" w:rsidP="00466489">
      <w:pPr>
        <w:pStyle w:val="FootnoteText"/>
      </w:pPr>
      <w:r>
        <w:rPr>
          <w:rStyle w:val="FootnoteReference"/>
        </w:rPr>
        <w:footnoteRef/>
      </w:r>
      <w:r>
        <w:t xml:space="preserve"> Ibid.</w:t>
      </w:r>
    </w:p>
  </w:footnote>
  <w:footnote w:id="170">
    <w:p w14:paraId="41F97006" w14:textId="60E5D8D2" w:rsidR="00110FC6" w:rsidRPr="00D575DB" w:rsidRDefault="00110FC6" w:rsidP="00D97A16">
      <w:pPr>
        <w:pStyle w:val="FootnoteText"/>
      </w:pPr>
      <w:r>
        <w:rPr>
          <w:rStyle w:val="FootnoteReference"/>
        </w:rPr>
        <w:footnoteRef/>
      </w:r>
      <w:r>
        <w:t xml:space="preserve"> </w:t>
      </w:r>
      <w:r w:rsidRPr="00D575DB">
        <w:t>Australian Institute of Health and Welfare 2018. Colorectal and other digestive-tract cancers.</w:t>
      </w:r>
      <w:r>
        <w:t xml:space="preserve"> </w:t>
      </w:r>
      <w:r w:rsidRPr="00D575DB">
        <w:t>Cancer series no. 114. Cat. no. CAN 117. AIHW</w:t>
      </w:r>
      <w:r>
        <w:t>, Canberra</w:t>
      </w:r>
      <w:r w:rsidRPr="00D575DB">
        <w:t>.</w:t>
      </w:r>
    </w:p>
  </w:footnote>
  <w:footnote w:id="171">
    <w:p w14:paraId="0E35977B" w14:textId="1190FF6C" w:rsidR="00110FC6" w:rsidRDefault="00110FC6" w:rsidP="00F64CCE">
      <w:pPr>
        <w:pStyle w:val="FootnoteText"/>
      </w:pPr>
      <w:r>
        <w:rPr>
          <w:rStyle w:val="FootnoteReference"/>
        </w:rPr>
        <w:footnoteRef/>
      </w:r>
      <w:r>
        <w:t xml:space="preserve"> Ibid.</w:t>
      </w:r>
    </w:p>
  </w:footnote>
  <w:footnote w:id="172">
    <w:p w14:paraId="6B95CB9B" w14:textId="25A6969C" w:rsidR="00110FC6" w:rsidRDefault="00110FC6">
      <w:pPr>
        <w:pStyle w:val="FootnoteText"/>
      </w:pPr>
      <w:r>
        <w:rPr>
          <w:rStyle w:val="FootnoteReference"/>
        </w:rPr>
        <w:footnoteRef/>
      </w:r>
      <w:r>
        <w:t xml:space="preserve"> See: </w:t>
      </w:r>
      <w:r w:rsidRPr="00EA4B33">
        <w:t>https://ncci.canceraustralia.gov.au/outcomes/relative-survival-rate/5-year-relative-survival</w:t>
      </w:r>
    </w:p>
  </w:footnote>
  <w:footnote w:id="173">
    <w:p w14:paraId="39010F4B" w14:textId="4B1F516A" w:rsidR="00110FC6" w:rsidRDefault="00110FC6" w:rsidP="00CB5B7C">
      <w:pPr>
        <w:pStyle w:val="FootnoteText"/>
      </w:pPr>
      <w:r>
        <w:rPr>
          <w:rStyle w:val="FootnoteReference"/>
        </w:rPr>
        <w:footnoteRef/>
      </w:r>
      <w:r>
        <w:t xml:space="preserve"> Ibid.</w:t>
      </w:r>
    </w:p>
  </w:footnote>
  <w:footnote w:id="174">
    <w:p w14:paraId="097CD250" w14:textId="0799A77C" w:rsidR="00110FC6" w:rsidRDefault="00110FC6">
      <w:pPr>
        <w:pStyle w:val="FootnoteText"/>
      </w:pPr>
      <w:r>
        <w:rPr>
          <w:rStyle w:val="FootnoteReference"/>
        </w:rPr>
        <w:footnoteRef/>
      </w:r>
      <w:r>
        <w:t xml:space="preserve"> See: </w:t>
      </w:r>
      <w:r w:rsidRPr="00D80375">
        <w:t>https://www.cancer.org.au/about-cancer/types-of-cancer/oesophageal-cancer.html</w:t>
      </w:r>
      <w:r>
        <w:t>.</w:t>
      </w:r>
    </w:p>
  </w:footnote>
  <w:footnote w:id="175">
    <w:p w14:paraId="378209E3" w14:textId="0D5ED40F" w:rsidR="00110FC6" w:rsidRPr="00E8470B" w:rsidRDefault="00110FC6" w:rsidP="000374B9">
      <w:pPr>
        <w:pStyle w:val="FootnoteText"/>
      </w:pPr>
      <w:r w:rsidRPr="00E8470B">
        <w:rPr>
          <w:rStyle w:val="FootnoteReference"/>
        </w:rPr>
        <w:footnoteRef/>
      </w:r>
      <w:r w:rsidRPr="00E8470B">
        <w:t xml:space="preserve"> </w:t>
      </w:r>
      <w:r>
        <w:t>Australian Commission on Safety and Quality in Health Care. 2015. Vital signs 2015: The State of Safety and Quality in Australian Health Care. Sydney.</w:t>
      </w:r>
    </w:p>
  </w:footnote>
  <w:footnote w:id="176">
    <w:p w14:paraId="3FA9B09B" w14:textId="0291DCF4" w:rsidR="00110FC6" w:rsidRDefault="00110FC6" w:rsidP="00514D56">
      <w:pPr>
        <w:pStyle w:val="FootnoteText"/>
        <w:spacing w:before="0" w:after="0" w:line="240" w:lineRule="auto"/>
      </w:pPr>
      <w:r>
        <w:rPr>
          <w:rStyle w:val="FootnoteReference"/>
        </w:rPr>
        <w:footnoteRef/>
      </w:r>
      <w:r>
        <w:t xml:space="preserve"> Note that each dataset is reported two years later and relates to a two-calendar year period.</w:t>
      </w:r>
    </w:p>
  </w:footnote>
  <w:footnote w:id="177">
    <w:p w14:paraId="6BE9068B" w14:textId="77777777" w:rsidR="00110FC6" w:rsidRPr="00400315" w:rsidRDefault="00110FC6" w:rsidP="00514D56">
      <w:pPr>
        <w:pStyle w:val="FootnoteText"/>
        <w:spacing w:before="0" w:after="0" w:line="240" w:lineRule="auto"/>
      </w:pPr>
      <w:r w:rsidRPr="00400315">
        <w:rPr>
          <w:rStyle w:val="FootnoteReference"/>
        </w:rPr>
        <w:footnoteRef/>
      </w:r>
      <w:r w:rsidRPr="00400315">
        <w:t xml:space="preserve"> For example, it is anticipated that screening participation may increase due to invitations being issued to screen and the option for under-screened women to self-collect an HPV sample.</w:t>
      </w:r>
    </w:p>
  </w:footnote>
  <w:footnote w:id="178">
    <w:p w14:paraId="65ACF356" w14:textId="1D45A841" w:rsidR="00110FC6" w:rsidRPr="00400315" w:rsidRDefault="00110FC6" w:rsidP="00514D56">
      <w:pPr>
        <w:pStyle w:val="FootnoteText"/>
        <w:spacing w:before="0" w:after="0" w:line="240" w:lineRule="auto"/>
      </w:pPr>
      <w:r w:rsidRPr="00400315">
        <w:rPr>
          <w:rStyle w:val="FootnoteReference"/>
        </w:rPr>
        <w:footnoteRef/>
      </w:r>
      <w:r w:rsidRPr="00400315">
        <w:t xml:space="preserve"> After a first cervical screening test, a negative result requires rescreening five years later. Pap tests were recommended every two years.</w:t>
      </w:r>
    </w:p>
  </w:footnote>
  <w:footnote w:id="179">
    <w:p w14:paraId="3700195D" w14:textId="0008AD55" w:rsidR="00110FC6" w:rsidRPr="00400315" w:rsidRDefault="00110FC6" w:rsidP="00514D56">
      <w:pPr>
        <w:pStyle w:val="DHHSbody"/>
        <w:spacing w:after="0" w:line="240" w:lineRule="auto"/>
        <w:rPr>
          <w:sz w:val="16"/>
          <w:szCs w:val="16"/>
          <w:lang w:eastAsia="en-AU"/>
        </w:rPr>
      </w:pPr>
      <w:r w:rsidRPr="00400315">
        <w:rPr>
          <w:rStyle w:val="FootnoteReference"/>
        </w:rPr>
        <w:footnoteRef/>
      </w:r>
      <w:r w:rsidRPr="00400315">
        <w:t xml:space="preserve"> </w:t>
      </w:r>
      <w:r w:rsidRPr="00400315">
        <w:rPr>
          <w:sz w:val="16"/>
          <w:szCs w:val="16"/>
          <w:lang w:eastAsia="en-AU"/>
        </w:rPr>
        <w:t>Target age range is now 25–74 years, changed from 18–69 years.</w:t>
      </w:r>
    </w:p>
    <w:p w14:paraId="19D9C693" w14:textId="77777777" w:rsidR="00110FC6" w:rsidRPr="00400315" w:rsidRDefault="00110FC6" w:rsidP="00514D56">
      <w:pPr>
        <w:pStyle w:val="FootnoteText"/>
      </w:pPr>
    </w:p>
  </w:footnote>
  <w:footnote w:id="180">
    <w:p w14:paraId="52A3BB4F" w14:textId="788C0AE0" w:rsidR="00110FC6" w:rsidRDefault="00110FC6" w:rsidP="004F3934">
      <w:pPr>
        <w:pStyle w:val="FootnoteText"/>
        <w:spacing w:before="0" w:after="0" w:line="240" w:lineRule="auto"/>
      </w:pPr>
      <w:r>
        <w:rPr>
          <w:rStyle w:val="FootnoteReference"/>
        </w:rPr>
        <w:footnoteRef/>
      </w:r>
      <w:r>
        <w:t xml:space="preserve"> </w:t>
      </w:r>
      <w:r w:rsidRPr="00BB4E2E">
        <w:rPr>
          <w:color w:val="000000"/>
          <w:szCs w:val="20"/>
        </w:rPr>
        <w:t>The National Bowel Cancer Screening Program offers screening via a faecal occult blood test, sent in a kit to eligible age groups through the mail. Participants with a positive test result are advised to discuss the result with their general practitioner</w:t>
      </w:r>
      <w:r>
        <w:rPr>
          <w:color w:val="000000"/>
          <w:szCs w:val="20"/>
        </w:rPr>
        <w:t>,</w:t>
      </w:r>
      <w:r w:rsidRPr="00BB4E2E">
        <w:rPr>
          <w:color w:val="000000"/>
          <w:szCs w:val="20"/>
        </w:rPr>
        <w:t xml:space="preserve"> who will generally refer them for a colonoscopy</w:t>
      </w:r>
      <w:r>
        <w:rPr>
          <w:color w:val="000000"/>
          <w:szCs w:val="20"/>
        </w:rPr>
        <w:t xml:space="preserve">. </w:t>
      </w:r>
      <w:r w:rsidRPr="00DF6A71">
        <w:t xml:space="preserve">The </w:t>
      </w:r>
      <w:r>
        <w:t>p</w:t>
      </w:r>
      <w:r w:rsidRPr="00DF6A71">
        <w:t>rogram is operated by the Australian Department of Health</w:t>
      </w:r>
      <w:r>
        <w:t>, which</w:t>
      </w:r>
      <w:r w:rsidRPr="00DF6A71">
        <w:t xml:space="preserve"> is responsible for contracting the pathology provider, contracting the Program Register and </w:t>
      </w:r>
      <w:r w:rsidRPr="00BB4E2E">
        <w:rPr>
          <w:color w:val="000000"/>
          <w:szCs w:val="20"/>
        </w:rPr>
        <w:t>program</w:t>
      </w:r>
      <w:r w:rsidRPr="00DF6A71">
        <w:t xml:space="preserve"> policy, quality and evaluation.</w:t>
      </w:r>
    </w:p>
    <w:p w14:paraId="6E55B198" w14:textId="298EBBC3" w:rsidR="00110FC6" w:rsidRPr="00220971" w:rsidRDefault="00110FC6" w:rsidP="00521908">
      <w:pPr>
        <w:pStyle w:val="FootnoteText"/>
      </w:pPr>
      <w:r w:rsidRPr="00220971">
        <w:t xml:space="preserve">The Victorian Government undertakes a number of initiatives </w:t>
      </w:r>
      <w:r w:rsidRPr="00220971">
        <w:rPr>
          <w:color w:val="000000"/>
        </w:rPr>
        <w:t>to</w:t>
      </w:r>
      <w:r w:rsidRPr="00220971">
        <w:t xml:space="preserve"> support the </w:t>
      </w:r>
      <w:r>
        <w:t>p</w:t>
      </w:r>
      <w:r w:rsidRPr="00220971">
        <w:t>rogram’s Victorian implementation, including funding to support timely access to colonoscopies in public health services, delivering the Victorian Participant Follow-Up Function, undertaking research, supporting education and training for health professionals, and initiatives to improve community awareness, primary care engagement and participation in bowel cancer screening.</w:t>
      </w:r>
    </w:p>
    <w:p w14:paraId="688B03A3" w14:textId="77777777" w:rsidR="00110FC6" w:rsidRDefault="00110FC6" w:rsidP="00521908">
      <w:pPr>
        <w:pStyle w:val="FootnoteText"/>
      </w:pPr>
    </w:p>
  </w:footnote>
  <w:footnote w:id="181">
    <w:p w14:paraId="74158A08" w14:textId="01418BD9" w:rsidR="00110FC6" w:rsidRDefault="00110FC6" w:rsidP="00400315">
      <w:pPr>
        <w:pStyle w:val="FootnoteText"/>
      </w:pPr>
      <w:r>
        <w:rPr>
          <w:rStyle w:val="FootnoteReference"/>
        </w:rPr>
        <w:footnoteRef/>
      </w:r>
      <w:r>
        <w:t xml:space="preserve"> </w:t>
      </w:r>
      <w:r w:rsidRPr="00D14178">
        <w:t>It is important to note that this measure is limited to research specific to intervention clinical trials only.</w:t>
      </w:r>
      <w:r>
        <w:t xml:space="preserve"> </w:t>
      </w:r>
      <w:r w:rsidRPr="00D14178">
        <w:t>Hence, it does not include research relating to prevention, screening, supportive care or to basic science research not involving humans.</w:t>
      </w:r>
    </w:p>
  </w:footnote>
  <w:footnote w:id="182">
    <w:p w14:paraId="3DF82862" w14:textId="1E0D9424" w:rsidR="00110FC6" w:rsidRDefault="00110FC6">
      <w:pPr>
        <w:pStyle w:val="FootnoteText"/>
      </w:pPr>
      <w:r>
        <w:rPr>
          <w:rStyle w:val="FootnoteReference"/>
        </w:rPr>
        <w:footnoteRef/>
      </w:r>
      <w:r>
        <w:t xml:space="preserve"> See: </w:t>
      </w:r>
      <w:r w:rsidRPr="007536EA">
        <w:t>https://www.clintrial.org.au/media/kunena/attachments/143/CancerInstituteNSW-2016CancerControlinNSWAnnualPerformanceReport.PDF</w:t>
      </w:r>
    </w:p>
  </w:footnote>
  <w:footnote w:id="183">
    <w:p w14:paraId="61A7931E" w14:textId="2279B5EB" w:rsidR="00110FC6" w:rsidRDefault="00110FC6" w:rsidP="0055351E">
      <w:pPr>
        <w:pStyle w:val="FootnoteText"/>
      </w:pPr>
      <w:r>
        <w:rPr>
          <w:rStyle w:val="FootnoteReference"/>
        </w:rPr>
        <w:footnoteRef/>
      </w:r>
      <w:r>
        <w:t xml:space="preserve"> </w:t>
      </w:r>
      <w:r>
        <w:rPr>
          <w:color w:val="000000"/>
          <w:lang w:val="en"/>
        </w:rPr>
        <w:t>English RA, Lebovitz Y, Giffin RB, et al. 2010.</w:t>
      </w:r>
      <w:r w:rsidRPr="00676EB9">
        <w:rPr>
          <w:color w:val="000000"/>
          <w:lang w:val="en"/>
        </w:rPr>
        <w:t xml:space="preserve"> </w:t>
      </w:r>
      <w:r w:rsidRPr="00F505A5">
        <w:rPr>
          <w:color w:val="000000"/>
          <w:lang w:val="en"/>
        </w:rPr>
        <w:t>Transforming clinical research in the United States: Challenges and opportunities: workshop summary</w:t>
      </w:r>
      <w:r w:rsidRPr="00676EB9">
        <w:rPr>
          <w:color w:val="000000"/>
          <w:lang w:val="en"/>
        </w:rPr>
        <w:t>.</w:t>
      </w:r>
      <w:r>
        <w:rPr>
          <w:color w:val="000000"/>
          <w:lang w:val="en"/>
        </w:rPr>
        <w:t xml:space="preserve"> National Academies Press, Washington, DC.</w:t>
      </w:r>
    </w:p>
  </w:footnote>
  <w:footnote w:id="184">
    <w:p w14:paraId="41A6E6CC" w14:textId="1D1915CC" w:rsidR="00110FC6" w:rsidRDefault="00110FC6">
      <w:pPr>
        <w:pStyle w:val="FootnoteText"/>
      </w:pPr>
      <w:r>
        <w:rPr>
          <w:rStyle w:val="FootnoteReference"/>
        </w:rPr>
        <w:footnoteRef/>
      </w:r>
      <w:r>
        <w:t xml:space="preserve"> Currently this measure has been identified in the </w:t>
      </w:r>
      <w:r w:rsidRPr="003E68C0">
        <w:rPr>
          <w:i/>
          <w:iCs/>
        </w:rPr>
        <w:t>Data dictionary</w:t>
      </w:r>
      <w:r>
        <w:t xml:space="preserve"> (2018) as having ‘to be determined’.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121B6" w14:textId="77777777" w:rsidR="00110FC6" w:rsidRDefault="00110F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EAEAD" w14:textId="77777777" w:rsidR="00110FC6" w:rsidRDefault="00110F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5EED22" w14:textId="77777777" w:rsidR="00110FC6" w:rsidRDefault="00110FC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BA27AE" w14:textId="1F4E7DA5" w:rsidR="00110FC6" w:rsidRPr="0069374A" w:rsidRDefault="00110FC6" w:rsidP="007D133F">
    <w:pPr>
      <w:pStyle w:val="DHHSheader"/>
      <w:tabs>
        <w:tab w:val="clear" w:pos="9299"/>
        <w:tab w:val="center" w:pos="4649"/>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317B6B" w14:textId="2777055B" w:rsidR="00110FC6" w:rsidRDefault="00110FC6" w:rsidP="00E969B1">
    <w:pPr>
      <w:pStyle w:val="DHHS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068DE" w14:textId="756905D8" w:rsidR="00110FC6" w:rsidRDefault="00110FC6">
    <w:pPr>
      <w:pStyle w:val="Header"/>
    </w:pPr>
    <w:r>
      <w:rPr>
        <w:noProof/>
        <w:lang w:val="en-NZ" w:eastAsia="en-NZ"/>
      </w:rPr>
      <mc:AlternateContent>
        <mc:Choice Requires="wps">
          <w:drawing>
            <wp:anchor distT="0" distB="0" distL="114300" distR="114300" simplePos="0" relativeHeight="251658240" behindDoc="1" locked="0" layoutInCell="0" allowOverlap="1" wp14:anchorId="7D4EB20B" wp14:editId="49953ED8">
              <wp:simplePos x="0" y="0"/>
              <wp:positionH relativeFrom="margin">
                <wp:align>center</wp:align>
              </wp:positionH>
              <wp:positionV relativeFrom="margin">
                <wp:align>center</wp:align>
              </wp:positionV>
              <wp:extent cx="9648825" cy="685800"/>
              <wp:effectExtent l="0" t="3248025" r="0" b="3181350"/>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9648825" cy="6858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83DCAF" w14:textId="77777777" w:rsidR="00110FC6" w:rsidRDefault="00110FC6" w:rsidP="000668A2">
                          <w:pPr>
                            <w:jc w:val="center"/>
                            <w:rPr>
                              <w:sz w:val="24"/>
                              <w:szCs w:val="24"/>
                            </w:rPr>
                          </w:pPr>
                          <w:r>
                            <w:rPr>
                              <w:rFonts w:ascii="Arial" w:hAnsi="Arial" w:cs="Arial"/>
                              <w:color w:val="A6A6A6" w:themeColor="background1" w:themeShade="A6"/>
                              <w:sz w:val="96"/>
                              <w:szCs w:val="96"/>
                              <w14:textFill>
                                <w14:solidFill>
                                  <w14:schemeClr w14:val="bg1">
                                    <w14:alpha w14:val="50000"/>
                                    <w14:lumMod w14:val="65000"/>
                                  </w14:schemeClr>
                                </w14:solidFill>
                              </w14:textFill>
                            </w:rPr>
                            <w:t>DRAFT - NOT FOR CIRCULATION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4EB20B" id="_x0000_t202" coordsize="21600,21600" o:spt="202" path="m,l,21600r21600,l21600,xe">
              <v:stroke joinstyle="miter"/>
              <v:path gradientshapeok="t" o:connecttype="rect"/>
            </v:shapetype>
            <v:shape id="Text Box 349" o:spid="_x0000_s1030" type="#_x0000_t202" style="position:absolute;margin-left:0;margin-top:0;width:759.75pt;height:54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" o:allowincell="f" filled="f" stroked="f">
              <v:stroke joinstyle="round"/>
              <o:lock v:ext="edit" shapetype="t"/>
              <v:textbox style="mso-fit-shape-to-text:t">
                <w:txbxContent>
                  <w:p w14:paraId="2883DCAF" w14:textId="77777777" w:rsidR="00110FC6" w:rsidRDefault="00110FC6" w:rsidP="000668A2">
                    <w:pPr>
                      <w:jc w:val="center"/>
                      <w:rPr>
                        <w:sz w:val="24"/>
                        <w:szCs w:val="24"/>
                      </w:rPr>
                    </w:pPr>
                    <w:r>
                      <w:rPr>
                        <w:rFonts w:ascii="Arial" w:hAnsi="Arial" w:cs="Arial"/>
                        <w:color w:val="A6A6A6" w:themeColor="background1" w:themeShade="A6"/>
                        <w:sz w:val="96"/>
                        <w:szCs w:val="96"/>
                        <w14:textFill>
                          <w14:solidFill>
                            <w14:schemeClr w14:val="bg1">
                              <w14:alpha w14:val="50000"/>
                              <w14:lumMod w14:val="65000"/>
                            </w14:schemeClr>
                          </w14:solidFill>
                        </w14:textFill>
                      </w:rPr>
                      <w:t>DRAFT - NOT FOR CIRCULATION</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450B6"/>
    <w:multiLevelType w:val="hybridMultilevel"/>
    <w:tmpl w:val="DF3A4B10"/>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04D80273"/>
    <w:multiLevelType w:val="hybridMultilevel"/>
    <w:tmpl w:val="C5D29D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6A69B8"/>
    <w:multiLevelType w:val="hybridMultilevel"/>
    <w:tmpl w:val="762E22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8C6BAF"/>
    <w:multiLevelType w:val="hybridMultilevel"/>
    <w:tmpl w:val="CBC26C1E"/>
    <w:lvl w:ilvl="0" w:tplc="D00E64DE">
      <w:start w:val="5"/>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267F61"/>
    <w:multiLevelType w:val="hybridMultilevel"/>
    <w:tmpl w:val="2A72A162"/>
    <w:lvl w:ilvl="0" w:tplc="9994549A">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270B3F"/>
    <w:multiLevelType w:val="hybridMultilevel"/>
    <w:tmpl w:val="85E2D03C"/>
    <w:lvl w:ilvl="0" w:tplc="F80455A8">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7353C98"/>
    <w:multiLevelType w:val="hybridMultilevel"/>
    <w:tmpl w:val="ADDC7F10"/>
    <w:lvl w:ilvl="0" w:tplc="D796254E">
      <w:start w:val="1"/>
      <w:numFmt w:val="upperLetter"/>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7" w15:restartNumberingAfterBreak="0">
    <w:nsid w:val="12631230"/>
    <w:multiLevelType w:val="hybridMultilevel"/>
    <w:tmpl w:val="3B023900"/>
    <w:lvl w:ilvl="0" w:tplc="F9D4DF86">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15:restartNumberingAfterBreak="0">
    <w:nsid w:val="13305ED0"/>
    <w:multiLevelType w:val="hybridMultilevel"/>
    <w:tmpl w:val="327E95EC"/>
    <w:lvl w:ilvl="0" w:tplc="142AD5F2">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5726280"/>
    <w:multiLevelType w:val="hybridMultilevel"/>
    <w:tmpl w:val="EDA21FB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8EF5042"/>
    <w:multiLevelType w:val="hybridMultilevel"/>
    <w:tmpl w:val="503A1B1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1A321691"/>
    <w:multiLevelType w:val="hybridMultilevel"/>
    <w:tmpl w:val="194001AE"/>
    <w:lvl w:ilvl="0" w:tplc="F9D4DF86">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15:restartNumberingAfterBreak="0">
    <w:nsid w:val="22177C2B"/>
    <w:multiLevelType w:val="hybridMultilevel"/>
    <w:tmpl w:val="AA66C0A6"/>
    <w:lvl w:ilvl="0" w:tplc="093218CA">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5445A32"/>
    <w:multiLevelType w:val="hybridMultilevel"/>
    <w:tmpl w:val="7ECA7DE4"/>
    <w:lvl w:ilvl="0" w:tplc="0C090015">
      <w:start w:val="1"/>
      <w:numFmt w:val="upperLetter"/>
      <w:lvlText w:val="%1."/>
      <w:lvlJc w:val="left"/>
      <w:pPr>
        <w:ind w:left="2911"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57D778B"/>
    <w:multiLevelType w:val="hybridMultilevel"/>
    <w:tmpl w:val="FE164558"/>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BCD6CE42">
      <w:start w:val="1"/>
      <w:numFmt w:val="upperLetter"/>
      <w:lvlText w:val="%3."/>
      <w:lvlJc w:val="left"/>
      <w:pPr>
        <w:ind w:left="2700" w:hanging="360"/>
      </w:pPr>
      <w:rPr>
        <w:rFonts w:hint="default"/>
      </w:r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27EA7523"/>
    <w:multiLevelType w:val="hybridMultilevel"/>
    <w:tmpl w:val="282C68E2"/>
    <w:lvl w:ilvl="0" w:tplc="ED382AC0">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925184C"/>
    <w:multiLevelType w:val="hybridMultilevel"/>
    <w:tmpl w:val="4D844296"/>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29490176"/>
    <w:multiLevelType w:val="hybridMultilevel"/>
    <w:tmpl w:val="4D8C453C"/>
    <w:lvl w:ilvl="0" w:tplc="5B121A1E">
      <w:start w:val="5"/>
      <w:numFmt w:val="upp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9B9695F"/>
    <w:multiLevelType w:val="hybridMultilevel"/>
    <w:tmpl w:val="82DA5912"/>
    <w:lvl w:ilvl="0" w:tplc="16BA5842">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29BA73DE"/>
    <w:multiLevelType w:val="hybridMultilevel"/>
    <w:tmpl w:val="96E4484C"/>
    <w:lvl w:ilvl="0" w:tplc="FADA22A4">
      <w:start w:val="4"/>
      <w:numFmt w:val="upperLetter"/>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2F9B15E0"/>
    <w:multiLevelType w:val="hybridMultilevel"/>
    <w:tmpl w:val="DCD808A4"/>
    <w:lvl w:ilvl="0" w:tplc="A52297FE">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15:restartNumberingAfterBreak="0">
    <w:nsid w:val="2FE23B29"/>
    <w:multiLevelType w:val="hybridMultilevel"/>
    <w:tmpl w:val="6D607864"/>
    <w:lvl w:ilvl="0" w:tplc="093218CA">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21B7E51"/>
    <w:multiLevelType w:val="hybridMultilevel"/>
    <w:tmpl w:val="2050E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72373E7"/>
    <w:multiLevelType w:val="hybridMultilevel"/>
    <w:tmpl w:val="80B0848A"/>
    <w:lvl w:ilvl="0" w:tplc="88687150">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39037806"/>
    <w:multiLevelType w:val="hybridMultilevel"/>
    <w:tmpl w:val="DED04DEE"/>
    <w:lvl w:ilvl="0" w:tplc="1E644F1E">
      <w:start w:val="3"/>
      <w:numFmt w:val="upperLetter"/>
      <w:lvlText w:val="%1."/>
      <w:lvlJc w:val="left"/>
      <w:pPr>
        <w:ind w:left="720" w:hanging="360"/>
      </w:pPr>
      <w:rPr>
        <w:rFonts w:ascii="Arial Bold" w:hAnsi="Arial Bold" w:hint="default"/>
        <w:b/>
        <w:i w:val="0"/>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9CC035B"/>
    <w:multiLevelType w:val="hybridMultilevel"/>
    <w:tmpl w:val="F4226AA8"/>
    <w:lvl w:ilvl="0" w:tplc="63C01516">
      <w:start w:val="7"/>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9CC144A"/>
    <w:multiLevelType w:val="hybridMultilevel"/>
    <w:tmpl w:val="9D80D44E"/>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C4303A5"/>
    <w:multiLevelType w:val="multilevel"/>
    <w:tmpl w:val="4B4E7622"/>
    <w:styleLink w:val="ZZNumbers"/>
    <w:lvl w:ilvl="0">
      <w:start w:val="1"/>
      <w:numFmt w:val="decimal"/>
      <w:pStyle w:val="DHHSnumberdigit"/>
      <w:lvlText w:val="%1."/>
      <w:lvlJc w:val="left"/>
      <w:pPr>
        <w:tabs>
          <w:tab w:val="num" w:pos="397"/>
        </w:tabs>
        <w:ind w:left="397" w:hanging="397"/>
      </w:pPr>
      <w:rPr>
        <w:rFonts w:hint="default"/>
      </w:rPr>
    </w:lvl>
    <w:lvl w:ilvl="1">
      <w:start w:val="1"/>
      <w:numFmt w:val="decimal"/>
      <w:lvlRestart w:val="0"/>
      <w:pStyle w:val="DHHSnumberdigitindent"/>
      <w:lvlText w:val="%2."/>
      <w:lvlJc w:val="left"/>
      <w:pPr>
        <w:tabs>
          <w:tab w:val="num" w:pos="794"/>
        </w:tabs>
        <w:ind w:left="794" w:hanging="397"/>
      </w:pPr>
      <w:rPr>
        <w:rFonts w:hint="default"/>
      </w:rPr>
    </w:lvl>
    <w:lvl w:ilvl="2">
      <w:start w:val="1"/>
      <w:numFmt w:val="lowerLetter"/>
      <w:lvlRestart w:val="0"/>
      <w:pStyle w:val="DHHSnumberloweralpha"/>
      <w:lvlText w:val="(%3)"/>
      <w:lvlJc w:val="left"/>
      <w:pPr>
        <w:tabs>
          <w:tab w:val="num" w:pos="397"/>
        </w:tabs>
        <w:ind w:left="397" w:hanging="397"/>
      </w:pPr>
      <w:rPr>
        <w:rFonts w:hint="default"/>
      </w:rPr>
    </w:lvl>
    <w:lvl w:ilvl="3">
      <w:start w:val="1"/>
      <w:numFmt w:val="lowerLetter"/>
      <w:lvlRestart w:val="0"/>
      <w:pStyle w:val="DHHSnumberloweralphaindent"/>
      <w:lvlText w:val="(%4)"/>
      <w:lvlJc w:val="left"/>
      <w:pPr>
        <w:tabs>
          <w:tab w:val="num" w:pos="794"/>
        </w:tabs>
        <w:ind w:left="794" w:hanging="397"/>
      </w:pPr>
      <w:rPr>
        <w:rFonts w:hint="default"/>
      </w:rPr>
    </w:lvl>
    <w:lvl w:ilvl="4">
      <w:start w:val="1"/>
      <w:numFmt w:val="lowerRoman"/>
      <w:lvlRestart w:val="0"/>
      <w:pStyle w:val="DHHSnumberlowerroman"/>
      <w:lvlText w:val="(%5)"/>
      <w:lvlJc w:val="left"/>
      <w:pPr>
        <w:tabs>
          <w:tab w:val="num" w:pos="397"/>
        </w:tabs>
        <w:ind w:left="397" w:hanging="397"/>
      </w:pPr>
      <w:rPr>
        <w:rFonts w:hint="default"/>
      </w:rPr>
    </w:lvl>
    <w:lvl w:ilvl="5">
      <w:start w:val="1"/>
      <w:numFmt w:val="lowerRoman"/>
      <w:lvlRestart w:val="0"/>
      <w:pStyle w:val="DHHSnumberlowerromanindent"/>
      <w:lvlText w:val="(%6)"/>
      <w:lvlJc w:val="left"/>
      <w:pPr>
        <w:tabs>
          <w:tab w:val="num" w:pos="794"/>
        </w:tabs>
        <w:ind w:left="794" w:hanging="397"/>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28" w15:restartNumberingAfterBreak="0">
    <w:nsid w:val="3CCE725B"/>
    <w:multiLevelType w:val="singleLevel"/>
    <w:tmpl w:val="798A443C"/>
    <w:lvl w:ilvl="0">
      <w:start w:val="1"/>
      <w:numFmt w:val="decimal"/>
      <w:lvlText w:val="%1."/>
      <w:lvlJc w:val="left"/>
      <w:pPr>
        <w:ind w:left="720" w:hanging="360"/>
      </w:pPr>
      <w:rPr>
        <w:rFonts w:hint="default"/>
      </w:rPr>
    </w:lvl>
  </w:abstractNum>
  <w:abstractNum w:abstractNumId="29" w15:restartNumberingAfterBreak="0">
    <w:nsid w:val="45C2583B"/>
    <w:multiLevelType w:val="hybridMultilevel"/>
    <w:tmpl w:val="7FBE3BBC"/>
    <w:lvl w:ilvl="0" w:tplc="88687150">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0" w15:restartNumberingAfterBreak="0">
    <w:nsid w:val="48010536"/>
    <w:multiLevelType w:val="hybridMultilevel"/>
    <w:tmpl w:val="1396AD0A"/>
    <w:lvl w:ilvl="0" w:tplc="8DB28632">
      <w:start w:val="7"/>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8D718FF"/>
    <w:multiLevelType w:val="hybridMultilevel"/>
    <w:tmpl w:val="2F02B1AC"/>
    <w:lvl w:ilvl="0" w:tplc="88687150">
      <w:start w:val="5"/>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2" w15:restartNumberingAfterBreak="0">
    <w:nsid w:val="4B5E07EE"/>
    <w:multiLevelType w:val="hybridMultilevel"/>
    <w:tmpl w:val="E0CECBBC"/>
    <w:lvl w:ilvl="0" w:tplc="F550B392">
      <w:start w:val="7"/>
      <w:numFmt w:val="upp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CC96D75"/>
    <w:multiLevelType w:val="hybridMultilevel"/>
    <w:tmpl w:val="CC567EBA"/>
    <w:lvl w:ilvl="0" w:tplc="7BDC3DFE">
      <w:start w:val="5"/>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4" w15:restartNumberingAfterBreak="0">
    <w:nsid w:val="4E363794"/>
    <w:multiLevelType w:val="hybridMultilevel"/>
    <w:tmpl w:val="94BC8A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F257A71"/>
    <w:multiLevelType w:val="hybridMultilevel"/>
    <w:tmpl w:val="C2F856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FBD4D27"/>
    <w:multiLevelType w:val="hybridMultilevel"/>
    <w:tmpl w:val="87EE268A"/>
    <w:lvl w:ilvl="0" w:tplc="24AC4F04">
      <w:start w:val="6"/>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3B16F54"/>
    <w:multiLevelType w:val="hybridMultilevel"/>
    <w:tmpl w:val="61B6FEAC"/>
    <w:lvl w:ilvl="0" w:tplc="C16A88DA">
      <w:start w:val="4"/>
      <w:numFmt w:val="upperLetter"/>
      <w:lvlText w:val="%1."/>
      <w:lvlJc w:val="left"/>
      <w:pPr>
        <w:ind w:left="4754" w:hanging="360"/>
      </w:pPr>
      <w:rPr>
        <w:rFonts w:hint="default"/>
      </w:rPr>
    </w:lvl>
    <w:lvl w:ilvl="1" w:tplc="0C090019" w:tentative="1">
      <w:start w:val="1"/>
      <w:numFmt w:val="lowerLetter"/>
      <w:lvlText w:val="%2."/>
      <w:lvlJc w:val="left"/>
      <w:pPr>
        <w:ind w:left="3779" w:hanging="360"/>
      </w:pPr>
    </w:lvl>
    <w:lvl w:ilvl="2" w:tplc="0C09001B" w:tentative="1">
      <w:start w:val="1"/>
      <w:numFmt w:val="lowerRoman"/>
      <w:lvlText w:val="%3."/>
      <w:lvlJc w:val="right"/>
      <w:pPr>
        <w:ind w:left="4499" w:hanging="180"/>
      </w:pPr>
    </w:lvl>
    <w:lvl w:ilvl="3" w:tplc="0C09000F" w:tentative="1">
      <w:start w:val="1"/>
      <w:numFmt w:val="decimal"/>
      <w:lvlText w:val="%4."/>
      <w:lvlJc w:val="left"/>
      <w:pPr>
        <w:ind w:left="5219" w:hanging="360"/>
      </w:pPr>
    </w:lvl>
    <w:lvl w:ilvl="4" w:tplc="0C090019" w:tentative="1">
      <w:start w:val="1"/>
      <w:numFmt w:val="lowerLetter"/>
      <w:lvlText w:val="%5."/>
      <w:lvlJc w:val="left"/>
      <w:pPr>
        <w:ind w:left="5939" w:hanging="360"/>
      </w:pPr>
    </w:lvl>
    <w:lvl w:ilvl="5" w:tplc="0C09001B" w:tentative="1">
      <w:start w:val="1"/>
      <w:numFmt w:val="lowerRoman"/>
      <w:lvlText w:val="%6."/>
      <w:lvlJc w:val="right"/>
      <w:pPr>
        <w:ind w:left="6659" w:hanging="180"/>
      </w:pPr>
    </w:lvl>
    <w:lvl w:ilvl="6" w:tplc="0C09000F" w:tentative="1">
      <w:start w:val="1"/>
      <w:numFmt w:val="decimal"/>
      <w:lvlText w:val="%7."/>
      <w:lvlJc w:val="left"/>
      <w:pPr>
        <w:ind w:left="7379" w:hanging="360"/>
      </w:pPr>
    </w:lvl>
    <w:lvl w:ilvl="7" w:tplc="0C090019" w:tentative="1">
      <w:start w:val="1"/>
      <w:numFmt w:val="lowerLetter"/>
      <w:lvlText w:val="%8."/>
      <w:lvlJc w:val="left"/>
      <w:pPr>
        <w:ind w:left="8099" w:hanging="360"/>
      </w:pPr>
    </w:lvl>
    <w:lvl w:ilvl="8" w:tplc="0C09001B" w:tentative="1">
      <w:start w:val="1"/>
      <w:numFmt w:val="lowerRoman"/>
      <w:lvlText w:val="%9."/>
      <w:lvlJc w:val="right"/>
      <w:pPr>
        <w:ind w:left="8819" w:hanging="180"/>
      </w:pPr>
    </w:lvl>
  </w:abstractNum>
  <w:abstractNum w:abstractNumId="38" w15:restartNumberingAfterBreak="0">
    <w:nsid w:val="54BA1E5A"/>
    <w:multiLevelType w:val="multilevel"/>
    <w:tmpl w:val="82C2F15C"/>
    <w:styleLink w:val="ZZBullets"/>
    <w:lvl w:ilvl="0">
      <w:start w:val="1"/>
      <w:numFmt w:val="bullet"/>
      <w:pStyle w:val="DHHSbullet1"/>
      <w:lvlText w:val="•"/>
      <w:lvlJc w:val="left"/>
      <w:pPr>
        <w:ind w:left="284" w:hanging="284"/>
      </w:pPr>
      <w:rPr>
        <w:rFonts w:ascii="Calibri" w:hAnsi="Calibri" w:hint="default"/>
      </w:rPr>
    </w:lvl>
    <w:lvl w:ilvl="1">
      <w:start w:val="1"/>
      <w:numFmt w:val="bullet"/>
      <w:lvlRestart w:val="0"/>
      <w:pStyle w:val="DHHSbullet1lastline"/>
      <w:lvlText w:val="•"/>
      <w:lvlJc w:val="left"/>
      <w:pPr>
        <w:ind w:left="284" w:hanging="284"/>
      </w:pPr>
      <w:rPr>
        <w:rFonts w:ascii="Calibri" w:hAnsi="Calibri" w:hint="default"/>
      </w:rPr>
    </w:lvl>
    <w:lvl w:ilvl="2">
      <w:start w:val="1"/>
      <w:numFmt w:val="bullet"/>
      <w:lvlRestart w:val="0"/>
      <w:pStyle w:val="DHHSbullet2"/>
      <w:lvlText w:val="–"/>
      <w:lvlJc w:val="left"/>
      <w:pPr>
        <w:ind w:left="567" w:hanging="283"/>
      </w:pPr>
      <w:rPr>
        <w:rFonts w:ascii="Arial" w:hAnsi="Arial" w:hint="default"/>
      </w:rPr>
    </w:lvl>
    <w:lvl w:ilvl="3">
      <w:start w:val="1"/>
      <w:numFmt w:val="bullet"/>
      <w:lvlRestart w:val="0"/>
      <w:pStyle w:val="DHHSbullet2lastline"/>
      <w:lvlText w:val="–"/>
      <w:lvlJc w:val="left"/>
      <w:pPr>
        <w:ind w:left="567" w:hanging="283"/>
      </w:pPr>
      <w:rPr>
        <w:rFonts w:ascii="Arial" w:hAnsi="Arial" w:hint="default"/>
      </w:rPr>
    </w:lvl>
    <w:lvl w:ilvl="4">
      <w:start w:val="1"/>
      <w:numFmt w:val="bullet"/>
      <w:lvlRestart w:val="0"/>
      <w:pStyle w:val="DHHSbulletindent"/>
      <w:lvlText w:val="•"/>
      <w:lvlJc w:val="left"/>
      <w:pPr>
        <w:ind w:left="680" w:hanging="283"/>
      </w:pPr>
      <w:rPr>
        <w:rFonts w:ascii="Calibri" w:hAnsi="Calibri" w:hint="default"/>
      </w:rPr>
    </w:lvl>
    <w:lvl w:ilvl="5">
      <w:start w:val="1"/>
      <w:numFmt w:val="bullet"/>
      <w:lvlRestart w:val="0"/>
      <w:pStyle w:val="DHHSbulletindentlastline"/>
      <w:lvlText w:val="•"/>
      <w:lvlJc w:val="left"/>
      <w:pPr>
        <w:ind w:left="680" w:hanging="283"/>
      </w:pPr>
      <w:rPr>
        <w:rFonts w:ascii="Calibri" w:hAnsi="Calibri" w:hint="default"/>
      </w:rPr>
    </w:lvl>
    <w:lvl w:ilvl="6">
      <w:start w:val="1"/>
      <w:numFmt w:val="bullet"/>
      <w:lvlRestart w:val="0"/>
      <w:pStyle w:val="DHHStablebullet"/>
      <w:lvlText w:val="•"/>
      <w:lvlJc w:val="left"/>
      <w:pPr>
        <w:ind w:left="227" w:hanging="227"/>
      </w:pPr>
      <w:rPr>
        <w:rFonts w:ascii="Calibri" w:hAnsi="Calibri"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39" w15:restartNumberingAfterBreak="0">
    <w:nsid w:val="5581764A"/>
    <w:multiLevelType w:val="hybridMultilevel"/>
    <w:tmpl w:val="2D883914"/>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6151943"/>
    <w:multiLevelType w:val="hybridMultilevel"/>
    <w:tmpl w:val="9384DB3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1" w15:restartNumberingAfterBreak="0">
    <w:nsid w:val="568A390F"/>
    <w:multiLevelType w:val="hybridMultilevel"/>
    <w:tmpl w:val="93AEFFD2"/>
    <w:lvl w:ilvl="0" w:tplc="9EE2AD3C">
      <w:start w:val="2"/>
      <w:numFmt w:val="upperLetter"/>
      <w:lvlText w:val="%1."/>
      <w:lvlJc w:val="left"/>
      <w:pPr>
        <w:ind w:left="5322" w:hanging="360"/>
      </w:pPr>
      <w:rPr>
        <w:rFonts w:ascii="Arial Bold" w:hAnsi="Arial Bold" w:hint="default"/>
        <w:b/>
        <w:i w:val="0"/>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7005D9B"/>
    <w:multiLevelType w:val="hybridMultilevel"/>
    <w:tmpl w:val="074063AC"/>
    <w:lvl w:ilvl="0" w:tplc="51663814">
      <w:start w:val="4"/>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5B313F05"/>
    <w:multiLevelType w:val="hybridMultilevel"/>
    <w:tmpl w:val="2034AF2E"/>
    <w:lvl w:ilvl="0" w:tplc="DF24FA24">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5B773F74"/>
    <w:multiLevelType w:val="hybridMultilevel"/>
    <w:tmpl w:val="7C9627BA"/>
    <w:lvl w:ilvl="0" w:tplc="515A6F7C">
      <w:start w:val="1"/>
      <w:numFmt w:val="upperLetter"/>
      <w:lvlText w:val="%1."/>
      <w:lvlJc w:val="left"/>
      <w:pPr>
        <w:ind w:left="928" w:hanging="360"/>
      </w:pPr>
      <w:rPr>
        <w:rFonts w:ascii="Arial Bold" w:hAnsi="Arial Bold"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B9D514D"/>
    <w:multiLevelType w:val="hybridMultilevel"/>
    <w:tmpl w:val="DF6A7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0283589"/>
    <w:multiLevelType w:val="hybridMultilevel"/>
    <w:tmpl w:val="1B48DB28"/>
    <w:lvl w:ilvl="0" w:tplc="AF863334">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604C0F5C"/>
    <w:multiLevelType w:val="hybridMultilevel"/>
    <w:tmpl w:val="D870E5B2"/>
    <w:lvl w:ilvl="0" w:tplc="207462B8">
      <w:start w:val="3"/>
      <w:numFmt w:val="upperLetter"/>
      <w:lvlText w:val="%1."/>
      <w:lvlJc w:val="left"/>
      <w:pPr>
        <w:ind w:left="270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66F6337C"/>
    <w:multiLevelType w:val="hybridMultilevel"/>
    <w:tmpl w:val="3702A5AA"/>
    <w:lvl w:ilvl="0" w:tplc="A52297FE">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9" w15:restartNumberingAfterBreak="0">
    <w:nsid w:val="6E2A0394"/>
    <w:multiLevelType w:val="hybridMultilevel"/>
    <w:tmpl w:val="1DE8D146"/>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0" w15:restartNumberingAfterBreak="0">
    <w:nsid w:val="6E770EB9"/>
    <w:multiLevelType w:val="hybridMultilevel"/>
    <w:tmpl w:val="B690616E"/>
    <w:lvl w:ilvl="0" w:tplc="5DB08E48">
      <w:start w:val="2"/>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1" w15:restartNumberingAfterBreak="0">
    <w:nsid w:val="6FC536AF"/>
    <w:multiLevelType w:val="hybridMultilevel"/>
    <w:tmpl w:val="AA7609D8"/>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72B611D8"/>
    <w:multiLevelType w:val="hybridMultilevel"/>
    <w:tmpl w:val="8ED8596C"/>
    <w:lvl w:ilvl="0" w:tplc="FB64F7D0">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7435794A"/>
    <w:multiLevelType w:val="hybridMultilevel"/>
    <w:tmpl w:val="48DEDD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9904DBB"/>
    <w:multiLevelType w:val="hybridMultilevel"/>
    <w:tmpl w:val="30C43FE0"/>
    <w:lvl w:ilvl="0" w:tplc="E9F2A70A">
      <w:start w:val="1"/>
      <w:numFmt w:val="upperLetter"/>
      <w:lvlText w:val="%1."/>
      <w:lvlJc w:val="left"/>
      <w:pPr>
        <w:ind w:left="720" w:hanging="360"/>
      </w:pPr>
      <w:rPr>
        <w:rFonts w:ascii="Arial Bold" w:hAnsi="Arial Bold"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79E51CDC"/>
    <w:multiLevelType w:val="hybridMultilevel"/>
    <w:tmpl w:val="22D804DC"/>
    <w:lvl w:ilvl="0" w:tplc="B7ACE0CE">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7A3D3AFC"/>
    <w:multiLevelType w:val="hybridMultilevel"/>
    <w:tmpl w:val="7F740EE6"/>
    <w:lvl w:ilvl="0" w:tplc="4B300028">
      <w:start w:val="1"/>
      <w:numFmt w:val="bullet"/>
      <w:lvlText w:val="•"/>
      <w:lvlJc w:val="left"/>
      <w:pPr>
        <w:ind w:left="284" w:hanging="284"/>
      </w:pPr>
      <w:rPr>
        <w:rFonts w:ascii="Times New Roman" w:hAnsi="Times New Roman" w:hint="default"/>
        <w:b w:val="0"/>
        <w:i w:val="0"/>
        <w:color w:val="auto"/>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pStyle w:val="DHHStablebulletinden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ABF40C9"/>
    <w:multiLevelType w:val="hybridMultilevel"/>
    <w:tmpl w:val="4CCEE526"/>
    <w:lvl w:ilvl="0" w:tplc="D64CAD04">
      <w:start w:val="5"/>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8" w15:restartNumberingAfterBreak="0">
    <w:nsid w:val="7DA462D9"/>
    <w:multiLevelType w:val="hybridMultilevel"/>
    <w:tmpl w:val="5868DE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7DD9359E"/>
    <w:multiLevelType w:val="hybridMultilevel"/>
    <w:tmpl w:val="7F52122A"/>
    <w:lvl w:ilvl="0" w:tplc="76087196">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7E0265F8"/>
    <w:multiLevelType w:val="hybridMultilevel"/>
    <w:tmpl w:val="3926BEC6"/>
    <w:lvl w:ilvl="0" w:tplc="7F84480A">
      <w:start w:val="3"/>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38"/>
  </w:num>
  <w:num w:numId="2">
    <w:abstractNumId w:val="27"/>
  </w:num>
  <w:num w:numId="3">
    <w:abstractNumId w:val="13"/>
  </w:num>
  <w:num w:numId="4">
    <w:abstractNumId w:val="24"/>
  </w:num>
  <w:num w:numId="5">
    <w:abstractNumId w:val="5"/>
  </w:num>
  <w:num w:numId="6">
    <w:abstractNumId w:val="21"/>
  </w:num>
  <w:num w:numId="7">
    <w:abstractNumId w:val="12"/>
  </w:num>
  <w:num w:numId="8">
    <w:abstractNumId w:val="54"/>
  </w:num>
  <w:num w:numId="9">
    <w:abstractNumId w:val="41"/>
  </w:num>
  <w:num w:numId="10">
    <w:abstractNumId w:val="17"/>
  </w:num>
  <w:num w:numId="11">
    <w:abstractNumId w:val="32"/>
  </w:num>
  <w:num w:numId="12">
    <w:abstractNumId w:val="49"/>
  </w:num>
  <w:num w:numId="13">
    <w:abstractNumId w:val="19"/>
  </w:num>
  <w:num w:numId="14">
    <w:abstractNumId w:val="20"/>
  </w:num>
  <w:num w:numId="15">
    <w:abstractNumId w:val="48"/>
  </w:num>
  <w:num w:numId="16">
    <w:abstractNumId w:val="31"/>
  </w:num>
  <w:num w:numId="17">
    <w:abstractNumId w:val="23"/>
  </w:num>
  <w:num w:numId="18">
    <w:abstractNumId w:val="29"/>
  </w:num>
  <w:num w:numId="19">
    <w:abstractNumId w:val="50"/>
  </w:num>
  <w:num w:numId="20">
    <w:abstractNumId w:val="33"/>
  </w:num>
  <w:num w:numId="21">
    <w:abstractNumId w:val="7"/>
  </w:num>
  <w:num w:numId="22">
    <w:abstractNumId w:val="11"/>
  </w:num>
  <w:num w:numId="23">
    <w:abstractNumId w:val="60"/>
  </w:num>
  <w:num w:numId="24">
    <w:abstractNumId w:val="18"/>
  </w:num>
  <w:num w:numId="25">
    <w:abstractNumId w:val="57"/>
  </w:num>
  <w:num w:numId="26">
    <w:abstractNumId w:val="56"/>
  </w:num>
  <w:num w:numId="27">
    <w:abstractNumId w:val="14"/>
  </w:num>
  <w:num w:numId="28">
    <w:abstractNumId w:val="51"/>
  </w:num>
  <w:num w:numId="29">
    <w:abstractNumId w:val="9"/>
  </w:num>
  <w:num w:numId="30">
    <w:abstractNumId w:val="39"/>
  </w:num>
  <w:num w:numId="31">
    <w:abstractNumId w:val="37"/>
  </w:num>
  <w:num w:numId="32">
    <w:abstractNumId w:val="30"/>
  </w:num>
  <w:num w:numId="33">
    <w:abstractNumId w:val="8"/>
  </w:num>
  <w:num w:numId="34">
    <w:abstractNumId w:val="25"/>
  </w:num>
  <w:num w:numId="35">
    <w:abstractNumId w:val="3"/>
  </w:num>
  <w:num w:numId="36">
    <w:abstractNumId w:val="47"/>
  </w:num>
  <w:num w:numId="37">
    <w:abstractNumId w:val="6"/>
  </w:num>
  <w:num w:numId="38">
    <w:abstractNumId w:val="26"/>
  </w:num>
  <w:num w:numId="39">
    <w:abstractNumId w:val="44"/>
  </w:num>
  <w:num w:numId="40">
    <w:abstractNumId w:val="59"/>
  </w:num>
  <w:num w:numId="41">
    <w:abstractNumId w:val="52"/>
  </w:num>
  <w:num w:numId="42">
    <w:abstractNumId w:val="43"/>
  </w:num>
  <w:num w:numId="43">
    <w:abstractNumId w:val="46"/>
  </w:num>
  <w:num w:numId="44">
    <w:abstractNumId w:val="55"/>
  </w:num>
  <w:num w:numId="45">
    <w:abstractNumId w:val="42"/>
  </w:num>
  <w:num w:numId="46">
    <w:abstractNumId w:val="4"/>
  </w:num>
  <w:num w:numId="47">
    <w:abstractNumId w:val="36"/>
  </w:num>
  <w:num w:numId="48">
    <w:abstractNumId w:val="1"/>
  </w:num>
  <w:num w:numId="49">
    <w:abstractNumId w:val="45"/>
  </w:num>
  <w:num w:numId="50">
    <w:abstractNumId w:val="53"/>
  </w:num>
  <w:num w:numId="51">
    <w:abstractNumId w:val="58"/>
  </w:num>
  <w:num w:numId="52">
    <w:abstractNumId w:val="34"/>
  </w:num>
  <w:num w:numId="53">
    <w:abstractNumId w:val="16"/>
  </w:num>
  <w:num w:numId="54">
    <w:abstractNumId w:val="2"/>
  </w:num>
  <w:num w:numId="55">
    <w:abstractNumId w:val="40"/>
  </w:num>
  <w:num w:numId="56">
    <w:abstractNumId w:val="0"/>
  </w:num>
  <w:num w:numId="57">
    <w:abstractNumId w:val="10"/>
  </w:num>
  <w:num w:numId="58">
    <w:abstractNumId w:val="35"/>
  </w:num>
  <w:num w:numId="59">
    <w:abstractNumId w:val="15"/>
  </w:num>
  <w:num w:numId="60">
    <w:abstractNumId w:val="22"/>
  </w:num>
  <w:num w:numId="61">
    <w:abstractNumId w:val="27"/>
  </w:num>
  <w:num w:numId="62">
    <w:abstractNumId w:val="27"/>
    <w:lvlOverride w:ilvl="0">
      <w:startOverride w:val="4"/>
    </w:lvlOverride>
  </w:num>
  <w:num w:numId="63">
    <w:abstractNumId w:val="27"/>
    <w:lvlOverride w:ilvl="0">
      <w:startOverride w:val="15"/>
    </w:lvlOverride>
  </w:num>
  <w:num w:numId="64">
    <w:abstractNumId w:val="28"/>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mirrorMargins/>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drawingGridHorizontalSpacing w:val="181"/>
  <w:drawingGridVerticalSpacing w:val="181"/>
  <w:noPunctuationKerning/>
  <w:characterSpacingControl w:val="doNotCompress"/>
  <w:hdrShapeDefaults>
    <o:shapedefaults v:ext="edit" spidmax="75777" strokecolor="red">
      <v:stroke dashstyle="1 1" color="red" weight="1.25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7CA2"/>
    <w:rsid w:val="00000145"/>
    <w:rsid w:val="00000AFE"/>
    <w:rsid w:val="000010B0"/>
    <w:rsid w:val="00001803"/>
    <w:rsid w:val="00001DB4"/>
    <w:rsid w:val="000020B4"/>
    <w:rsid w:val="000023CE"/>
    <w:rsid w:val="00002990"/>
    <w:rsid w:val="00002B0A"/>
    <w:rsid w:val="00002DE3"/>
    <w:rsid w:val="00002F8A"/>
    <w:rsid w:val="00003C13"/>
    <w:rsid w:val="00003D2E"/>
    <w:rsid w:val="00003EEA"/>
    <w:rsid w:val="00003F72"/>
    <w:rsid w:val="000043F1"/>
    <w:rsid w:val="000044C4"/>
    <w:rsid w:val="000045E0"/>
    <w:rsid w:val="000048AC"/>
    <w:rsid w:val="00005270"/>
    <w:rsid w:val="0000529A"/>
    <w:rsid w:val="00005B40"/>
    <w:rsid w:val="00005DF2"/>
    <w:rsid w:val="00006337"/>
    <w:rsid w:val="00006389"/>
    <w:rsid w:val="0000642A"/>
    <w:rsid w:val="0000647E"/>
    <w:rsid w:val="000064C8"/>
    <w:rsid w:val="0000669D"/>
    <w:rsid w:val="00006F11"/>
    <w:rsid w:val="00007297"/>
    <w:rsid w:val="000075DA"/>
    <w:rsid w:val="0000761E"/>
    <w:rsid w:val="00007714"/>
    <w:rsid w:val="000077F5"/>
    <w:rsid w:val="00007E4B"/>
    <w:rsid w:val="00007EAB"/>
    <w:rsid w:val="0001046D"/>
    <w:rsid w:val="00010B88"/>
    <w:rsid w:val="00010D6D"/>
    <w:rsid w:val="0001118F"/>
    <w:rsid w:val="0001176F"/>
    <w:rsid w:val="00011A20"/>
    <w:rsid w:val="0001203C"/>
    <w:rsid w:val="000120C4"/>
    <w:rsid w:val="0001258D"/>
    <w:rsid w:val="0001268B"/>
    <w:rsid w:val="0001276D"/>
    <w:rsid w:val="00012BD5"/>
    <w:rsid w:val="00012C9D"/>
    <w:rsid w:val="00012F34"/>
    <w:rsid w:val="000137BB"/>
    <w:rsid w:val="000141D6"/>
    <w:rsid w:val="0001449F"/>
    <w:rsid w:val="00014551"/>
    <w:rsid w:val="00014807"/>
    <w:rsid w:val="00014A8F"/>
    <w:rsid w:val="00014FC4"/>
    <w:rsid w:val="000156A9"/>
    <w:rsid w:val="00015902"/>
    <w:rsid w:val="00015980"/>
    <w:rsid w:val="0001598F"/>
    <w:rsid w:val="00016061"/>
    <w:rsid w:val="0001606C"/>
    <w:rsid w:val="000171B6"/>
    <w:rsid w:val="0001726E"/>
    <w:rsid w:val="0002001B"/>
    <w:rsid w:val="00020068"/>
    <w:rsid w:val="000203A9"/>
    <w:rsid w:val="0002086A"/>
    <w:rsid w:val="00020AAB"/>
    <w:rsid w:val="00020DA5"/>
    <w:rsid w:val="00021442"/>
    <w:rsid w:val="00021687"/>
    <w:rsid w:val="00021882"/>
    <w:rsid w:val="00021AC6"/>
    <w:rsid w:val="00021DF0"/>
    <w:rsid w:val="000221F1"/>
    <w:rsid w:val="000223A4"/>
    <w:rsid w:val="0002267E"/>
    <w:rsid w:val="00022E60"/>
    <w:rsid w:val="00022F12"/>
    <w:rsid w:val="00023006"/>
    <w:rsid w:val="000235E5"/>
    <w:rsid w:val="00023893"/>
    <w:rsid w:val="00023A8D"/>
    <w:rsid w:val="00023F04"/>
    <w:rsid w:val="000243BF"/>
    <w:rsid w:val="000256BC"/>
    <w:rsid w:val="00026018"/>
    <w:rsid w:val="0002609B"/>
    <w:rsid w:val="00026C19"/>
    <w:rsid w:val="00026C25"/>
    <w:rsid w:val="00026CF2"/>
    <w:rsid w:val="000303EC"/>
    <w:rsid w:val="00030441"/>
    <w:rsid w:val="000304CC"/>
    <w:rsid w:val="00030566"/>
    <w:rsid w:val="000305B1"/>
    <w:rsid w:val="00030769"/>
    <w:rsid w:val="00030858"/>
    <w:rsid w:val="00030871"/>
    <w:rsid w:val="000308D7"/>
    <w:rsid w:val="00030FA4"/>
    <w:rsid w:val="00031263"/>
    <w:rsid w:val="00031306"/>
    <w:rsid w:val="0003161B"/>
    <w:rsid w:val="00031662"/>
    <w:rsid w:val="00031EF3"/>
    <w:rsid w:val="00032255"/>
    <w:rsid w:val="00032528"/>
    <w:rsid w:val="0003262B"/>
    <w:rsid w:val="00032AFE"/>
    <w:rsid w:val="00032DCB"/>
    <w:rsid w:val="00032EC2"/>
    <w:rsid w:val="00032FFA"/>
    <w:rsid w:val="0003369A"/>
    <w:rsid w:val="00033D08"/>
    <w:rsid w:val="00033E05"/>
    <w:rsid w:val="00033F86"/>
    <w:rsid w:val="00034774"/>
    <w:rsid w:val="00034E3E"/>
    <w:rsid w:val="00034FCF"/>
    <w:rsid w:val="00035168"/>
    <w:rsid w:val="000351B4"/>
    <w:rsid w:val="00035A52"/>
    <w:rsid w:val="00035EC2"/>
    <w:rsid w:val="00035ED0"/>
    <w:rsid w:val="000363A0"/>
    <w:rsid w:val="000364D9"/>
    <w:rsid w:val="00036AD7"/>
    <w:rsid w:val="000374B9"/>
    <w:rsid w:val="000374E0"/>
    <w:rsid w:val="0003766E"/>
    <w:rsid w:val="00037B79"/>
    <w:rsid w:val="00037BA4"/>
    <w:rsid w:val="0004014D"/>
    <w:rsid w:val="00040638"/>
    <w:rsid w:val="000409F4"/>
    <w:rsid w:val="00040A58"/>
    <w:rsid w:val="00040A98"/>
    <w:rsid w:val="00040C59"/>
    <w:rsid w:val="00040E97"/>
    <w:rsid w:val="00041A04"/>
    <w:rsid w:val="00041D59"/>
    <w:rsid w:val="00041F61"/>
    <w:rsid w:val="000420D4"/>
    <w:rsid w:val="0004297C"/>
    <w:rsid w:val="000434E1"/>
    <w:rsid w:val="000437D1"/>
    <w:rsid w:val="00043FC4"/>
    <w:rsid w:val="000444A1"/>
    <w:rsid w:val="00044B95"/>
    <w:rsid w:val="00044C6F"/>
    <w:rsid w:val="00044CCE"/>
    <w:rsid w:val="00044D48"/>
    <w:rsid w:val="000453BE"/>
    <w:rsid w:val="00045BDA"/>
    <w:rsid w:val="00045BF4"/>
    <w:rsid w:val="00045CED"/>
    <w:rsid w:val="00045D97"/>
    <w:rsid w:val="00046773"/>
    <w:rsid w:val="00046B55"/>
    <w:rsid w:val="00046C76"/>
    <w:rsid w:val="000472BF"/>
    <w:rsid w:val="00047715"/>
    <w:rsid w:val="00047FE2"/>
    <w:rsid w:val="000500ED"/>
    <w:rsid w:val="00050894"/>
    <w:rsid w:val="00050A5D"/>
    <w:rsid w:val="00050DDD"/>
    <w:rsid w:val="00050FFC"/>
    <w:rsid w:val="0005105F"/>
    <w:rsid w:val="0005127F"/>
    <w:rsid w:val="00051292"/>
    <w:rsid w:val="000517B8"/>
    <w:rsid w:val="00051D53"/>
    <w:rsid w:val="0005234A"/>
    <w:rsid w:val="000524D6"/>
    <w:rsid w:val="00052C99"/>
    <w:rsid w:val="00053042"/>
    <w:rsid w:val="000530A4"/>
    <w:rsid w:val="0005355F"/>
    <w:rsid w:val="00053C56"/>
    <w:rsid w:val="00053EA5"/>
    <w:rsid w:val="00054148"/>
    <w:rsid w:val="00054169"/>
    <w:rsid w:val="0005472E"/>
    <w:rsid w:val="0005485D"/>
    <w:rsid w:val="00054A74"/>
    <w:rsid w:val="00054C8B"/>
    <w:rsid w:val="00055272"/>
    <w:rsid w:val="00055784"/>
    <w:rsid w:val="00055846"/>
    <w:rsid w:val="00056105"/>
    <w:rsid w:val="000563A9"/>
    <w:rsid w:val="000564D2"/>
    <w:rsid w:val="00056DCB"/>
    <w:rsid w:val="00057063"/>
    <w:rsid w:val="00057AC2"/>
    <w:rsid w:val="00057ACE"/>
    <w:rsid w:val="00057E3B"/>
    <w:rsid w:val="00060131"/>
    <w:rsid w:val="000602C8"/>
    <w:rsid w:val="00060D02"/>
    <w:rsid w:val="00060D3A"/>
    <w:rsid w:val="00060E93"/>
    <w:rsid w:val="00060EBB"/>
    <w:rsid w:val="0006117E"/>
    <w:rsid w:val="000612B7"/>
    <w:rsid w:val="00061321"/>
    <w:rsid w:val="00061556"/>
    <w:rsid w:val="00061C75"/>
    <w:rsid w:val="000621AF"/>
    <w:rsid w:val="00062495"/>
    <w:rsid w:val="0006298E"/>
    <w:rsid w:val="000629C5"/>
    <w:rsid w:val="00062B22"/>
    <w:rsid w:val="00063A3A"/>
    <w:rsid w:val="00063AAF"/>
    <w:rsid w:val="00063F59"/>
    <w:rsid w:val="00064275"/>
    <w:rsid w:val="00064936"/>
    <w:rsid w:val="00064C5E"/>
    <w:rsid w:val="00064D18"/>
    <w:rsid w:val="000650FF"/>
    <w:rsid w:val="00065D2D"/>
    <w:rsid w:val="000660D0"/>
    <w:rsid w:val="000664F2"/>
    <w:rsid w:val="000666E7"/>
    <w:rsid w:val="000668A2"/>
    <w:rsid w:val="00066963"/>
    <w:rsid w:val="00066EC9"/>
    <w:rsid w:val="000671B2"/>
    <w:rsid w:val="000675AF"/>
    <w:rsid w:val="0006797C"/>
    <w:rsid w:val="00070018"/>
    <w:rsid w:val="0007013E"/>
    <w:rsid w:val="000702FC"/>
    <w:rsid w:val="00070496"/>
    <w:rsid w:val="0007079F"/>
    <w:rsid w:val="00070958"/>
    <w:rsid w:val="0007104F"/>
    <w:rsid w:val="000711F0"/>
    <w:rsid w:val="000712CB"/>
    <w:rsid w:val="00071C19"/>
    <w:rsid w:val="00071E04"/>
    <w:rsid w:val="00071ED1"/>
    <w:rsid w:val="0007204F"/>
    <w:rsid w:val="000729A2"/>
    <w:rsid w:val="00072A7D"/>
    <w:rsid w:val="00072ECF"/>
    <w:rsid w:val="00072F5E"/>
    <w:rsid w:val="000734F8"/>
    <w:rsid w:val="000736B8"/>
    <w:rsid w:val="00073722"/>
    <w:rsid w:val="00073A3B"/>
    <w:rsid w:val="00073EF2"/>
    <w:rsid w:val="00073F01"/>
    <w:rsid w:val="0007406C"/>
    <w:rsid w:val="000741D3"/>
    <w:rsid w:val="00074361"/>
    <w:rsid w:val="0007466C"/>
    <w:rsid w:val="00074A8D"/>
    <w:rsid w:val="00075064"/>
    <w:rsid w:val="000751FE"/>
    <w:rsid w:val="000752EB"/>
    <w:rsid w:val="00075528"/>
    <w:rsid w:val="00075922"/>
    <w:rsid w:val="000760F7"/>
    <w:rsid w:val="000763F2"/>
    <w:rsid w:val="000765DF"/>
    <w:rsid w:val="00076615"/>
    <w:rsid w:val="00076CBC"/>
    <w:rsid w:val="00077486"/>
    <w:rsid w:val="000776CD"/>
    <w:rsid w:val="00077C25"/>
    <w:rsid w:val="00077D9B"/>
    <w:rsid w:val="00077DF2"/>
    <w:rsid w:val="0008023D"/>
    <w:rsid w:val="000805D1"/>
    <w:rsid w:val="0008094A"/>
    <w:rsid w:val="00080A60"/>
    <w:rsid w:val="00080B5E"/>
    <w:rsid w:val="000811CE"/>
    <w:rsid w:val="00081375"/>
    <w:rsid w:val="000817CB"/>
    <w:rsid w:val="000817EC"/>
    <w:rsid w:val="00081B22"/>
    <w:rsid w:val="00081B7E"/>
    <w:rsid w:val="00082813"/>
    <w:rsid w:val="00082929"/>
    <w:rsid w:val="00082EB2"/>
    <w:rsid w:val="00082FB2"/>
    <w:rsid w:val="00083613"/>
    <w:rsid w:val="000836BA"/>
    <w:rsid w:val="000836FA"/>
    <w:rsid w:val="00083C98"/>
    <w:rsid w:val="00083EAB"/>
    <w:rsid w:val="00083EF6"/>
    <w:rsid w:val="000840C8"/>
    <w:rsid w:val="0008418F"/>
    <w:rsid w:val="0008428D"/>
    <w:rsid w:val="000843CA"/>
    <w:rsid w:val="000847BD"/>
    <w:rsid w:val="00084840"/>
    <w:rsid w:val="00084AC6"/>
    <w:rsid w:val="00084B5F"/>
    <w:rsid w:val="00084BF1"/>
    <w:rsid w:val="00084C89"/>
    <w:rsid w:val="00084CEA"/>
    <w:rsid w:val="0008542B"/>
    <w:rsid w:val="000858D8"/>
    <w:rsid w:val="00085959"/>
    <w:rsid w:val="00085B3B"/>
    <w:rsid w:val="0008604E"/>
    <w:rsid w:val="000863CA"/>
    <w:rsid w:val="00086691"/>
    <w:rsid w:val="000868D0"/>
    <w:rsid w:val="00086B8B"/>
    <w:rsid w:val="00086F82"/>
    <w:rsid w:val="000873EF"/>
    <w:rsid w:val="00087406"/>
    <w:rsid w:val="00087424"/>
    <w:rsid w:val="0008768D"/>
    <w:rsid w:val="0008788C"/>
    <w:rsid w:val="000879F5"/>
    <w:rsid w:val="00087AE7"/>
    <w:rsid w:val="00087E81"/>
    <w:rsid w:val="00087F40"/>
    <w:rsid w:val="000901C3"/>
    <w:rsid w:val="00090403"/>
    <w:rsid w:val="00090906"/>
    <w:rsid w:val="00090C8D"/>
    <w:rsid w:val="00090DCE"/>
    <w:rsid w:val="00090EEF"/>
    <w:rsid w:val="00091548"/>
    <w:rsid w:val="00091C86"/>
    <w:rsid w:val="00091D6E"/>
    <w:rsid w:val="00091D8F"/>
    <w:rsid w:val="00091DEE"/>
    <w:rsid w:val="00092501"/>
    <w:rsid w:val="0009269B"/>
    <w:rsid w:val="00092BC1"/>
    <w:rsid w:val="00092BF1"/>
    <w:rsid w:val="00092DFA"/>
    <w:rsid w:val="00093601"/>
    <w:rsid w:val="0009378C"/>
    <w:rsid w:val="000942B7"/>
    <w:rsid w:val="00094392"/>
    <w:rsid w:val="00094459"/>
    <w:rsid w:val="000944E6"/>
    <w:rsid w:val="0009470B"/>
    <w:rsid w:val="000948E8"/>
    <w:rsid w:val="00094928"/>
    <w:rsid w:val="00094A4B"/>
    <w:rsid w:val="00094A7D"/>
    <w:rsid w:val="00094EA9"/>
    <w:rsid w:val="0009530B"/>
    <w:rsid w:val="00095416"/>
    <w:rsid w:val="00095703"/>
    <w:rsid w:val="000959FB"/>
    <w:rsid w:val="00095A40"/>
    <w:rsid w:val="00095D71"/>
    <w:rsid w:val="00096152"/>
    <w:rsid w:val="00096213"/>
    <w:rsid w:val="00096778"/>
    <w:rsid w:val="00096952"/>
    <w:rsid w:val="00096A50"/>
    <w:rsid w:val="00096D46"/>
    <w:rsid w:val="00097043"/>
    <w:rsid w:val="00097085"/>
    <w:rsid w:val="000970D5"/>
    <w:rsid w:val="0009792F"/>
    <w:rsid w:val="00097CD6"/>
    <w:rsid w:val="00097DE4"/>
    <w:rsid w:val="000A00D9"/>
    <w:rsid w:val="000A02A5"/>
    <w:rsid w:val="000A0E66"/>
    <w:rsid w:val="000A0F8A"/>
    <w:rsid w:val="000A1331"/>
    <w:rsid w:val="000A1374"/>
    <w:rsid w:val="000A13BC"/>
    <w:rsid w:val="000A1419"/>
    <w:rsid w:val="000A14D0"/>
    <w:rsid w:val="000A14EB"/>
    <w:rsid w:val="000A16A9"/>
    <w:rsid w:val="000A1CEE"/>
    <w:rsid w:val="000A1F60"/>
    <w:rsid w:val="000A2164"/>
    <w:rsid w:val="000A231E"/>
    <w:rsid w:val="000A23B9"/>
    <w:rsid w:val="000A26F5"/>
    <w:rsid w:val="000A29D8"/>
    <w:rsid w:val="000A2E63"/>
    <w:rsid w:val="000A3605"/>
    <w:rsid w:val="000A37BC"/>
    <w:rsid w:val="000A3C47"/>
    <w:rsid w:val="000A3EC2"/>
    <w:rsid w:val="000A3F6A"/>
    <w:rsid w:val="000A3FA4"/>
    <w:rsid w:val="000A4534"/>
    <w:rsid w:val="000A4538"/>
    <w:rsid w:val="000A4C4E"/>
    <w:rsid w:val="000A59CD"/>
    <w:rsid w:val="000A7042"/>
    <w:rsid w:val="000A7270"/>
    <w:rsid w:val="000A7CF7"/>
    <w:rsid w:val="000B0283"/>
    <w:rsid w:val="000B03D6"/>
    <w:rsid w:val="000B05AA"/>
    <w:rsid w:val="000B07E5"/>
    <w:rsid w:val="000B0836"/>
    <w:rsid w:val="000B1472"/>
    <w:rsid w:val="000B14C2"/>
    <w:rsid w:val="000B16BB"/>
    <w:rsid w:val="000B1800"/>
    <w:rsid w:val="000B1825"/>
    <w:rsid w:val="000B1907"/>
    <w:rsid w:val="000B1E09"/>
    <w:rsid w:val="000B1E9E"/>
    <w:rsid w:val="000B2031"/>
    <w:rsid w:val="000B2341"/>
    <w:rsid w:val="000B260B"/>
    <w:rsid w:val="000B2A65"/>
    <w:rsid w:val="000B3032"/>
    <w:rsid w:val="000B3792"/>
    <w:rsid w:val="000B4004"/>
    <w:rsid w:val="000B44C5"/>
    <w:rsid w:val="000B4D2D"/>
    <w:rsid w:val="000B4DC2"/>
    <w:rsid w:val="000B5629"/>
    <w:rsid w:val="000B56A9"/>
    <w:rsid w:val="000B57B0"/>
    <w:rsid w:val="000B5F7D"/>
    <w:rsid w:val="000B6357"/>
    <w:rsid w:val="000B64EF"/>
    <w:rsid w:val="000B6886"/>
    <w:rsid w:val="000B6910"/>
    <w:rsid w:val="000B70A5"/>
    <w:rsid w:val="000B7662"/>
    <w:rsid w:val="000B7E29"/>
    <w:rsid w:val="000C0607"/>
    <w:rsid w:val="000C0958"/>
    <w:rsid w:val="000C0D69"/>
    <w:rsid w:val="000C1052"/>
    <w:rsid w:val="000C10A4"/>
    <w:rsid w:val="000C1451"/>
    <w:rsid w:val="000C1466"/>
    <w:rsid w:val="000C188D"/>
    <w:rsid w:val="000C1985"/>
    <w:rsid w:val="000C2043"/>
    <w:rsid w:val="000C2334"/>
    <w:rsid w:val="000C2505"/>
    <w:rsid w:val="000C2C40"/>
    <w:rsid w:val="000C2D93"/>
    <w:rsid w:val="000C2E9F"/>
    <w:rsid w:val="000C2F6F"/>
    <w:rsid w:val="000C33EB"/>
    <w:rsid w:val="000C3859"/>
    <w:rsid w:val="000C395B"/>
    <w:rsid w:val="000C3F2C"/>
    <w:rsid w:val="000C4075"/>
    <w:rsid w:val="000C4225"/>
    <w:rsid w:val="000C457C"/>
    <w:rsid w:val="000C468D"/>
    <w:rsid w:val="000C483D"/>
    <w:rsid w:val="000C4B9C"/>
    <w:rsid w:val="000C4D19"/>
    <w:rsid w:val="000C590B"/>
    <w:rsid w:val="000C5AEE"/>
    <w:rsid w:val="000C5AF3"/>
    <w:rsid w:val="000C5C5E"/>
    <w:rsid w:val="000C6242"/>
    <w:rsid w:val="000C63D4"/>
    <w:rsid w:val="000C655C"/>
    <w:rsid w:val="000C668A"/>
    <w:rsid w:val="000C68DB"/>
    <w:rsid w:val="000C6C7C"/>
    <w:rsid w:val="000C6CA7"/>
    <w:rsid w:val="000C6DC8"/>
    <w:rsid w:val="000C6F0C"/>
    <w:rsid w:val="000C6F25"/>
    <w:rsid w:val="000C716F"/>
    <w:rsid w:val="000C76AF"/>
    <w:rsid w:val="000C78CC"/>
    <w:rsid w:val="000D0262"/>
    <w:rsid w:val="000D02D3"/>
    <w:rsid w:val="000D0C6E"/>
    <w:rsid w:val="000D0E82"/>
    <w:rsid w:val="000D10A3"/>
    <w:rsid w:val="000D1680"/>
    <w:rsid w:val="000D1A38"/>
    <w:rsid w:val="000D23D4"/>
    <w:rsid w:val="000D26CA"/>
    <w:rsid w:val="000D29BC"/>
    <w:rsid w:val="000D2A8E"/>
    <w:rsid w:val="000D2B39"/>
    <w:rsid w:val="000D2C32"/>
    <w:rsid w:val="000D3B16"/>
    <w:rsid w:val="000D3EC8"/>
    <w:rsid w:val="000D46AF"/>
    <w:rsid w:val="000D478B"/>
    <w:rsid w:val="000D4808"/>
    <w:rsid w:val="000D4B35"/>
    <w:rsid w:val="000D4D11"/>
    <w:rsid w:val="000D5156"/>
    <w:rsid w:val="000D59AA"/>
    <w:rsid w:val="000D5A35"/>
    <w:rsid w:val="000D5A8A"/>
    <w:rsid w:val="000D6582"/>
    <w:rsid w:val="000D6900"/>
    <w:rsid w:val="000D6915"/>
    <w:rsid w:val="000D6B89"/>
    <w:rsid w:val="000D6BFC"/>
    <w:rsid w:val="000D6CB4"/>
    <w:rsid w:val="000D6D4B"/>
    <w:rsid w:val="000D6E12"/>
    <w:rsid w:val="000D6E35"/>
    <w:rsid w:val="000D713E"/>
    <w:rsid w:val="000D720B"/>
    <w:rsid w:val="000D79A4"/>
    <w:rsid w:val="000D7F80"/>
    <w:rsid w:val="000E06BB"/>
    <w:rsid w:val="000E0882"/>
    <w:rsid w:val="000E08B7"/>
    <w:rsid w:val="000E0925"/>
    <w:rsid w:val="000E096B"/>
    <w:rsid w:val="000E09DB"/>
    <w:rsid w:val="000E0C1C"/>
    <w:rsid w:val="000E130D"/>
    <w:rsid w:val="000E14CA"/>
    <w:rsid w:val="000E15D3"/>
    <w:rsid w:val="000E18F5"/>
    <w:rsid w:val="000E1959"/>
    <w:rsid w:val="000E1A87"/>
    <w:rsid w:val="000E2112"/>
    <w:rsid w:val="000E2681"/>
    <w:rsid w:val="000E2842"/>
    <w:rsid w:val="000E2B07"/>
    <w:rsid w:val="000E2E8A"/>
    <w:rsid w:val="000E2F83"/>
    <w:rsid w:val="000E2FB5"/>
    <w:rsid w:val="000E3280"/>
    <w:rsid w:val="000E3833"/>
    <w:rsid w:val="000E3852"/>
    <w:rsid w:val="000E3F97"/>
    <w:rsid w:val="000E427A"/>
    <w:rsid w:val="000E465C"/>
    <w:rsid w:val="000E4827"/>
    <w:rsid w:val="000E491D"/>
    <w:rsid w:val="000E501F"/>
    <w:rsid w:val="000E507A"/>
    <w:rsid w:val="000E50E9"/>
    <w:rsid w:val="000E574F"/>
    <w:rsid w:val="000E598B"/>
    <w:rsid w:val="000E6199"/>
    <w:rsid w:val="000E6681"/>
    <w:rsid w:val="000E6DBD"/>
    <w:rsid w:val="000E6F72"/>
    <w:rsid w:val="000E7186"/>
    <w:rsid w:val="000F0121"/>
    <w:rsid w:val="000F02E7"/>
    <w:rsid w:val="000F0326"/>
    <w:rsid w:val="000F0478"/>
    <w:rsid w:val="000F06E2"/>
    <w:rsid w:val="000F0890"/>
    <w:rsid w:val="000F0A50"/>
    <w:rsid w:val="000F1A1A"/>
    <w:rsid w:val="000F1D93"/>
    <w:rsid w:val="000F20C7"/>
    <w:rsid w:val="000F22EF"/>
    <w:rsid w:val="000F2601"/>
    <w:rsid w:val="000F2659"/>
    <w:rsid w:val="000F2CCB"/>
    <w:rsid w:val="000F33A3"/>
    <w:rsid w:val="000F33B5"/>
    <w:rsid w:val="000F35A4"/>
    <w:rsid w:val="000F38F0"/>
    <w:rsid w:val="000F3CCE"/>
    <w:rsid w:val="000F3EC0"/>
    <w:rsid w:val="000F42DB"/>
    <w:rsid w:val="000F467A"/>
    <w:rsid w:val="000F46BB"/>
    <w:rsid w:val="000F52F5"/>
    <w:rsid w:val="000F53B2"/>
    <w:rsid w:val="000F59D0"/>
    <w:rsid w:val="000F5DFE"/>
    <w:rsid w:val="000F627C"/>
    <w:rsid w:val="000F6400"/>
    <w:rsid w:val="000F6507"/>
    <w:rsid w:val="000F67AD"/>
    <w:rsid w:val="000F7818"/>
    <w:rsid w:val="000F78BF"/>
    <w:rsid w:val="000F7CF8"/>
    <w:rsid w:val="000F7D1E"/>
    <w:rsid w:val="0010091F"/>
    <w:rsid w:val="00100B26"/>
    <w:rsid w:val="00100EFC"/>
    <w:rsid w:val="001027F4"/>
    <w:rsid w:val="00102879"/>
    <w:rsid w:val="00103099"/>
    <w:rsid w:val="0010317F"/>
    <w:rsid w:val="001032F2"/>
    <w:rsid w:val="0010332B"/>
    <w:rsid w:val="00103595"/>
    <w:rsid w:val="00103A14"/>
    <w:rsid w:val="00103D5E"/>
    <w:rsid w:val="00103D87"/>
    <w:rsid w:val="00103F17"/>
    <w:rsid w:val="00103F37"/>
    <w:rsid w:val="00104043"/>
    <w:rsid w:val="00104832"/>
    <w:rsid w:val="00104B8F"/>
    <w:rsid w:val="00104EA7"/>
    <w:rsid w:val="00105791"/>
    <w:rsid w:val="0010585A"/>
    <w:rsid w:val="001058B1"/>
    <w:rsid w:val="00105DE1"/>
    <w:rsid w:val="00105F15"/>
    <w:rsid w:val="00105FAD"/>
    <w:rsid w:val="00106046"/>
    <w:rsid w:val="0010620A"/>
    <w:rsid w:val="0010632F"/>
    <w:rsid w:val="001065ED"/>
    <w:rsid w:val="00106C87"/>
    <w:rsid w:val="0010700D"/>
    <w:rsid w:val="001074A0"/>
    <w:rsid w:val="00107561"/>
    <w:rsid w:val="0010782E"/>
    <w:rsid w:val="00107A1C"/>
    <w:rsid w:val="00107E15"/>
    <w:rsid w:val="001104A4"/>
    <w:rsid w:val="001104D4"/>
    <w:rsid w:val="00110802"/>
    <w:rsid w:val="0011089F"/>
    <w:rsid w:val="00110AA9"/>
    <w:rsid w:val="00110B61"/>
    <w:rsid w:val="00110FC6"/>
    <w:rsid w:val="00111318"/>
    <w:rsid w:val="00111333"/>
    <w:rsid w:val="00111416"/>
    <w:rsid w:val="0011155B"/>
    <w:rsid w:val="00111615"/>
    <w:rsid w:val="00111969"/>
    <w:rsid w:val="00111A6A"/>
    <w:rsid w:val="00111FCF"/>
    <w:rsid w:val="001122EB"/>
    <w:rsid w:val="001124A7"/>
    <w:rsid w:val="00112A28"/>
    <w:rsid w:val="00112EAE"/>
    <w:rsid w:val="00113A48"/>
    <w:rsid w:val="00113DEB"/>
    <w:rsid w:val="00114099"/>
    <w:rsid w:val="00114124"/>
    <w:rsid w:val="00114CD8"/>
    <w:rsid w:val="001150F9"/>
    <w:rsid w:val="0011517D"/>
    <w:rsid w:val="00115497"/>
    <w:rsid w:val="001159C0"/>
    <w:rsid w:val="001161B8"/>
    <w:rsid w:val="001162EB"/>
    <w:rsid w:val="001165C0"/>
    <w:rsid w:val="001166F3"/>
    <w:rsid w:val="00116A1D"/>
    <w:rsid w:val="00116C63"/>
    <w:rsid w:val="00116F07"/>
    <w:rsid w:val="00117024"/>
    <w:rsid w:val="0011718E"/>
    <w:rsid w:val="0011721D"/>
    <w:rsid w:val="00117359"/>
    <w:rsid w:val="001175A7"/>
    <w:rsid w:val="00117CDC"/>
    <w:rsid w:val="001205F1"/>
    <w:rsid w:val="0012063F"/>
    <w:rsid w:val="00120F05"/>
    <w:rsid w:val="00121532"/>
    <w:rsid w:val="00121806"/>
    <w:rsid w:val="00121BF1"/>
    <w:rsid w:val="00121E82"/>
    <w:rsid w:val="00121EF1"/>
    <w:rsid w:val="001229BD"/>
    <w:rsid w:val="00122B20"/>
    <w:rsid w:val="00122CE4"/>
    <w:rsid w:val="00122D8D"/>
    <w:rsid w:val="0012318B"/>
    <w:rsid w:val="00123195"/>
    <w:rsid w:val="00123214"/>
    <w:rsid w:val="001233A9"/>
    <w:rsid w:val="001233BB"/>
    <w:rsid w:val="001234BE"/>
    <w:rsid w:val="00123DB0"/>
    <w:rsid w:val="001242C2"/>
    <w:rsid w:val="0012430F"/>
    <w:rsid w:val="00124708"/>
    <w:rsid w:val="00124BDE"/>
    <w:rsid w:val="0012533E"/>
    <w:rsid w:val="00125449"/>
    <w:rsid w:val="00125811"/>
    <w:rsid w:val="00125C73"/>
    <w:rsid w:val="00125F5A"/>
    <w:rsid w:val="0012609A"/>
    <w:rsid w:val="001263A2"/>
    <w:rsid w:val="00126782"/>
    <w:rsid w:val="001276D5"/>
    <w:rsid w:val="00127A78"/>
    <w:rsid w:val="00127A8B"/>
    <w:rsid w:val="00127C61"/>
    <w:rsid w:val="00130037"/>
    <w:rsid w:val="00130A87"/>
    <w:rsid w:val="00130F4C"/>
    <w:rsid w:val="0013151C"/>
    <w:rsid w:val="00131C2C"/>
    <w:rsid w:val="0013211D"/>
    <w:rsid w:val="00132632"/>
    <w:rsid w:val="0013283D"/>
    <w:rsid w:val="00132BC9"/>
    <w:rsid w:val="00133135"/>
    <w:rsid w:val="001332D7"/>
    <w:rsid w:val="00133980"/>
    <w:rsid w:val="00133EB3"/>
    <w:rsid w:val="001346BA"/>
    <w:rsid w:val="00134779"/>
    <w:rsid w:val="00134BE5"/>
    <w:rsid w:val="00134EE0"/>
    <w:rsid w:val="00134FEC"/>
    <w:rsid w:val="0013544F"/>
    <w:rsid w:val="00135898"/>
    <w:rsid w:val="00135A8F"/>
    <w:rsid w:val="00135CB6"/>
    <w:rsid w:val="00135D95"/>
    <w:rsid w:val="001362B4"/>
    <w:rsid w:val="00136923"/>
    <w:rsid w:val="00136A64"/>
    <w:rsid w:val="00136D74"/>
    <w:rsid w:val="001375DF"/>
    <w:rsid w:val="00137674"/>
    <w:rsid w:val="00137A53"/>
    <w:rsid w:val="00137DE9"/>
    <w:rsid w:val="00140282"/>
    <w:rsid w:val="00140949"/>
    <w:rsid w:val="00140B39"/>
    <w:rsid w:val="00141028"/>
    <w:rsid w:val="001410DA"/>
    <w:rsid w:val="001412D1"/>
    <w:rsid w:val="00141D41"/>
    <w:rsid w:val="00141DB3"/>
    <w:rsid w:val="00142364"/>
    <w:rsid w:val="001423E3"/>
    <w:rsid w:val="001425FE"/>
    <w:rsid w:val="0014328E"/>
    <w:rsid w:val="00143762"/>
    <w:rsid w:val="001438B6"/>
    <w:rsid w:val="00143AA5"/>
    <w:rsid w:val="00143D63"/>
    <w:rsid w:val="00143E3A"/>
    <w:rsid w:val="00144036"/>
    <w:rsid w:val="001440D7"/>
    <w:rsid w:val="00144413"/>
    <w:rsid w:val="001444D5"/>
    <w:rsid w:val="00144685"/>
    <w:rsid w:val="00144774"/>
    <w:rsid w:val="00144DB7"/>
    <w:rsid w:val="0014503D"/>
    <w:rsid w:val="001454CF"/>
    <w:rsid w:val="0014573E"/>
    <w:rsid w:val="00145EE8"/>
    <w:rsid w:val="0014605D"/>
    <w:rsid w:val="001465A8"/>
    <w:rsid w:val="00146CC8"/>
    <w:rsid w:val="001470DD"/>
    <w:rsid w:val="0014722B"/>
    <w:rsid w:val="001475B0"/>
    <w:rsid w:val="001475EA"/>
    <w:rsid w:val="001476BE"/>
    <w:rsid w:val="001477D2"/>
    <w:rsid w:val="00147C28"/>
    <w:rsid w:val="0015028D"/>
    <w:rsid w:val="001504F5"/>
    <w:rsid w:val="0015057E"/>
    <w:rsid w:val="00151343"/>
    <w:rsid w:val="001517BD"/>
    <w:rsid w:val="00152265"/>
    <w:rsid w:val="00152D30"/>
    <w:rsid w:val="00153172"/>
    <w:rsid w:val="0015373A"/>
    <w:rsid w:val="00153CCA"/>
    <w:rsid w:val="00153D18"/>
    <w:rsid w:val="00153D2F"/>
    <w:rsid w:val="0015403C"/>
    <w:rsid w:val="00154334"/>
    <w:rsid w:val="00154533"/>
    <w:rsid w:val="00154ED7"/>
    <w:rsid w:val="00154F9C"/>
    <w:rsid w:val="00155792"/>
    <w:rsid w:val="00156048"/>
    <w:rsid w:val="00156156"/>
    <w:rsid w:val="001563B2"/>
    <w:rsid w:val="001563F2"/>
    <w:rsid w:val="0015670E"/>
    <w:rsid w:val="00156751"/>
    <w:rsid w:val="00156827"/>
    <w:rsid w:val="00156DB0"/>
    <w:rsid w:val="0015706E"/>
    <w:rsid w:val="001577FE"/>
    <w:rsid w:val="0015788C"/>
    <w:rsid w:val="00157F27"/>
    <w:rsid w:val="00157FB8"/>
    <w:rsid w:val="00160602"/>
    <w:rsid w:val="00160750"/>
    <w:rsid w:val="00160874"/>
    <w:rsid w:val="00160C1F"/>
    <w:rsid w:val="00160CAC"/>
    <w:rsid w:val="00160F7A"/>
    <w:rsid w:val="001611A9"/>
    <w:rsid w:val="0016129F"/>
    <w:rsid w:val="00161899"/>
    <w:rsid w:val="00161F25"/>
    <w:rsid w:val="0016248F"/>
    <w:rsid w:val="00163029"/>
    <w:rsid w:val="001631CC"/>
    <w:rsid w:val="00163280"/>
    <w:rsid w:val="00163D8F"/>
    <w:rsid w:val="00163EEB"/>
    <w:rsid w:val="00164257"/>
    <w:rsid w:val="001647DC"/>
    <w:rsid w:val="00164B03"/>
    <w:rsid w:val="0016538D"/>
    <w:rsid w:val="00165441"/>
    <w:rsid w:val="0016552D"/>
    <w:rsid w:val="0016569F"/>
    <w:rsid w:val="00165DC1"/>
    <w:rsid w:val="00165E6D"/>
    <w:rsid w:val="00165F80"/>
    <w:rsid w:val="00166260"/>
    <w:rsid w:val="001662F0"/>
    <w:rsid w:val="0016639C"/>
    <w:rsid w:val="00166522"/>
    <w:rsid w:val="00166C30"/>
    <w:rsid w:val="00166CDB"/>
    <w:rsid w:val="00166E64"/>
    <w:rsid w:val="00167018"/>
    <w:rsid w:val="0016755F"/>
    <w:rsid w:val="00170304"/>
    <w:rsid w:val="00170972"/>
    <w:rsid w:val="001709D1"/>
    <w:rsid w:val="00170FBB"/>
    <w:rsid w:val="0017106B"/>
    <w:rsid w:val="00171158"/>
    <w:rsid w:val="00171324"/>
    <w:rsid w:val="001713AF"/>
    <w:rsid w:val="00171689"/>
    <w:rsid w:val="0017210B"/>
    <w:rsid w:val="00172114"/>
    <w:rsid w:val="00172399"/>
    <w:rsid w:val="0017248D"/>
    <w:rsid w:val="001725EE"/>
    <w:rsid w:val="00172AF2"/>
    <w:rsid w:val="00172E05"/>
    <w:rsid w:val="00172E68"/>
    <w:rsid w:val="0017304D"/>
    <w:rsid w:val="001731D1"/>
    <w:rsid w:val="001733AC"/>
    <w:rsid w:val="00173626"/>
    <w:rsid w:val="00173B0E"/>
    <w:rsid w:val="00173C6B"/>
    <w:rsid w:val="00173D10"/>
    <w:rsid w:val="00174469"/>
    <w:rsid w:val="00174ABC"/>
    <w:rsid w:val="00174C8A"/>
    <w:rsid w:val="00174D02"/>
    <w:rsid w:val="00174F09"/>
    <w:rsid w:val="001755BF"/>
    <w:rsid w:val="001759EA"/>
    <w:rsid w:val="00175CA5"/>
    <w:rsid w:val="00175D1C"/>
    <w:rsid w:val="0017614A"/>
    <w:rsid w:val="001768D5"/>
    <w:rsid w:val="00176AC9"/>
    <w:rsid w:val="00176EDB"/>
    <w:rsid w:val="00177037"/>
    <w:rsid w:val="00177578"/>
    <w:rsid w:val="0018009A"/>
    <w:rsid w:val="001802EB"/>
    <w:rsid w:val="0018035B"/>
    <w:rsid w:val="00180548"/>
    <w:rsid w:val="00180816"/>
    <w:rsid w:val="00181340"/>
    <w:rsid w:val="0018135C"/>
    <w:rsid w:val="001817CD"/>
    <w:rsid w:val="001818EC"/>
    <w:rsid w:val="00181C26"/>
    <w:rsid w:val="0018235E"/>
    <w:rsid w:val="00182491"/>
    <w:rsid w:val="001824D3"/>
    <w:rsid w:val="0018264E"/>
    <w:rsid w:val="001827D9"/>
    <w:rsid w:val="00182975"/>
    <w:rsid w:val="001829A6"/>
    <w:rsid w:val="00182E10"/>
    <w:rsid w:val="00182E9B"/>
    <w:rsid w:val="0018304E"/>
    <w:rsid w:val="001831CF"/>
    <w:rsid w:val="001837D6"/>
    <w:rsid w:val="001838D0"/>
    <w:rsid w:val="00183B00"/>
    <w:rsid w:val="00183E70"/>
    <w:rsid w:val="001842E9"/>
    <w:rsid w:val="001846C6"/>
    <w:rsid w:val="00184925"/>
    <w:rsid w:val="00184986"/>
    <w:rsid w:val="00184997"/>
    <w:rsid w:val="00184C7F"/>
    <w:rsid w:val="00184DE4"/>
    <w:rsid w:val="00184F0F"/>
    <w:rsid w:val="0018518E"/>
    <w:rsid w:val="00185482"/>
    <w:rsid w:val="00185523"/>
    <w:rsid w:val="001859BD"/>
    <w:rsid w:val="00185F4F"/>
    <w:rsid w:val="001863A9"/>
    <w:rsid w:val="0018654B"/>
    <w:rsid w:val="0018675E"/>
    <w:rsid w:val="00186FD9"/>
    <w:rsid w:val="0018768C"/>
    <w:rsid w:val="0018796E"/>
    <w:rsid w:val="0019005D"/>
    <w:rsid w:val="00190292"/>
    <w:rsid w:val="001908B7"/>
    <w:rsid w:val="00190E5A"/>
    <w:rsid w:val="00190FBF"/>
    <w:rsid w:val="00190FC7"/>
    <w:rsid w:val="0019172F"/>
    <w:rsid w:val="00191860"/>
    <w:rsid w:val="001919AC"/>
    <w:rsid w:val="00192BA0"/>
    <w:rsid w:val="00192D11"/>
    <w:rsid w:val="0019318B"/>
    <w:rsid w:val="001936B4"/>
    <w:rsid w:val="00193786"/>
    <w:rsid w:val="00193C20"/>
    <w:rsid w:val="00193E54"/>
    <w:rsid w:val="00193EDF"/>
    <w:rsid w:val="001940DA"/>
    <w:rsid w:val="00194231"/>
    <w:rsid w:val="00194931"/>
    <w:rsid w:val="00194FA0"/>
    <w:rsid w:val="0019568B"/>
    <w:rsid w:val="00196812"/>
    <w:rsid w:val="00196A19"/>
    <w:rsid w:val="00196CFA"/>
    <w:rsid w:val="00197303"/>
    <w:rsid w:val="0019730E"/>
    <w:rsid w:val="0019741C"/>
    <w:rsid w:val="001977CC"/>
    <w:rsid w:val="00197A29"/>
    <w:rsid w:val="00197B36"/>
    <w:rsid w:val="00197BA9"/>
    <w:rsid w:val="001A0103"/>
    <w:rsid w:val="001A0377"/>
    <w:rsid w:val="001A08DF"/>
    <w:rsid w:val="001A0A14"/>
    <w:rsid w:val="001A17B2"/>
    <w:rsid w:val="001A17EA"/>
    <w:rsid w:val="001A2081"/>
    <w:rsid w:val="001A20CD"/>
    <w:rsid w:val="001A22AA"/>
    <w:rsid w:val="001A2A05"/>
    <w:rsid w:val="001A2E70"/>
    <w:rsid w:val="001A37B6"/>
    <w:rsid w:val="001A3EE9"/>
    <w:rsid w:val="001A48DB"/>
    <w:rsid w:val="001A4DDB"/>
    <w:rsid w:val="001A5166"/>
    <w:rsid w:val="001A548F"/>
    <w:rsid w:val="001A555A"/>
    <w:rsid w:val="001A5CC8"/>
    <w:rsid w:val="001A60B7"/>
    <w:rsid w:val="001A61BA"/>
    <w:rsid w:val="001A63CE"/>
    <w:rsid w:val="001A6E4F"/>
    <w:rsid w:val="001A6F9C"/>
    <w:rsid w:val="001A7980"/>
    <w:rsid w:val="001A7A18"/>
    <w:rsid w:val="001A7CFC"/>
    <w:rsid w:val="001A7DD7"/>
    <w:rsid w:val="001A7EB7"/>
    <w:rsid w:val="001B00F7"/>
    <w:rsid w:val="001B03FD"/>
    <w:rsid w:val="001B0C8C"/>
    <w:rsid w:val="001B0F6E"/>
    <w:rsid w:val="001B1237"/>
    <w:rsid w:val="001B1248"/>
    <w:rsid w:val="001B1565"/>
    <w:rsid w:val="001B166D"/>
    <w:rsid w:val="001B1E27"/>
    <w:rsid w:val="001B2440"/>
    <w:rsid w:val="001B28B5"/>
    <w:rsid w:val="001B2975"/>
    <w:rsid w:val="001B297A"/>
    <w:rsid w:val="001B298C"/>
    <w:rsid w:val="001B2EA2"/>
    <w:rsid w:val="001B2F98"/>
    <w:rsid w:val="001B2FE5"/>
    <w:rsid w:val="001B32EC"/>
    <w:rsid w:val="001B37CF"/>
    <w:rsid w:val="001B41C3"/>
    <w:rsid w:val="001B4613"/>
    <w:rsid w:val="001B465B"/>
    <w:rsid w:val="001B49A1"/>
    <w:rsid w:val="001B4D1D"/>
    <w:rsid w:val="001B4F43"/>
    <w:rsid w:val="001B50BF"/>
    <w:rsid w:val="001B573C"/>
    <w:rsid w:val="001B5792"/>
    <w:rsid w:val="001B5858"/>
    <w:rsid w:val="001B634D"/>
    <w:rsid w:val="001B641B"/>
    <w:rsid w:val="001B6629"/>
    <w:rsid w:val="001B66DD"/>
    <w:rsid w:val="001B69BA"/>
    <w:rsid w:val="001B70D5"/>
    <w:rsid w:val="001B79DB"/>
    <w:rsid w:val="001B7C36"/>
    <w:rsid w:val="001C0198"/>
    <w:rsid w:val="001C04D2"/>
    <w:rsid w:val="001C0748"/>
    <w:rsid w:val="001C0E54"/>
    <w:rsid w:val="001C106C"/>
    <w:rsid w:val="001C122D"/>
    <w:rsid w:val="001C196C"/>
    <w:rsid w:val="001C1A14"/>
    <w:rsid w:val="001C1E0C"/>
    <w:rsid w:val="001C239B"/>
    <w:rsid w:val="001C23FB"/>
    <w:rsid w:val="001C2761"/>
    <w:rsid w:val="001C2FA3"/>
    <w:rsid w:val="001C366C"/>
    <w:rsid w:val="001C36E6"/>
    <w:rsid w:val="001C3996"/>
    <w:rsid w:val="001C3A98"/>
    <w:rsid w:val="001C3E1E"/>
    <w:rsid w:val="001C46B9"/>
    <w:rsid w:val="001C48DC"/>
    <w:rsid w:val="001C49C2"/>
    <w:rsid w:val="001C5005"/>
    <w:rsid w:val="001C527B"/>
    <w:rsid w:val="001C5B7A"/>
    <w:rsid w:val="001C5EC8"/>
    <w:rsid w:val="001C672C"/>
    <w:rsid w:val="001C7443"/>
    <w:rsid w:val="001C7617"/>
    <w:rsid w:val="001C78A1"/>
    <w:rsid w:val="001C7E71"/>
    <w:rsid w:val="001D038E"/>
    <w:rsid w:val="001D0B42"/>
    <w:rsid w:val="001D0B8B"/>
    <w:rsid w:val="001D0BDF"/>
    <w:rsid w:val="001D0FB8"/>
    <w:rsid w:val="001D12CA"/>
    <w:rsid w:val="001D1467"/>
    <w:rsid w:val="001D1605"/>
    <w:rsid w:val="001D1666"/>
    <w:rsid w:val="001D16F2"/>
    <w:rsid w:val="001D1768"/>
    <w:rsid w:val="001D25E0"/>
    <w:rsid w:val="001D26EC"/>
    <w:rsid w:val="001D2A82"/>
    <w:rsid w:val="001D2CA3"/>
    <w:rsid w:val="001D2F78"/>
    <w:rsid w:val="001D32D0"/>
    <w:rsid w:val="001D3330"/>
    <w:rsid w:val="001D35CE"/>
    <w:rsid w:val="001D393B"/>
    <w:rsid w:val="001D3A37"/>
    <w:rsid w:val="001D3FC9"/>
    <w:rsid w:val="001D4492"/>
    <w:rsid w:val="001D48DF"/>
    <w:rsid w:val="001D4982"/>
    <w:rsid w:val="001D4B45"/>
    <w:rsid w:val="001D548E"/>
    <w:rsid w:val="001D569B"/>
    <w:rsid w:val="001D5A02"/>
    <w:rsid w:val="001D5D92"/>
    <w:rsid w:val="001D6153"/>
    <w:rsid w:val="001D6230"/>
    <w:rsid w:val="001D6235"/>
    <w:rsid w:val="001D6632"/>
    <w:rsid w:val="001D6992"/>
    <w:rsid w:val="001D6A55"/>
    <w:rsid w:val="001D6BC6"/>
    <w:rsid w:val="001D71F2"/>
    <w:rsid w:val="001D73E2"/>
    <w:rsid w:val="001D74C0"/>
    <w:rsid w:val="001D7544"/>
    <w:rsid w:val="001D7730"/>
    <w:rsid w:val="001D7DF7"/>
    <w:rsid w:val="001D7F4D"/>
    <w:rsid w:val="001E059E"/>
    <w:rsid w:val="001E0EA3"/>
    <w:rsid w:val="001E151A"/>
    <w:rsid w:val="001E1827"/>
    <w:rsid w:val="001E1B5B"/>
    <w:rsid w:val="001E1DBD"/>
    <w:rsid w:val="001E1F58"/>
    <w:rsid w:val="001E2189"/>
    <w:rsid w:val="001E2585"/>
    <w:rsid w:val="001E2779"/>
    <w:rsid w:val="001E28CA"/>
    <w:rsid w:val="001E297F"/>
    <w:rsid w:val="001E2CFE"/>
    <w:rsid w:val="001E2FF3"/>
    <w:rsid w:val="001E38A7"/>
    <w:rsid w:val="001E3E37"/>
    <w:rsid w:val="001E3F72"/>
    <w:rsid w:val="001E4045"/>
    <w:rsid w:val="001E420B"/>
    <w:rsid w:val="001E4268"/>
    <w:rsid w:val="001E42D4"/>
    <w:rsid w:val="001E4600"/>
    <w:rsid w:val="001E4684"/>
    <w:rsid w:val="001E4995"/>
    <w:rsid w:val="001E4A60"/>
    <w:rsid w:val="001E4DC1"/>
    <w:rsid w:val="001E559E"/>
    <w:rsid w:val="001E5738"/>
    <w:rsid w:val="001E5B01"/>
    <w:rsid w:val="001E6097"/>
    <w:rsid w:val="001E64B6"/>
    <w:rsid w:val="001E6559"/>
    <w:rsid w:val="001E6651"/>
    <w:rsid w:val="001E670B"/>
    <w:rsid w:val="001E7083"/>
    <w:rsid w:val="001E72C2"/>
    <w:rsid w:val="001E730C"/>
    <w:rsid w:val="001E73C8"/>
    <w:rsid w:val="001E7A85"/>
    <w:rsid w:val="001F0076"/>
    <w:rsid w:val="001F03E2"/>
    <w:rsid w:val="001F0789"/>
    <w:rsid w:val="001F07D1"/>
    <w:rsid w:val="001F09DC"/>
    <w:rsid w:val="001F0A90"/>
    <w:rsid w:val="001F0F45"/>
    <w:rsid w:val="001F13DE"/>
    <w:rsid w:val="001F1EA2"/>
    <w:rsid w:val="001F2796"/>
    <w:rsid w:val="001F27C4"/>
    <w:rsid w:val="001F2931"/>
    <w:rsid w:val="001F378D"/>
    <w:rsid w:val="001F3DBA"/>
    <w:rsid w:val="001F43E6"/>
    <w:rsid w:val="001F481A"/>
    <w:rsid w:val="001F4CC3"/>
    <w:rsid w:val="001F4EB7"/>
    <w:rsid w:val="001F5326"/>
    <w:rsid w:val="001F5655"/>
    <w:rsid w:val="001F5BB6"/>
    <w:rsid w:val="001F5CED"/>
    <w:rsid w:val="001F5D0E"/>
    <w:rsid w:val="001F63F2"/>
    <w:rsid w:val="001F659E"/>
    <w:rsid w:val="001F6D34"/>
    <w:rsid w:val="001F7109"/>
    <w:rsid w:val="001F746B"/>
    <w:rsid w:val="001F74C6"/>
    <w:rsid w:val="001F750A"/>
    <w:rsid w:val="001F76CD"/>
    <w:rsid w:val="001F771E"/>
    <w:rsid w:val="001F783B"/>
    <w:rsid w:val="001F785D"/>
    <w:rsid w:val="001F789F"/>
    <w:rsid w:val="001F7B7B"/>
    <w:rsid w:val="001F7BE6"/>
    <w:rsid w:val="001F7F17"/>
    <w:rsid w:val="00200068"/>
    <w:rsid w:val="0020011E"/>
    <w:rsid w:val="00200384"/>
    <w:rsid w:val="00200587"/>
    <w:rsid w:val="0020074A"/>
    <w:rsid w:val="0020081C"/>
    <w:rsid w:val="002009A3"/>
    <w:rsid w:val="00200E86"/>
    <w:rsid w:val="00201047"/>
    <w:rsid w:val="002014FD"/>
    <w:rsid w:val="0020154F"/>
    <w:rsid w:val="00201743"/>
    <w:rsid w:val="00201A0D"/>
    <w:rsid w:val="00201ABE"/>
    <w:rsid w:val="00201CD8"/>
    <w:rsid w:val="002028D2"/>
    <w:rsid w:val="002028DB"/>
    <w:rsid w:val="00202D2C"/>
    <w:rsid w:val="00203020"/>
    <w:rsid w:val="00203100"/>
    <w:rsid w:val="00203122"/>
    <w:rsid w:val="00203193"/>
    <w:rsid w:val="00203210"/>
    <w:rsid w:val="002032E9"/>
    <w:rsid w:val="002038A2"/>
    <w:rsid w:val="00203B34"/>
    <w:rsid w:val="00203D63"/>
    <w:rsid w:val="00203EDE"/>
    <w:rsid w:val="002042EF"/>
    <w:rsid w:val="0020440A"/>
    <w:rsid w:val="00204469"/>
    <w:rsid w:val="00204CD5"/>
    <w:rsid w:val="002056DE"/>
    <w:rsid w:val="00205723"/>
    <w:rsid w:val="00205849"/>
    <w:rsid w:val="00205983"/>
    <w:rsid w:val="00205D23"/>
    <w:rsid w:val="002063B2"/>
    <w:rsid w:val="0020692D"/>
    <w:rsid w:val="002069B8"/>
    <w:rsid w:val="002069D4"/>
    <w:rsid w:val="00206E9F"/>
    <w:rsid w:val="0020710D"/>
    <w:rsid w:val="00207780"/>
    <w:rsid w:val="00207DCB"/>
    <w:rsid w:val="00207E24"/>
    <w:rsid w:val="00210051"/>
    <w:rsid w:val="0021019F"/>
    <w:rsid w:val="0021023F"/>
    <w:rsid w:val="00210343"/>
    <w:rsid w:val="002105B4"/>
    <w:rsid w:val="002106D3"/>
    <w:rsid w:val="00210914"/>
    <w:rsid w:val="0021137D"/>
    <w:rsid w:val="002117C8"/>
    <w:rsid w:val="00211A7E"/>
    <w:rsid w:val="00211A95"/>
    <w:rsid w:val="00211D54"/>
    <w:rsid w:val="00211E45"/>
    <w:rsid w:val="0021258B"/>
    <w:rsid w:val="00212AB3"/>
    <w:rsid w:val="00212B3F"/>
    <w:rsid w:val="00213772"/>
    <w:rsid w:val="002139F1"/>
    <w:rsid w:val="00213C62"/>
    <w:rsid w:val="00213D7F"/>
    <w:rsid w:val="00214247"/>
    <w:rsid w:val="00214454"/>
    <w:rsid w:val="00214CAA"/>
    <w:rsid w:val="00215280"/>
    <w:rsid w:val="00215497"/>
    <w:rsid w:val="00215602"/>
    <w:rsid w:val="00215790"/>
    <w:rsid w:val="0021594A"/>
    <w:rsid w:val="00215D8F"/>
    <w:rsid w:val="00215F0C"/>
    <w:rsid w:val="00216238"/>
    <w:rsid w:val="002162E8"/>
    <w:rsid w:val="00216341"/>
    <w:rsid w:val="0021650A"/>
    <w:rsid w:val="00216728"/>
    <w:rsid w:val="00216938"/>
    <w:rsid w:val="00216BFF"/>
    <w:rsid w:val="00216CCF"/>
    <w:rsid w:val="00216F79"/>
    <w:rsid w:val="00217095"/>
    <w:rsid w:val="002173BA"/>
    <w:rsid w:val="00217426"/>
    <w:rsid w:val="002178CC"/>
    <w:rsid w:val="00217B16"/>
    <w:rsid w:val="00217F28"/>
    <w:rsid w:val="0022026C"/>
    <w:rsid w:val="00220749"/>
    <w:rsid w:val="0022084E"/>
    <w:rsid w:val="00220971"/>
    <w:rsid w:val="00220A9B"/>
    <w:rsid w:val="00220D8C"/>
    <w:rsid w:val="00220DFB"/>
    <w:rsid w:val="00220F6B"/>
    <w:rsid w:val="00221080"/>
    <w:rsid w:val="0022133D"/>
    <w:rsid w:val="00221468"/>
    <w:rsid w:val="002216EE"/>
    <w:rsid w:val="002218C7"/>
    <w:rsid w:val="00221F87"/>
    <w:rsid w:val="00222245"/>
    <w:rsid w:val="00222342"/>
    <w:rsid w:val="00222435"/>
    <w:rsid w:val="0022245C"/>
    <w:rsid w:val="002224F7"/>
    <w:rsid w:val="002226C1"/>
    <w:rsid w:val="002239BB"/>
    <w:rsid w:val="00223D80"/>
    <w:rsid w:val="0022422C"/>
    <w:rsid w:val="00224728"/>
    <w:rsid w:val="00224734"/>
    <w:rsid w:val="00224B68"/>
    <w:rsid w:val="00224E0A"/>
    <w:rsid w:val="00224E46"/>
    <w:rsid w:val="00224E79"/>
    <w:rsid w:val="00225049"/>
    <w:rsid w:val="002257B5"/>
    <w:rsid w:val="00225E24"/>
    <w:rsid w:val="00225E28"/>
    <w:rsid w:val="0022610E"/>
    <w:rsid w:val="00226448"/>
    <w:rsid w:val="00226EB6"/>
    <w:rsid w:val="002271F4"/>
    <w:rsid w:val="002271FB"/>
    <w:rsid w:val="0022724E"/>
    <w:rsid w:val="0022786E"/>
    <w:rsid w:val="00227E82"/>
    <w:rsid w:val="002301E4"/>
    <w:rsid w:val="00230666"/>
    <w:rsid w:val="002309DC"/>
    <w:rsid w:val="00230CF1"/>
    <w:rsid w:val="00230F5E"/>
    <w:rsid w:val="00231153"/>
    <w:rsid w:val="002311CF"/>
    <w:rsid w:val="00231924"/>
    <w:rsid w:val="00231A1F"/>
    <w:rsid w:val="00231BB9"/>
    <w:rsid w:val="00231C2D"/>
    <w:rsid w:val="002321D7"/>
    <w:rsid w:val="002321F3"/>
    <w:rsid w:val="002323CF"/>
    <w:rsid w:val="00232454"/>
    <w:rsid w:val="0023252E"/>
    <w:rsid w:val="0023256C"/>
    <w:rsid w:val="002325A0"/>
    <w:rsid w:val="00233167"/>
    <w:rsid w:val="002333F6"/>
    <w:rsid w:val="002335BF"/>
    <w:rsid w:val="00233AB5"/>
    <w:rsid w:val="00233ED0"/>
    <w:rsid w:val="00234BC5"/>
    <w:rsid w:val="00234D77"/>
    <w:rsid w:val="00234F14"/>
    <w:rsid w:val="002350EC"/>
    <w:rsid w:val="002355FF"/>
    <w:rsid w:val="0023579D"/>
    <w:rsid w:val="0023604A"/>
    <w:rsid w:val="00236090"/>
    <w:rsid w:val="00236478"/>
    <w:rsid w:val="00236561"/>
    <w:rsid w:val="00236B39"/>
    <w:rsid w:val="00236B3E"/>
    <w:rsid w:val="0023736B"/>
    <w:rsid w:val="00237444"/>
    <w:rsid w:val="00237D90"/>
    <w:rsid w:val="002401DC"/>
    <w:rsid w:val="002402B6"/>
    <w:rsid w:val="0024079A"/>
    <w:rsid w:val="00240AD7"/>
    <w:rsid w:val="00240DD1"/>
    <w:rsid w:val="00241328"/>
    <w:rsid w:val="00241773"/>
    <w:rsid w:val="00241BD9"/>
    <w:rsid w:val="00241C31"/>
    <w:rsid w:val="00241D1E"/>
    <w:rsid w:val="00241FA8"/>
    <w:rsid w:val="002420AB"/>
    <w:rsid w:val="002426D7"/>
    <w:rsid w:val="0024290B"/>
    <w:rsid w:val="0024292D"/>
    <w:rsid w:val="00242DA9"/>
    <w:rsid w:val="00243356"/>
    <w:rsid w:val="00243831"/>
    <w:rsid w:val="00243BCB"/>
    <w:rsid w:val="00243D27"/>
    <w:rsid w:val="00243E9C"/>
    <w:rsid w:val="00244561"/>
    <w:rsid w:val="002447BB"/>
    <w:rsid w:val="002447E3"/>
    <w:rsid w:val="00244A5A"/>
    <w:rsid w:val="00245781"/>
    <w:rsid w:val="00245F54"/>
    <w:rsid w:val="00246533"/>
    <w:rsid w:val="002465BD"/>
    <w:rsid w:val="002469F6"/>
    <w:rsid w:val="00246BDF"/>
    <w:rsid w:val="00246D16"/>
    <w:rsid w:val="00247731"/>
    <w:rsid w:val="002478E4"/>
    <w:rsid w:val="00247BF7"/>
    <w:rsid w:val="00247D94"/>
    <w:rsid w:val="00247E13"/>
    <w:rsid w:val="00250113"/>
    <w:rsid w:val="0025061D"/>
    <w:rsid w:val="002506D5"/>
    <w:rsid w:val="00250729"/>
    <w:rsid w:val="0025072F"/>
    <w:rsid w:val="002507B8"/>
    <w:rsid w:val="00250AED"/>
    <w:rsid w:val="00250B15"/>
    <w:rsid w:val="00250B73"/>
    <w:rsid w:val="002517F7"/>
    <w:rsid w:val="00251A7A"/>
    <w:rsid w:val="00251E7C"/>
    <w:rsid w:val="002522DB"/>
    <w:rsid w:val="002523CC"/>
    <w:rsid w:val="0025274B"/>
    <w:rsid w:val="00252892"/>
    <w:rsid w:val="002528CF"/>
    <w:rsid w:val="00252B32"/>
    <w:rsid w:val="00252E58"/>
    <w:rsid w:val="0025343B"/>
    <w:rsid w:val="00253677"/>
    <w:rsid w:val="00253965"/>
    <w:rsid w:val="002539F6"/>
    <w:rsid w:val="00253ABF"/>
    <w:rsid w:val="00253F79"/>
    <w:rsid w:val="00253F89"/>
    <w:rsid w:val="00254188"/>
    <w:rsid w:val="002542D2"/>
    <w:rsid w:val="002542E7"/>
    <w:rsid w:val="00254613"/>
    <w:rsid w:val="002549DE"/>
    <w:rsid w:val="00254FA1"/>
    <w:rsid w:val="002552A1"/>
    <w:rsid w:val="002558E3"/>
    <w:rsid w:val="00255D0C"/>
    <w:rsid w:val="00255D7F"/>
    <w:rsid w:val="00255EA6"/>
    <w:rsid w:val="002563DA"/>
    <w:rsid w:val="002565FB"/>
    <w:rsid w:val="0025684B"/>
    <w:rsid w:val="00256A0B"/>
    <w:rsid w:val="00256A55"/>
    <w:rsid w:val="00257A40"/>
    <w:rsid w:val="00257B06"/>
    <w:rsid w:val="00257DE8"/>
    <w:rsid w:val="00257E75"/>
    <w:rsid w:val="00257F3A"/>
    <w:rsid w:val="00260135"/>
    <w:rsid w:val="00260221"/>
    <w:rsid w:val="00260916"/>
    <w:rsid w:val="002611AC"/>
    <w:rsid w:val="00261346"/>
    <w:rsid w:val="002613D6"/>
    <w:rsid w:val="002614E3"/>
    <w:rsid w:val="00261AAD"/>
    <w:rsid w:val="00261D7C"/>
    <w:rsid w:val="002626A6"/>
    <w:rsid w:val="002627CE"/>
    <w:rsid w:val="0026303F"/>
    <w:rsid w:val="00263552"/>
    <w:rsid w:val="00263ADC"/>
    <w:rsid w:val="002647B7"/>
    <w:rsid w:val="00264BB9"/>
    <w:rsid w:val="002650C3"/>
    <w:rsid w:val="00265BAB"/>
    <w:rsid w:val="00265CE0"/>
    <w:rsid w:val="0026629B"/>
    <w:rsid w:val="002664F4"/>
    <w:rsid w:val="002668C9"/>
    <w:rsid w:val="00266A30"/>
    <w:rsid w:val="00266A9F"/>
    <w:rsid w:val="00266C16"/>
    <w:rsid w:val="00266E82"/>
    <w:rsid w:val="00266EC2"/>
    <w:rsid w:val="002677DD"/>
    <w:rsid w:val="002679D5"/>
    <w:rsid w:val="00267ACD"/>
    <w:rsid w:val="002700E8"/>
    <w:rsid w:val="0027021A"/>
    <w:rsid w:val="00270951"/>
    <w:rsid w:val="00270C3E"/>
    <w:rsid w:val="002714EF"/>
    <w:rsid w:val="002714FD"/>
    <w:rsid w:val="002715C2"/>
    <w:rsid w:val="0027160E"/>
    <w:rsid w:val="00271690"/>
    <w:rsid w:val="00271ACF"/>
    <w:rsid w:val="00271CB6"/>
    <w:rsid w:val="00271D98"/>
    <w:rsid w:val="00271EA0"/>
    <w:rsid w:val="00271F80"/>
    <w:rsid w:val="00272C4F"/>
    <w:rsid w:val="00272C5B"/>
    <w:rsid w:val="00273997"/>
    <w:rsid w:val="00273D6F"/>
    <w:rsid w:val="002742C2"/>
    <w:rsid w:val="0027436E"/>
    <w:rsid w:val="002744F6"/>
    <w:rsid w:val="00274CDA"/>
    <w:rsid w:val="0027535C"/>
    <w:rsid w:val="002753D4"/>
    <w:rsid w:val="00275B25"/>
    <w:rsid w:val="00275DB3"/>
    <w:rsid w:val="00275ECC"/>
    <w:rsid w:val="00275F94"/>
    <w:rsid w:val="0027612E"/>
    <w:rsid w:val="00276720"/>
    <w:rsid w:val="00276764"/>
    <w:rsid w:val="00276C51"/>
    <w:rsid w:val="00276C8B"/>
    <w:rsid w:val="00277309"/>
    <w:rsid w:val="002773DE"/>
    <w:rsid w:val="00277747"/>
    <w:rsid w:val="00277D04"/>
    <w:rsid w:val="00281443"/>
    <w:rsid w:val="002814C6"/>
    <w:rsid w:val="00281B9C"/>
    <w:rsid w:val="00281C92"/>
    <w:rsid w:val="00281D3D"/>
    <w:rsid w:val="0028206C"/>
    <w:rsid w:val="002821C3"/>
    <w:rsid w:val="0028251D"/>
    <w:rsid w:val="002825B9"/>
    <w:rsid w:val="00282821"/>
    <w:rsid w:val="002829A1"/>
    <w:rsid w:val="00282E6D"/>
    <w:rsid w:val="00283003"/>
    <w:rsid w:val="0028366E"/>
    <w:rsid w:val="002840C5"/>
    <w:rsid w:val="0028433F"/>
    <w:rsid w:val="002847B8"/>
    <w:rsid w:val="00284C9B"/>
    <w:rsid w:val="00285ABC"/>
    <w:rsid w:val="00285D7C"/>
    <w:rsid w:val="00285E7D"/>
    <w:rsid w:val="00286191"/>
    <w:rsid w:val="0028681D"/>
    <w:rsid w:val="00286B20"/>
    <w:rsid w:val="00286BC7"/>
    <w:rsid w:val="00287003"/>
    <w:rsid w:val="0028702E"/>
    <w:rsid w:val="002877D6"/>
    <w:rsid w:val="002877F8"/>
    <w:rsid w:val="002878D0"/>
    <w:rsid w:val="00287A01"/>
    <w:rsid w:val="00287A8B"/>
    <w:rsid w:val="00287B86"/>
    <w:rsid w:val="00287C65"/>
    <w:rsid w:val="002900A0"/>
    <w:rsid w:val="002901EF"/>
    <w:rsid w:val="00290701"/>
    <w:rsid w:val="0029085C"/>
    <w:rsid w:val="0029087F"/>
    <w:rsid w:val="00290910"/>
    <w:rsid w:val="00290A1E"/>
    <w:rsid w:val="00290DAC"/>
    <w:rsid w:val="00291153"/>
    <w:rsid w:val="0029115D"/>
    <w:rsid w:val="0029123F"/>
    <w:rsid w:val="0029146A"/>
    <w:rsid w:val="002914E3"/>
    <w:rsid w:val="00291674"/>
    <w:rsid w:val="00291990"/>
    <w:rsid w:val="002919F1"/>
    <w:rsid w:val="00291C2A"/>
    <w:rsid w:val="00291D11"/>
    <w:rsid w:val="00291E24"/>
    <w:rsid w:val="002922EA"/>
    <w:rsid w:val="00292875"/>
    <w:rsid w:val="00292D29"/>
    <w:rsid w:val="00292FFE"/>
    <w:rsid w:val="002930D1"/>
    <w:rsid w:val="00293159"/>
    <w:rsid w:val="0029347E"/>
    <w:rsid w:val="002939B6"/>
    <w:rsid w:val="00293D06"/>
    <w:rsid w:val="002943D9"/>
    <w:rsid w:val="002944F6"/>
    <w:rsid w:val="002945F6"/>
    <w:rsid w:val="00294625"/>
    <w:rsid w:val="00294960"/>
    <w:rsid w:val="00294AD4"/>
    <w:rsid w:val="00294F08"/>
    <w:rsid w:val="00295402"/>
    <w:rsid w:val="0029574E"/>
    <w:rsid w:val="00295BF9"/>
    <w:rsid w:val="00295CAC"/>
    <w:rsid w:val="00295EA8"/>
    <w:rsid w:val="00296847"/>
    <w:rsid w:val="00296C82"/>
    <w:rsid w:val="00296CC1"/>
    <w:rsid w:val="00297031"/>
    <w:rsid w:val="00297A6A"/>
    <w:rsid w:val="00297CEA"/>
    <w:rsid w:val="00297D32"/>
    <w:rsid w:val="002A0183"/>
    <w:rsid w:val="002A01DA"/>
    <w:rsid w:val="002A0209"/>
    <w:rsid w:val="002A04B9"/>
    <w:rsid w:val="002A05E7"/>
    <w:rsid w:val="002A07D6"/>
    <w:rsid w:val="002A0979"/>
    <w:rsid w:val="002A0A49"/>
    <w:rsid w:val="002A0C12"/>
    <w:rsid w:val="002A11C4"/>
    <w:rsid w:val="002A141B"/>
    <w:rsid w:val="002A16B7"/>
    <w:rsid w:val="002A1E64"/>
    <w:rsid w:val="002A203A"/>
    <w:rsid w:val="002A26B6"/>
    <w:rsid w:val="002A298F"/>
    <w:rsid w:val="002A2CBF"/>
    <w:rsid w:val="002A2CDB"/>
    <w:rsid w:val="002A2DE5"/>
    <w:rsid w:val="002A2F3E"/>
    <w:rsid w:val="002A30C7"/>
    <w:rsid w:val="002A3187"/>
    <w:rsid w:val="002A31DF"/>
    <w:rsid w:val="002A325F"/>
    <w:rsid w:val="002A3B05"/>
    <w:rsid w:val="002A3B2F"/>
    <w:rsid w:val="002A3B6C"/>
    <w:rsid w:val="002A3E57"/>
    <w:rsid w:val="002A4108"/>
    <w:rsid w:val="002A4118"/>
    <w:rsid w:val="002A465D"/>
    <w:rsid w:val="002A4749"/>
    <w:rsid w:val="002A4985"/>
    <w:rsid w:val="002A542F"/>
    <w:rsid w:val="002A5B70"/>
    <w:rsid w:val="002A5C96"/>
    <w:rsid w:val="002A66B6"/>
    <w:rsid w:val="002A6890"/>
    <w:rsid w:val="002A6A4E"/>
    <w:rsid w:val="002A6B82"/>
    <w:rsid w:val="002A6F3D"/>
    <w:rsid w:val="002A7064"/>
    <w:rsid w:val="002A7392"/>
    <w:rsid w:val="002A7554"/>
    <w:rsid w:val="002A75F0"/>
    <w:rsid w:val="002A7654"/>
    <w:rsid w:val="002A769F"/>
    <w:rsid w:val="002A78D2"/>
    <w:rsid w:val="002A7C6A"/>
    <w:rsid w:val="002A7DC1"/>
    <w:rsid w:val="002A7E7F"/>
    <w:rsid w:val="002B025B"/>
    <w:rsid w:val="002B07A5"/>
    <w:rsid w:val="002B0958"/>
    <w:rsid w:val="002B0CEB"/>
    <w:rsid w:val="002B0EFF"/>
    <w:rsid w:val="002B101E"/>
    <w:rsid w:val="002B172D"/>
    <w:rsid w:val="002B1898"/>
    <w:rsid w:val="002B1931"/>
    <w:rsid w:val="002B1AA8"/>
    <w:rsid w:val="002B1B90"/>
    <w:rsid w:val="002B21BA"/>
    <w:rsid w:val="002B228B"/>
    <w:rsid w:val="002B2645"/>
    <w:rsid w:val="002B2797"/>
    <w:rsid w:val="002B2C8E"/>
    <w:rsid w:val="002B2D99"/>
    <w:rsid w:val="002B3108"/>
    <w:rsid w:val="002B32E3"/>
    <w:rsid w:val="002B33CB"/>
    <w:rsid w:val="002B372B"/>
    <w:rsid w:val="002B40A3"/>
    <w:rsid w:val="002B446D"/>
    <w:rsid w:val="002B5134"/>
    <w:rsid w:val="002B5312"/>
    <w:rsid w:val="002B599E"/>
    <w:rsid w:val="002B59C4"/>
    <w:rsid w:val="002B5A85"/>
    <w:rsid w:val="002B5C13"/>
    <w:rsid w:val="002B5D93"/>
    <w:rsid w:val="002B5F84"/>
    <w:rsid w:val="002B63A7"/>
    <w:rsid w:val="002B6945"/>
    <w:rsid w:val="002B6A3B"/>
    <w:rsid w:val="002B6C13"/>
    <w:rsid w:val="002B7010"/>
    <w:rsid w:val="002B76D1"/>
    <w:rsid w:val="002B78C1"/>
    <w:rsid w:val="002B7CD8"/>
    <w:rsid w:val="002B7E54"/>
    <w:rsid w:val="002B7EFB"/>
    <w:rsid w:val="002B7FBD"/>
    <w:rsid w:val="002C011A"/>
    <w:rsid w:val="002C0166"/>
    <w:rsid w:val="002C081B"/>
    <w:rsid w:val="002C0D82"/>
    <w:rsid w:val="002C0D9D"/>
    <w:rsid w:val="002C0F8D"/>
    <w:rsid w:val="002C1155"/>
    <w:rsid w:val="002C1892"/>
    <w:rsid w:val="002C1AA0"/>
    <w:rsid w:val="002C1BB4"/>
    <w:rsid w:val="002C21C8"/>
    <w:rsid w:val="002C2485"/>
    <w:rsid w:val="002C2643"/>
    <w:rsid w:val="002C2B8E"/>
    <w:rsid w:val="002C35B2"/>
    <w:rsid w:val="002C380C"/>
    <w:rsid w:val="002C3DA3"/>
    <w:rsid w:val="002C3E08"/>
    <w:rsid w:val="002C4073"/>
    <w:rsid w:val="002C40B2"/>
    <w:rsid w:val="002C4154"/>
    <w:rsid w:val="002C4464"/>
    <w:rsid w:val="002C54F7"/>
    <w:rsid w:val="002C5543"/>
    <w:rsid w:val="002C5E88"/>
    <w:rsid w:val="002C627A"/>
    <w:rsid w:val="002C6473"/>
    <w:rsid w:val="002C64B3"/>
    <w:rsid w:val="002C68F2"/>
    <w:rsid w:val="002C6BE4"/>
    <w:rsid w:val="002C6C38"/>
    <w:rsid w:val="002C6E14"/>
    <w:rsid w:val="002C70FF"/>
    <w:rsid w:val="002C7FB7"/>
    <w:rsid w:val="002D0545"/>
    <w:rsid w:val="002D0EEF"/>
    <w:rsid w:val="002D0F7F"/>
    <w:rsid w:val="002D1024"/>
    <w:rsid w:val="002D1216"/>
    <w:rsid w:val="002D1253"/>
    <w:rsid w:val="002D1563"/>
    <w:rsid w:val="002D198D"/>
    <w:rsid w:val="002D21A4"/>
    <w:rsid w:val="002D2634"/>
    <w:rsid w:val="002D2A9A"/>
    <w:rsid w:val="002D2F81"/>
    <w:rsid w:val="002D3138"/>
    <w:rsid w:val="002D3468"/>
    <w:rsid w:val="002D3B91"/>
    <w:rsid w:val="002D3BE5"/>
    <w:rsid w:val="002D3C9C"/>
    <w:rsid w:val="002D43AC"/>
    <w:rsid w:val="002D49BD"/>
    <w:rsid w:val="002D4BD8"/>
    <w:rsid w:val="002D4F68"/>
    <w:rsid w:val="002D515F"/>
    <w:rsid w:val="002D5848"/>
    <w:rsid w:val="002D7027"/>
    <w:rsid w:val="002D7036"/>
    <w:rsid w:val="002D70E8"/>
    <w:rsid w:val="002D7186"/>
    <w:rsid w:val="002D748D"/>
    <w:rsid w:val="002D74D9"/>
    <w:rsid w:val="002D7989"/>
    <w:rsid w:val="002E00D9"/>
    <w:rsid w:val="002E0198"/>
    <w:rsid w:val="002E0564"/>
    <w:rsid w:val="002E08FF"/>
    <w:rsid w:val="002E0FDC"/>
    <w:rsid w:val="002E11A5"/>
    <w:rsid w:val="002E15F6"/>
    <w:rsid w:val="002E1906"/>
    <w:rsid w:val="002E1B32"/>
    <w:rsid w:val="002E1BFD"/>
    <w:rsid w:val="002E1D7C"/>
    <w:rsid w:val="002E1E72"/>
    <w:rsid w:val="002E21DF"/>
    <w:rsid w:val="002E2748"/>
    <w:rsid w:val="002E2FE7"/>
    <w:rsid w:val="002E3042"/>
    <w:rsid w:val="002E3087"/>
    <w:rsid w:val="002E3878"/>
    <w:rsid w:val="002E4058"/>
    <w:rsid w:val="002E4350"/>
    <w:rsid w:val="002E4CC2"/>
    <w:rsid w:val="002E57D1"/>
    <w:rsid w:val="002E5ABD"/>
    <w:rsid w:val="002E65CA"/>
    <w:rsid w:val="002E6632"/>
    <w:rsid w:val="002E694A"/>
    <w:rsid w:val="002E6961"/>
    <w:rsid w:val="002E6B06"/>
    <w:rsid w:val="002E6D80"/>
    <w:rsid w:val="002E73A7"/>
    <w:rsid w:val="002E75FE"/>
    <w:rsid w:val="002E76C0"/>
    <w:rsid w:val="002E781D"/>
    <w:rsid w:val="002E7952"/>
    <w:rsid w:val="002E7B0D"/>
    <w:rsid w:val="002F01F8"/>
    <w:rsid w:val="002F04F5"/>
    <w:rsid w:val="002F05F2"/>
    <w:rsid w:val="002F0DFA"/>
    <w:rsid w:val="002F18A7"/>
    <w:rsid w:val="002F1AF0"/>
    <w:rsid w:val="002F1BA7"/>
    <w:rsid w:val="002F1CEE"/>
    <w:rsid w:val="002F1EB3"/>
    <w:rsid w:val="002F2156"/>
    <w:rsid w:val="002F2828"/>
    <w:rsid w:val="002F2A2F"/>
    <w:rsid w:val="002F2AC6"/>
    <w:rsid w:val="002F2C81"/>
    <w:rsid w:val="002F2EDE"/>
    <w:rsid w:val="002F313A"/>
    <w:rsid w:val="002F32FF"/>
    <w:rsid w:val="002F35F3"/>
    <w:rsid w:val="002F4455"/>
    <w:rsid w:val="002F449B"/>
    <w:rsid w:val="002F48B4"/>
    <w:rsid w:val="002F4B66"/>
    <w:rsid w:val="002F4C90"/>
    <w:rsid w:val="002F4D86"/>
    <w:rsid w:val="002F4ECE"/>
    <w:rsid w:val="002F5896"/>
    <w:rsid w:val="002F59A4"/>
    <w:rsid w:val="002F5C47"/>
    <w:rsid w:val="002F5CE9"/>
    <w:rsid w:val="002F5D69"/>
    <w:rsid w:val="002F61B7"/>
    <w:rsid w:val="002F631D"/>
    <w:rsid w:val="002F6401"/>
    <w:rsid w:val="002F66D4"/>
    <w:rsid w:val="002F6740"/>
    <w:rsid w:val="002F68B6"/>
    <w:rsid w:val="002F6FAA"/>
    <w:rsid w:val="002F77A1"/>
    <w:rsid w:val="002F7917"/>
    <w:rsid w:val="002F7AF6"/>
    <w:rsid w:val="002F7C77"/>
    <w:rsid w:val="00300235"/>
    <w:rsid w:val="00300509"/>
    <w:rsid w:val="00300554"/>
    <w:rsid w:val="0030060B"/>
    <w:rsid w:val="00300938"/>
    <w:rsid w:val="003009B2"/>
    <w:rsid w:val="00300C89"/>
    <w:rsid w:val="00300CB3"/>
    <w:rsid w:val="00300E46"/>
    <w:rsid w:val="00300EB2"/>
    <w:rsid w:val="00300EF1"/>
    <w:rsid w:val="003015DF"/>
    <w:rsid w:val="00301DC5"/>
    <w:rsid w:val="00301EC4"/>
    <w:rsid w:val="003022D7"/>
    <w:rsid w:val="00302334"/>
    <w:rsid w:val="00302689"/>
    <w:rsid w:val="00302C38"/>
    <w:rsid w:val="00303167"/>
    <w:rsid w:val="003031A4"/>
    <w:rsid w:val="00303233"/>
    <w:rsid w:val="00303308"/>
    <w:rsid w:val="00303683"/>
    <w:rsid w:val="00303884"/>
    <w:rsid w:val="0030394B"/>
    <w:rsid w:val="00303B15"/>
    <w:rsid w:val="00303EE5"/>
    <w:rsid w:val="003040E3"/>
    <w:rsid w:val="0030427A"/>
    <w:rsid w:val="0030435A"/>
    <w:rsid w:val="003049DB"/>
    <w:rsid w:val="00304B28"/>
    <w:rsid w:val="00304C2C"/>
    <w:rsid w:val="00304C4A"/>
    <w:rsid w:val="00304DF4"/>
    <w:rsid w:val="00304EF6"/>
    <w:rsid w:val="00305664"/>
    <w:rsid w:val="00305F43"/>
    <w:rsid w:val="003063E0"/>
    <w:rsid w:val="00306F5B"/>
    <w:rsid w:val="003072C6"/>
    <w:rsid w:val="003074F5"/>
    <w:rsid w:val="00307506"/>
    <w:rsid w:val="00307E76"/>
    <w:rsid w:val="00307F9A"/>
    <w:rsid w:val="0031077F"/>
    <w:rsid w:val="003107C5"/>
    <w:rsid w:val="0031092B"/>
    <w:rsid w:val="00310D8E"/>
    <w:rsid w:val="00311922"/>
    <w:rsid w:val="00311C86"/>
    <w:rsid w:val="0031214E"/>
    <w:rsid w:val="003122EB"/>
    <w:rsid w:val="0031242E"/>
    <w:rsid w:val="003124F4"/>
    <w:rsid w:val="00312683"/>
    <w:rsid w:val="003126BA"/>
    <w:rsid w:val="003127BF"/>
    <w:rsid w:val="003127E3"/>
    <w:rsid w:val="00312EB4"/>
    <w:rsid w:val="00312EC7"/>
    <w:rsid w:val="00313494"/>
    <w:rsid w:val="003134EB"/>
    <w:rsid w:val="00313880"/>
    <w:rsid w:val="003138C3"/>
    <w:rsid w:val="003139FF"/>
    <w:rsid w:val="00314164"/>
    <w:rsid w:val="00314350"/>
    <w:rsid w:val="00314A5E"/>
    <w:rsid w:val="00314AED"/>
    <w:rsid w:val="00314B88"/>
    <w:rsid w:val="00314DD8"/>
    <w:rsid w:val="0031529D"/>
    <w:rsid w:val="00315A2B"/>
    <w:rsid w:val="00315BBD"/>
    <w:rsid w:val="00315CF6"/>
    <w:rsid w:val="00315FAF"/>
    <w:rsid w:val="00316478"/>
    <w:rsid w:val="00316695"/>
    <w:rsid w:val="00316762"/>
    <w:rsid w:val="00316A60"/>
    <w:rsid w:val="00316A97"/>
    <w:rsid w:val="00316ABA"/>
    <w:rsid w:val="003172B3"/>
    <w:rsid w:val="00317418"/>
    <w:rsid w:val="0031753A"/>
    <w:rsid w:val="00317614"/>
    <w:rsid w:val="003176C9"/>
    <w:rsid w:val="00317888"/>
    <w:rsid w:val="00317F84"/>
    <w:rsid w:val="0032004F"/>
    <w:rsid w:val="00320293"/>
    <w:rsid w:val="0032059C"/>
    <w:rsid w:val="00320A8F"/>
    <w:rsid w:val="00320DEB"/>
    <w:rsid w:val="00320E5D"/>
    <w:rsid w:val="00320FAA"/>
    <w:rsid w:val="00321145"/>
    <w:rsid w:val="0032128E"/>
    <w:rsid w:val="003215D7"/>
    <w:rsid w:val="003216AB"/>
    <w:rsid w:val="003219F3"/>
    <w:rsid w:val="003221A8"/>
    <w:rsid w:val="00322CC2"/>
    <w:rsid w:val="00323202"/>
    <w:rsid w:val="003234C0"/>
    <w:rsid w:val="003236A5"/>
    <w:rsid w:val="00323791"/>
    <w:rsid w:val="00323990"/>
    <w:rsid w:val="00323ADD"/>
    <w:rsid w:val="00323C12"/>
    <w:rsid w:val="0032411A"/>
    <w:rsid w:val="003245E5"/>
    <w:rsid w:val="00324C87"/>
    <w:rsid w:val="00324CFD"/>
    <w:rsid w:val="00324D97"/>
    <w:rsid w:val="00324E77"/>
    <w:rsid w:val="00324ECA"/>
    <w:rsid w:val="00325252"/>
    <w:rsid w:val="00325562"/>
    <w:rsid w:val="00325BDF"/>
    <w:rsid w:val="00325F43"/>
    <w:rsid w:val="00325F9E"/>
    <w:rsid w:val="00326456"/>
    <w:rsid w:val="00326640"/>
    <w:rsid w:val="00326D25"/>
    <w:rsid w:val="00326F77"/>
    <w:rsid w:val="00327120"/>
    <w:rsid w:val="00327570"/>
    <w:rsid w:val="00327584"/>
    <w:rsid w:val="00327A1C"/>
    <w:rsid w:val="00327A5B"/>
    <w:rsid w:val="00327ACC"/>
    <w:rsid w:val="0033003B"/>
    <w:rsid w:val="003307DD"/>
    <w:rsid w:val="00330AFB"/>
    <w:rsid w:val="00330DC3"/>
    <w:rsid w:val="00330DE2"/>
    <w:rsid w:val="00330FBF"/>
    <w:rsid w:val="00330FDB"/>
    <w:rsid w:val="0033125E"/>
    <w:rsid w:val="003313AA"/>
    <w:rsid w:val="0033191E"/>
    <w:rsid w:val="00331CAB"/>
    <w:rsid w:val="00331DB8"/>
    <w:rsid w:val="00331F3F"/>
    <w:rsid w:val="003323C6"/>
    <w:rsid w:val="0033257D"/>
    <w:rsid w:val="00333062"/>
    <w:rsid w:val="00333292"/>
    <w:rsid w:val="00333330"/>
    <w:rsid w:val="003333DE"/>
    <w:rsid w:val="00333559"/>
    <w:rsid w:val="00333797"/>
    <w:rsid w:val="00333994"/>
    <w:rsid w:val="0033419D"/>
    <w:rsid w:val="00334630"/>
    <w:rsid w:val="00334B54"/>
    <w:rsid w:val="003354D1"/>
    <w:rsid w:val="00335739"/>
    <w:rsid w:val="003357A9"/>
    <w:rsid w:val="0033586E"/>
    <w:rsid w:val="00335C26"/>
    <w:rsid w:val="00335DC0"/>
    <w:rsid w:val="00336380"/>
    <w:rsid w:val="00336E00"/>
    <w:rsid w:val="00336FA2"/>
    <w:rsid w:val="00337038"/>
    <w:rsid w:val="0033739E"/>
    <w:rsid w:val="00337712"/>
    <w:rsid w:val="00337723"/>
    <w:rsid w:val="00337743"/>
    <w:rsid w:val="00337AB0"/>
    <w:rsid w:val="00337E97"/>
    <w:rsid w:val="0034015B"/>
    <w:rsid w:val="0034084F"/>
    <w:rsid w:val="0034089D"/>
    <w:rsid w:val="0034099C"/>
    <w:rsid w:val="00340A7C"/>
    <w:rsid w:val="00340F3E"/>
    <w:rsid w:val="00341716"/>
    <w:rsid w:val="00342486"/>
    <w:rsid w:val="00342624"/>
    <w:rsid w:val="003429FB"/>
    <w:rsid w:val="00342AAE"/>
    <w:rsid w:val="00342B32"/>
    <w:rsid w:val="00342BB2"/>
    <w:rsid w:val="00342BB4"/>
    <w:rsid w:val="00342F1A"/>
    <w:rsid w:val="0034309F"/>
    <w:rsid w:val="00343223"/>
    <w:rsid w:val="00343408"/>
    <w:rsid w:val="003434E0"/>
    <w:rsid w:val="003435C8"/>
    <w:rsid w:val="0034370F"/>
    <w:rsid w:val="00343733"/>
    <w:rsid w:val="00343858"/>
    <w:rsid w:val="0034388A"/>
    <w:rsid w:val="00343A6F"/>
    <w:rsid w:val="00343CB8"/>
    <w:rsid w:val="003441E9"/>
    <w:rsid w:val="00344580"/>
    <w:rsid w:val="00344583"/>
    <w:rsid w:val="00344722"/>
    <w:rsid w:val="0034479E"/>
    <w:rsid w:val="003447F4"/>
    <w:rsid w:val="00344CE3"/>
    <w:rsid w:val="00344DF9"/>
    <w:rsid w:val="0034578F"/>
    <w:rsid w:val="003458E8"/>
    <w:rsid w:val="00345BCF"/>
    <w:rsid w:val="00345EFA"/>
    <w:rsid w:val="00346013"/>
    <w:rsid w:val="00346262"/>
    <w:rsid w:val="003462E4"/>
    <w:rsid w:val="003467D9"/>
    <w:rsid w:val="00346869"/>
    <w:rsid w:val="0034686B"/>
    <w:rsid w:val="00346921"/>
    <w:rsid w:val="00346B27"/>
    <w:rsid w:val="0034731A"/>
    <w:rsid w:val="00347513"/>
    <w:rsid w:val="00347846"/>
    <w:rsid w:val="00347B2A"/>
    <w:rsid w:val="003508C9"/>
    <w:rsid w:val="00350A5A"/>
    <w:rsid w:val="00350D01"/>
    <w:rsid w:val="00350E6F"/>
    <w:rsid w:val="00352169"/>
    <w:rsid w:val="0035265C"/>
    <w:rsid w:val="003527D7"/>
    <w:rsid w:val="00352A31"/>
    <w:rsid w:val="003531FF"/>
    <w:rsid w:val="00353255"/>
    <w:rsid w:val="003536A0"/>
    <w:rsid w:val="00353AC3"/>
    <w:rsid w:val="00353BEF"/>
    <w:rsid w:val="003540A4"/>
    <w:rsid w:val="003546C3"/>
    <w:rsid w:val="0035552C"/>
    <w:rsid w:val="00355886"/>
    <w:rsid w:val="00355B12"/>
    <w:rsid w:val="00355B7D"/>
    <w:rsid w:val="00355EB7"/>
    <w:rsid w:val="00356527"/>
    <w:rsid w:val="00356801"/>
    <w:rsid w:val="00356814"/>
    <w:rsid w:val="00356821"/>
    <w:rsid w:val="0035689C"/>
    <w:rsid w:val="003569B3"/>
    <w:rsid w:val="00357084"/>
    <w:rsid w:val="00357568"/>
    <w:rsid w:val="00357D4D"/>
    <w:rsid w:val="00357DBE"/>
    <w:rsid w:val="00360448"/>
    <w:rsid w:val="00360468"/>
    <w:rsid w:val="00360C87"/>
    <w:rsid w:val="00360CDF"/>
    <w:rsid w:val="00360F8E"/>
    <w:rsid w:val="003611F2"/>
    <w:rsid w:val="003613A8"/>
    <w:rsid w:val="00361527"/>
    <w:rsid w:val="00361A81"/>
    <w:rsid w:val="00362174"/>
    <w:rsid w:val="0036246E"/>
    <w:rsid w:val="00362517"/>
    <w:rsid w:val="0036274F"/>
    <w:rsid w:val="00362CEF"/>
    <w:rsid w:val="00362D4D"/>
    <w:rsid w:val="00363C6F"/>
    <w:rsid w:val="00363DEF"/>
    <w:rsid w:val="00364143"/>
    <w:rsid w:val="003641CA"/>
    <w:rsid w:val="00364D1F"/>
    <w:rsid w:val="0036542B"/>
    <w:rsid w:val="00365619"/>
    <w:rsid w:val="003656BD"/>
    <w:rsid w:val="00365DBF"/>
    <w:rsid w:val="003660A6"/>
    <w:rsid w:val="003662AC"/>
    <w:rsid w:val="003667E8"/>
    <w:rsid w:val="0036686C"/>
    <w:rsid w:val="00366B83"/>
    <w:rsid w:val="00366C51"/>
    <w:rsid w:val="00366E56"/>
    <w:rsid w:val="00366F4A"/>
    <w:rsid w:val="00367959"/>
    <w:rsid w:val="00367CF1"/>
    <w:rsid w:val="00367FDA"/>
    <w:rsid w:val="00370101"/>
    <w:rsid w:val="0037022A"/>
    <w:rsid w:val="00370475"/>
    <w:rsid w:val="0037093B"/>
    <w:rsid w:val="003709ED"/>
    <w:rsid w:val="00370BCD"/>
    <w:rsid w:val="00370F44"/>
    <w:rsid w:val="003711DD"/>
    <w:rsid w:val="003712B3"/>
    <w:rsid w:val="00371428"/>
    <w:rsid w:val="003715F4"/>
    <w:rsid w:val="00371652"/>
    <w:rsid w:val="00371750"/>
    <w:rsid w:val="00371ACB"/>
    <w:rsid w:val="00371BB5"/>
    <w:rsid w:val="00371DD3"/>
    <w:rsid w:val="0037269C"/>
    <w:rsid w:val="003735D3"/>
    <w:rsid w:val="0037381D"/>
    <w:rsid w:val="00373AB6"/>
    <w:rsid w:val="00374016"/>
    <w:rsid w:val="00374153"/>
    <w:rsid w:val="00374DFF"/>
    <w:rsid w:val="00374FD0"/>
    <w:rsid w:val="003755CC"/>
    <w:rsid w:val="003758F3"/>
    <w:rsid w:val="00375C79"/>
    <w:rsid w:val="00375C96"/>
    <w:rsid w:val="00375EE6"/>
    <w:rsid w:val="00376716"/>
    <w:rsid w:val="0037687C"/>
    <w:rsid w:val="00376884"/>
    <w:rsid w:val="003769B0"/>
    <w:rsid w:val="00376BA9"/>
    <w:rsid w:val="00377E3B"/>
    <w:rsid w:val="00377E7A"/>
    <w:rsid w:val="00377F27"/>
    <w:rsid w:val="0038019F"/>
    <w:rsid w:val="0038029A"/>
    <w:rsid w:val="003804BA"/>
    <w:rsid w:val="003806BF"/>
    <w:rsid w:val="00380984"/>
    <w:rsid w:val="003809EE"/>
    <w:rsid w:val="00380B68"/>
    <w:rsid w:val="00380D79"/>
    <w:rsid w:val="00381083"/>
    <w:rsid w:val="003815D0"/>
    <w:rsid w:val="00381866"/>
    <w:rsid w:val="003818EB"/>
    <w:rsid w:val="00381AFD"/>
    <w:rsid w:val="00381B1F"/>
    <w:rsid w:val="00382070"/>
    <w:rsid w:val="00382071"/>
    <w:rsid w:val="00382082"/>
    <w:rsid w:val="0038241E"/>
    <w:rsid w:val="003824BF"/>
    <w:rsid w:val="0038266E"/>
    <w:rsid w:val="00382E15"/>
    <w:rsid w:val="003831AD"/>
    <w:rsid w:val="00383904"/>
    <w:rsid w:val="003839A7"/>
    <w:rsid w:val="00383E76"/>
    <w:rsid w:val="00384275"/>
    <w:rsid w:val="0038431B"/>
    <w:rsid w:val="003843CC"/>
    <w:rsid w:val="003847DD"/>
    <w:rsid w:val="00384886"/>
    <w:rsid w:val="00385882"/>
    <w:rsid w:val="00385929"/>
    <w:rsid w:val="00385B96"/>
    <w:rsid w:val="00385C44"/>
    <w:rsid w:val="0038614B"/>
    <w:rsid w:val="00386351"/>
    <w:rsid w:val="0038668A"/>
    <w:rsid w:val="003868A6"/>
    <w:rsid w:val="00386D51"/>
    <w:rsid w:val="00386D52"/>
    <w:rsid w:val="00386FAC"/>
    <w:rsid w:val="0038758B"/>
    <w:rsid w:val="00387734"/>
    <w:rsid w:val="00387B1C"/>
    <w:rsid w:val="003908AF"/>
    <w:rsid w:val="00390CE7"/>
    <w:rsid w:val="00390F53"/>
    <w:rsid w:val="00391488"/>
    <w:rsid w:val="00391CC3"/>
    <w:rsid w:val="00391F0E"/>
    <w:rsid w:val="0039263F"/>
    <w:rsid w:val="0039297C"/>
    <w:rsid w:val="003929CF"/>
    <w:rsid w:val="00392C2B"/>
    <w:rsid w:val="00392DDF"/>
    <w:rsid w:val="00392FE1"/>
    <w:rsid w:val="0039300C"/>
    <w:rsid w:val="0039359A"/>
    <w:rsid w:val="00393E56"/>
    <w:rsid w:val="00394146"/>
    <w:rsid w:val="00394423"/>
    <w:rsid w:val="0039494A"/>
    <w:rsid w:val="00394C8A"/>
    <w:rsid w:val="00394F30"/>
    <w:rsid w:val="003950C9"/>
    <w:rsid w:val="003950EE"/>
    <w:rsid w:val="0039581F"/>
    <w:rsid w:val="00395D33"/>
    <w:rsid w:val="00395F34"/>
    <w:rsid w:val="0039606E"/>
    <w:rsid w:val="00396126"/>
    <w:rsid w:val="003966D2"/>
    <w:rsid w:val="00396706"/>
    <w:rsid w:val="00396CCC"/>
    <w:rsid w:val="00397050"/>
    <w:rsid w:val="003978D1"/>
    <w:rsid w:val="0039799D"/>
    <w:rsid w:val="00397F2E"/>
    <w:rsid w:val="003A001C"/>
    <w:rsid w:val="003A09B2"/>
    <w:rsid w:val="003A1275"/>
    <w:rsid w:val="003A140F"/>
    <w:rsid w:val="003A14B5"/>
    <w:rsid w:val="003A1D6C"/>
    <w:rsid w:val="003A2930"/>
    <w:rsid w:val="003A299A"/>
    <w:rsid w:val="003A2A93"/>
    <w:rsid w:val="003A2ACF"/>
    <w:rsid w:val="003A2E6B"/>
    <w:rsid w:val="003A2F25"/>
    <w:rsid w:val="003A2F58"/>
    <w:rsid w:val="003A30A8"/>
    <w:rsid w:val="003A35B9"/>
    <w:rsid w:val="003A365A"/>
    <w:rsid w:val="003A373B"/>
    <w:rsid w:val="003A375A"/>
    <w:rsid w:val="003A379F"/>
    <w:rsid w:val="003A3878"/>
    <w:rsid w:val="003A38CD"/>
    <w:rsid w:val="003A39E5"/>
    <w:rsid w:val="003A3A20"/>
    <w:rsid w:val="003A4113"/>
    <w:rsid w:val="003A44FD"/>
    <w:rsid w:val="003A4A2A"/>
    <w:rsid w:val="003A4C42"/>
    <w:rsid w:val="003A4D0A"/>
    <w:rsid w:val="003A55A4"/>
    <w:rsid w:val="003A5809"/>
    <w:rsid w:val="003A5C32"/>
    <w:rsid w:val="003A5E4E"/>
    <w:rsid w:val="003A682C"/>
    <w:rsid w:val="003A6B13"/>
    <w:rsid w:val="003A6B44"/>
    <w:rsid w:val="003A6D14"/>
    <w:rsid w:val="003A6EC7"/>
    <w:rsid w:val="003A740D"/>
    <w:rsid w:val="003A7879"/>
    <w:rsid w:val="003A7887"/>
    <w:rsid w:val="003A7DC1"/>
    <w:rsid w:val="003B0071"/>
    <w:rsid w:val="003B08A5"/>
    <w:rsid w:val="003B0B44"/>
    <w:rsid w:val="003B0CBD"/>
    <w:rsid w:val="003B0FC9"/>
    <w:rsid w:val="003B13AC"/>
    <w:rsid w:val="003B142E"/>
    <w:rsid w:val="003B16AB"/>
    <w:rsid w:val="003B186C"/>
    <w:rsid w:val="003B18DB"/>
    <w:rsid w:val="003B240B"/>
    <w:rsid w:val="003B27B4"/>
    <w:rsid w:val="003B2807"/>
    <w:rsid w:val="003B28D4"/>
    <w:rsid w:val="003B2982"/>
    <w:rsid w:val="003B2A44"/>
    <w:rsid w:val="003B2ADD"/>
    <w:rsid w:val="003B2B10"/>
    <w:rsid w:val="003B2BF4"/>
    <w:rsid w:val="003B2DC5"/>
    <w:rsid w:val="003B3667"/>
    <w:rsid w:val="003B36FE"/>
    <w:rsid w:val="003B3C7F"/>
    <w:rsid w:val="003B3D1D"/>
    <w:rsid w:val="003B3D90"/>
    <w:rsid w:val="003B4805"/>
    <w:rsid w:val="003B4FE9"/>
    <w:rsid w:val="003B5256"/>
    <w:rsid w:val="003B54D7"/>
    <w:rsid w:val="003B5661"/>
    <w:rsid w:val="003B578A"/>
    <w:rsid w:val="003B58DE"/>
    <w:rsid w:val="003B5A76"/>
    <w:rsid w:val="003B60C7"/>
    <w:rsid w:val="003B6871"/>
    <w:rsid w:val="003B6A46"/>
    <w:rsid w:val="003B718D"/>
    <w:rsid w:val="003B7A36"/>
    <w:rsid w:val="003B7A5A"/>
    <w:rsid w:val="003B7AC2"/>
    <w:rsid w:val="003B7D1B"/>
    <w:rsid w:val="003C047C"/>
    <w:rsid w:val="003C0B17"/>
    <w:rsid w:val="003C0D7B"/>
    <w:rsid w:val="003C145C"/>
    <w:rsid w:val="003C15CD"/>
    <w:rsid w:val="003C177C"/>
    <w:rsid w:val="003C1E58"/>
    <w:rsid w:val="003C256D"/>
    <w:rsid w:val="003C2AC0"/>
    <w:rsid w:val="003C2E76"/>
    <w:rsid w:val="003C2F39"/>
    <w:rsid w:val="003C35E3"/>
    <w:rsid w:val="003C375D"/>
    <w:rsid w:val="003C3B89"/>
    <w:rsid w:val="003C40FA"/>
    <w:rsid w:val="003C444E"/>
    <w:rsid w:val="003C48D8"/>
    <w:rsid w:val="003C4DD1"/>
    <w:rsid w:val="003C4DE6"/>
    <w:rsid w:val="003C51E4"/>
    <w:rsid w:val="003C54F6"/>
    <w:rsid w:val="003C552A"/>
    <w:rsid w:val="003C56F9"/>
    <w:rsid w:val="003C5A29"/>
    <w:rsid w:val="003C5E40"/>
    <w:rsid w:val="003C68F2"/>
    <w:rsid w:val="003C6AAB"/>
    <w:rsid w:val="003C78DC"/>
    <w:rsid w:val="003D0071"/>
    <w:rsid w:val="003D00BD"/>
    <w:rsid w:val="003D064D"/>
    <w:rsid w:val="003D0958"/>
    <w:rsid w:val="003D0A14"/>
    <w:rsid w:val="003D1168"/>
    <w:rsid w:val="003D2298"/>
    <w:rsid w:val="003D296F"/>
    <w:rsid w:val="003D2E08"/>
    <w:rsid w:val="003D2F30"/>
    <w:rsid w:val="003D335F"/>
    <w:rsid w:val="003D33AF"/>
    <w:rsid w:val="003D36B9"/>
    <w:rsid w:val="003D38EB"/>
    <w:rsid w:val="003D3A23"/>
    <w:rsid w:val="003D3EA9"/>
    <w:rsid w:val="003D4032"/>
    <w:rsid w:val="003D4261"/>
    <w:rsid w:val="003D4476"/>
    <w:rsid w:val="003D4B61"/>
    <w:rsid w:val="003D4E44"/>
    <w:rsid w:val="003D575E"/>
    <w:rsid w:val="003D589F"/>
    <w:rsid w:val="003D5ACF"/>
    <w:rsid w:val="003D5CFB"/>
    <w:rsid w:val="003D5F25"/>
    <w:rsid w:val="003D61D0"/>
    <w:rsid w:val="003D68AB"/>
    <w:rsid w:val="003D6946"/>
    <w:rsid w:val="003D6E20"/>
    <w:rsid w:val="003D775F"/>
    <w:rsid w:val="003E0089"/>
    <w:rsid w:val="003E0542"/>
    <w:rsid w:val="003E054C"/>
    <w:rsid w:val="003E073C"/>
    <w:rsid w:val="003E0863"/>
    <w:rsid w:val="003E1552"/>
    <w:rsid w:val="003E18E2"/>
    <w:rsid w:val="003E1B8C"/>
    <w:rsid w:val="003E20E9"/>
    <w:rsid w:val="003E2175"/>
    <w:rsid w:val="003E228D"/>
    <w:rsid w:val="003E23C0"/>
    <w:rsid w:val="003E2636"/>
    <w:rsid w:val="003E2E12"/>
    <w:rsid w:val="003E33B5"/>
    <w:rsid w:val="003E3A53"/>
    <w:rsid w:val="003E4312"/>
    <w:rsid w:val="003E4C1D"/>
    <w:rsid w:val="003E50E3"/>
    <w:rsid w:val="003E520D"/>
    <w:rsid w:val="003E5219"/>
    <w:rsid w:val="003E52BA"/>
    <w:rsid w:val="003E5821"/>
    <w:rsid w:val="003E5FD3"/>
    <w:rsid w:val="003E68C0"/>
    <w:rsid w:val="003E71E2"/>
    <w:rsid w:val="003E72FF"/>
    <w:rsid w:val="003E78D4"/>
    <w:rsid w:val="003E7BB3"/>
    <w:rsid w:val="003F078F"/>
    <w:rsid w:val="003F0BDA"/>
    <w:rsid w:val="003F0C86"/>
    <w:rsid w:val="003F15BB"/>
    <w:rsid w:val="003F1BA0"/>
    <w:rsid w:val="003F1C1E"/>
    <w:rsid w:val="003F1C3D"/>
    <w:rsid w:val="003F2200"/>
    <w:rsid w:val="003F30C8"/>
    <w:rsid w:val="003F31A1"/>
    <w:rsid w:val="003F339C"/>
    <w:rsid w:val="003F372E"/>
    <w:rsid w:val="003F3743"/>
    <w:rsid w:val="003F3994"/>
    <w:rsid w:val="003F39CE"/>
    <w:rsid w:val="003F3F3E"/>
    <w:rsid w:val="003F4055"/>
    <w:rsid w:val="003F44E9"/>
    <w:rsid w:val="003F48C9"/>
    <w:rsid w:val="003F4D79"/>
    <w:rsid w:val="003F4F2E"/>
    <w:rsid w:val="003F5041"/>
    <w:rsid w:val="003F5730"/>
    <w:rsid w:val="003F5C49"/>
    <w:rsid w:val="003F5D3F"/>
    <w:rsid w:val="003F64F4"/>
    <w:rsid w:val="003F6EF8"/>
    <w:rsid w:val="003F6FF9"/>
    <w:rsid w:val="003F75F3"/>
    <w:rsid w:val="003F775B"/>
    <w:rsid w:val="003F7F80"/>
    <w:rsid w:val="0040003A"/>
    <w:rsid w:val="0040020C"/>
    <w:rsid w:val="00400315"/>
    <w:rsid w:val="00400338"/>
    <w:rsid w:val="00400409"/>
    <w:rsid w:val="00400914"/>
    <w:rsid w:val="00401108"/>
    <w:rsid w:val="00401577"/>
    <w:rsid w:val="00401A35"/>
    <w:rsid w:val="00401AA0"/>
    <w:rsid w:val="00401D42"/>
    <w:rsid w:val="004021F7"/>
    <w:rsid w:val="004022E6"/>
    <w:rsid w:val="00402917"/>
    <w:rsid w:val="00402927"/>
    <w:rsid w:val="0040294C"/>
    <w:rsid w:val="004029C7"/>
    <w:rsid w:val="00402CA2"/>
    <w:rsid w:val="004032A4"/>
    <w:rsid w:val="00403451"/>
    <w:rsid w:val="004037BF"/>
    <w:rsid w:val="004037FC"/>
    <w:rsid w:val="00403862"/>
    <w:rsid w:val="004038BE"/>
    <w:rsid w:val="004038FB"/>
    <w:rsid w:val="00403909"/>
    <w:rsid w:val="0040396D"/>
    <w:rsid w:val="00403C27"/>
    <w:rsid w:val="00403E8A"/>
    <w:rsid w:val="00403FA1"/>
    <w:rsid w:val="004040F5"/>
    <w:rsid w:val="00404220"/>
    <w:rsid w:val="004043E9"/>
    <w:rsid w:val="0040459C"/>
    <w:rsid w:val="0040470A"/>
    <w:rsid w:val="0040490E"/>
    <w:rsid w:val="00404C9F"/>
    <w:rsid w:val="00404CC9"/>
    <w:rsid w:val="00404FAE"/>
    <w:rsid w:val="0040531A"/>
    <w:rsid w:val="004053B4"/>
    <w:rsid w:val="00405635"/>
    <w:rsid w:val="00405749"/>
    <w:rsid w:val="00405E24"/>
    <w:rsid w:val="00405E9A"/>
    <w:rsid w:val="0040619C"/>
    <w:rsid w:val="00406571"/>
    <w:rsid w:val="00406650"/>
    <w:rsid w:val="00406782"/>
    <w:rsid w:val="00406B23"/>
    <w:rsid w:val="00406C63"/>
    <w:rsid w:val="00406D6B"/>
    <w:rsid w:val="004077D2"/>
    <w:rsid w:val="00407940"/>
    <w:rsid w:val="0040798F"/>
    <w:rsid w:val="00407993"/>
    <w:rsid w:val="00407DEA"/>
    <w:rsid w:val="00410490"/>
    <w:rsid w:val="004105EE"/>
    <w:rsid w:val="00410BBE"/>
    <w:rsid w:val="00410E7F"/>
    <w:rsid w:val="004110C3"/>
    <w:rsid w:val="004110F6"/>
    <w:rsid w:val="0041119D"/>
    <w:rsid w:val="00411474"/>
    <w:rsid w:val="00411833"/>
    <w:rsid w:val="00411912"/>
    <w:rsid w:val="00411EC3"/>
    <w:rsid w:val="00412536"/>
    <w:rsid w:val="0041258A"/>
    <w:rsid w:val="004125DD"/>
    <w:rsid w:val="00412681"/>
    <w:rsid w:val="00412AFB"/>
    <w:rsid w:val="00412BC4"/>
    <w:rsid w:val="00412F64"/>
    <w:rsid w:val="00412FF3"/>
    <w:rsid w:val="0041382E"/>
    <w:rsid w:val="00413DE8"/>
    <w:rsid w:val="0041407B"/>
    <w:rsid w:val="00414911"/>
    <w:rsid w:val="00414B45"/>
    <w:rsid w:val="00414B65"/>
    <w:rsid w:val="00414E4D"/>
    <w:rsid w:val="00414E8D"/>
    <w:rsid w:val="00414FA1"/>
    <w:rsid w:val="00415048"/>
    <w:rsid w:val="0041515F"/>
    <w:rsid w:val="004151B2"/>
    <w:rsid w:val="00415745"/>
    <w:rsid w:val="00415B57"/>
    <w:rsid w:val="004164C6"/>
    <w:rsid w:val="00416967"/>
    <w:rsid w:val="004169CC"/>
    <w:rsid w:val="00416D08"/>
    <w:rsid w:val="0041746B"/>
    <w:rsid w:val="00417BC1"/>
    <w:rsid w:val="00417BD8"/>
    <w:rsid w:val="00417BEB"/>
    <w:rsid w:val="00417D53"/>
    <w:rsid w:val="00417D7A"/>
    <w:rsid w:val="00420D7A"/>
    <w:rsid w:val="00420EB4"/>
    <w:rsid w:val="00421177"/>
    <w:rsid w:val="00421180"/>
    <w:rsid w:val="00421626"/>
    <w:rsid w:val="004217CF"/>
    <w:rsid w:val="00421B0B"/>
    <w:rsid w:val="004220BD"/>
    <w:rsid w:val="004221A9"/>
    <w:rsid w:val="004222EA"/>
    <w:rsid w:val="00422837"/>
    <w:rsid w:val="00422C60"/>
    <w:rsid w:val="004230EA"/>
    <w:rsid w:val="004232BD"/>
    <w:rsid w:val="004237D9"/>
    <w:rsid w:val="00423AB1"/>
    <w:rsid w:val="00423B07"/>
    <w:rsid w:val="00423F36"/>
    <w:rsid w:val="00424766"/>
    <w:rsid w:val="004247E4"/>
    <w:rsid w:val="00424B41"/>
    <w:rsid w:val="00424B72"/>
    <w:rsid w:val="00424CD0"/>
    <w:rsid w:val="00425151"/>
    <w:rsid w:val="00425C31"/>
    <w:rsid w:val="00425FC5"/>
    <w:rsid w:val="004263E1"/>
    <w:rsid w:val="00426A4D"/>
    <w:rsid w:val="00426C24"/>
    <w:rsid w:val="00426C34"/>
    <w:rsid w:val="004272A6"/>
    <w:rsid w:val="0042734B"/>
    <w:rsid w:val="0042765C"/>
    <w:rsid w:val="00427C45"/>
    <w:rsid w:val="00430845"/>
    <w:rsid w:val="00430CC1"/>
    <w:rsid w:val="0043138F"/>
    <w:rsid w:val="004313BC"/>
    <w:rsid w:val="0043155C"/>
    <w:rsid w:val="00431955"/>
    <w:rsid w:val="00431ABA"/>
    <w:rsid w:val="004324FF"/>
    <w:rsid w:val="004325E1"/>
    <w:rsid w:val="004326FA"/>
    <w:rsid w:val="00432857"/>
    <w:rsid w:val="00432A55"/>
    <w:rsid w:val="00432C02"/>
    <w:rsid w:val="00432F20"/>
    <w:rsid w:val="0043301B"/>
    <w:rsid w:val="0043304A"/>
    <w:rsid w:val="00433092"/>
    <w:rsid w:val="00433209"/>
    <w:rsid w:val="00433269"/>
    <w:rsid w:val="0043382D"/>
    <w:rsid w:val="00433BAC"/>
    <w:rsid w:val="0043431E"/>
    <w:rsid w:val="00434595"/>
    <w:rsid w:val="0043470D"/>
    <w:rsid w:val="00434A77"/>
    <w:rsid w:val="00435354"/>
    <w:rsid w:val="0043559C"/>
    <w:rsid w:val="0043567A"/>
    <w:rsid w:val="0043593C"/>
    <w:rsid w:val="00435B81"/>
    <w:rsid w:val="00435D33"/>
    <w:rsid w:val="00435EF9"/>
    <w:rsid w:val="00436794"/>
    <w:rsid w:val="00436957"/>
    <w:rsid w:val="00436D4D"/>
    <w:rsid w:val="00436F7D"/>
    <w:rsid w:val="004370F1"/>
    <w:rsid w:val="00437B16"/>
    <w:rsid w:val="004400E0"/>
    <w:rsid w:val="0044010F"/>
    <w:rsid w:val="004402D5"/>
    <w:rsid w:val="004403D8"/>
    <w:rsid w:val="0044063D"/>
    <w:rsid w:val="004409EB"/>
    <w:rsid w:val="00440C77"/>
    <w:rsid w:val="00441353"/>
    <w:rsid w:val="00441BB9"/>
    <w:rsid w:val="00441D5B"/>
    <w:rsid w:val="0044252E"/>
    <w:rsid w:val="0044260A"/>
    <w:rsid w:val="00442998"/>
    <w:rsid w:val="004429FB"/>
    <w:rsid w:val="00443026"/>
    <w:rsid w:val="004435B2"/>
    <w:rsid w:val="00443C86"/>
    <w:rsid w:val="0044446C"/>
    <w:rsid w:val="004444E2"/>
    <w:rsid w:val="004445BC"/>
    <w:rsid w:val="0044464F"/>
    <w:rsid w:val="00444774"/>
    <w:rsid w:val="0044490C"/>
    <w:rsid w:val="00444D82"/>
    <w:rsid w:val="00445260"/>
    <w:rsid w:val="00446353"/>
    <w:rsid w:val="004463F1"/>
    <w:rsid w:val="00446532"/>
    <w:rsid w:val="0044729A"/>
    <w:rsid w:val="00447570"/>
    <w:rsid w:val="00447A37"/>
    <w:rsid w:val="00447D1A"/>
    <w:rsid w:val="004503EB"/>
    <w:rsid w:val="00450EFB"/>
    <w:rsid w:val="004516BB"/>
    <w:rsid w:val="00451AE2"/>
    <w:rsid w:val="00451EF9"/>
    <w:rsid w:val="004523E1"/>
    <w:rsid w:val="004533BB"/>
    <w:rsid w:val="00453A14"/>
    <w:rsid w:val="00453E7E"/>
    <w:rsid w:val="004546E4"/>
    <w:rsid w:val="00454D19"/>
    <w:rsid w:val="00454D41"/>
    <w:rsid w:val="00454D98"/>
    <w:rsid w:val="00454F5E"/>
    <w:rsid w:val="004551B5"/>
    <w:rsid w:val="00455234"/>
    <w:rsid w:val="004552D6"/>
    <w:rsid w:val="00455882"/>
    <w:rsid w:val="00456136"/>
    <w:rsid w:val="0045645C"/>
    <w:rsid w:val="00456491"/>
    <w:rsid w:val="004564C6"/>
    <w:rsid w:val="00456BDC"/>
    <w:rsid w:val="00456DB3"/>
    <w:rsid w:val="00457148"/>
    <w:rsid w:val="004574D9"/>
    <w:rsid w:val="00457546"/>
    <w:rsid w:val="004575A8"/>
    <w:rsid w:val="00457723"/>
    <w:rsid w:val="00457B45"/>
    <w:rsid w:val="00460164"/>
    <w:rsid w:val="0046018A"/>
    <w:rsid w:val="004604DF"/>
    <w:rsid w:val="004605F2"/>
    <w:rsid w:val="00460795"/>
    <w:rsid w:val="004607CB"/>
    <w:rsid w:val="0046084D"/>
    <w:rsid w:val="004609CB"/>
    <w:rsid w:val="004609E3"/>
    <w:rsid w:val="00460DE5"/>
    <w:rsid w:val="004610AA"/>
    <w:rsid w:val="004610CC"/>
    <w:rsid w:val="004612B7"/>
    <w:rsid w:val="0046144E"/>
    <w:rsid w:val="00461622"/>
    <w:rsid w:val="00461661"/>
    <w:rsid w:val="00461880"/>
    <w:rsid w:val="00461BE4"/>
    <w:rsid w:val="00461C6F"/>
    <w:rsid w:val="00461D73"/>
    <w:rsid w:val="00461F0C"/>
    <w:rsid w:val="00461F0D"/>
    <w:rsid w:val="004620D6"/>
    <w:rsid w:val="00462434"/>
    <w:rsid w:val="00463092"/>
    <w:rsid w:val="00463685"/>
    <w:rsid w:val="0046378D"/>
    <w:rsid w:val="0046411B"/>
    <w:rsid w:val="004643EB"/>
    <w:rsid w:val="004649B7"/>
    <w:rsid w:val="004649E2"/>
    <w:rsid w:val="00464B1D"/>
    <w:rsid w:val="00464C36"/>
    <w:rsid w:val="004650FA"/>
    <w:rsid w:val="00465464"/>
    <w:rsid w:val="00465E6B"/>
    <w:rsid w:val="00465E87"/>
    <w:rsid w:val="00465EF9"/>
    <w:rsid w:val="004661A9"/>
    <w:rsid w:val="0046640D"/>
    <w:rsid w:val="00466489"/>
    <w:rsid w:val="0046649D"/>
    <w:rsid w:val="00466759"/>
    <w:rsid w:val="004667BC"/>
    <w:rsid w:val="00466AF1"/>
    <w:rsid w:val="00466CEE"/>
    <w:rsid w:val="0046700C"/>
    <w:rsid w:val="0046746C"/>
    <w:rsid w:val="00467923"/>
    <w:rsid w:val="00467BC3"/>
    <w:rsid w:val="00467C63"/>
    <w:rsid w:val="004701CB"/>
    <w:rsid w:val="004702E4"/>
    <w:rsid w:val="004706B0"/>
    <w:rsid w:val="0047095D"/>
    <w:rsid w:val="00470A0B"/>
    <w:rsid w:val="00471503"/>
    <w:rsid w:val="0047170D"/>
    <w:rsid w:val="00471902"/>
    <w:rsid w:val="00471C21"/>
    <w:rsid w:val="0047200D"/>
    <w:rsid w:val="0047204A"/>
    <w:rsid w:val="00472206"/>
    <w:rsid w:val="004726AE"/>
    <w:rsid w:val="00472A56"/>
    <w:rsid w:val="00472B0F"/>
    <w:rsid w:val="00472E70"/>
    <w:rsid w:val="00472FC6"/>
    <w:rsid w:val="00473022"/>
    <w:rsid w:val="004732EF"/>
    <w:rsid w:val="004735C6"/>
    <w:rsid w:val="004736B9"/>
    <w:rsid w:val="0047394F"/>
    <w:rsid w:val="00473DB8"/>
    <w:rsid w:val="00473E5F"/>
    <w:rsid w:val="0047481F"/>
    <w:rsid w:val="0047495E"/>
    <w:rsid w:val="00474F5F"/>
    <w:rsid w:val="00475360"/>
    <w:rsid w:val="0047548A"/>
    <w:rsid w:val="00475558"/>
    <w:rsid w:val="004760CC"/>
    <w:rsid w:val="004761E0"/>
    <w:rsid w:val="0047627C"/>
    <w:rsid w:val="00476292"/>
    <w:rsid w:val="00476D42"/>
    <w:rsid w:val="00477091"/>
    <w:rsid w:val="00477221"/>
    <w:rsid w:val="0047729C"/>
    <w:rsid w:val="004776EC"/>
    <w:rsid w:val="0047786A"/>
    <w:rsid w:val="0047790D"/>
    <w:rsid w:val="00477A65"/>
    <w:rsid w:val="00477ED0"/>
    <w:rsid w:val="00477EDD"/>
    <w:rsid w:val="0048002E"/>
    <w:rsid w:val="00480129"/>
    <w:rsid w:val="00480222"/>
    <w:rsid w:val="004802D4"/>
    <w:rsid w:val="00480860"/>
    <w:rsid w:val="00480BE5"/>
    <w:rsid w:val="00480CE0"/>
    <w:rsid w:val="00480F00"/>
    <w:rsid w:val="00480FF9"/>
    <w:rsid w:val="00481897"/>
    <w:rsid w:val="00481BFD"/>
    <w:rsid w:val="00481DF0"/>
    <w:rsid w:val="00481E96"/>
    <w:rsid w:val="004821D5"/>
    <w:rsid w:val="00482236"/>
    <w:rsid w:val="00482403"/>
    <w:rsid w:val="00482410"/>
    <w:rsid w:val="0048243C"/>
    <w:rsid w:val="00482B81"/>
    <w:rsid w:val="00482DB3"/>
    <w:rsid w:val="0048325C"/>
    <w:rsid w:val="0048344D"/>
    <w:rsid w:val="00483B7F"/>
    <w:rsid w:val="004847AA"/>
    <w:rsid w:val="0048480F"/>
    <w:rsid w:val="004855C5"/>
    <w:rsid w:val="004856A3"/>
    <w:rsid w:val="0048588C"/>
    <w:rsid w:val="00485987"/>
    <w:rsid w:val="00485B31"/>
    <w:rsid w:val="00485CB7"/>
    <w:rsid w:val="00485CEC"/>
    <w:rsid w:val="00486169"/>
    <w:rsid w:val="00486229"/>
    <w:rsid w:val="00486CDC"/>
    <w:rsid w:val="00486CE0"/>
    <w:rsid w:val="0048708E"/>
    <w:rsid w:val="0048730A"/>
    <w:rsid w:val="004873CE"/>
    <w:rsid w:val="0048790B"/>
    <w:rsid w:val="00487F77"/>
    <w:rsid w:val="00487FF9"/>
    <w:rsid w:val="00490635"/>
    <w:rsid w:val="00490A60"/>
    <w:rsid w:val="00490F92"/>
    <w:rsid w:val="004917EF"/>
    <w:rsid w:val="004922A6"/>
    <w:rsid w:val="004922CF"/>
    <w:rsid w:val="0049268A"/>
    <w:rsid w:val="00492853"/>
    <w:rsid w:val="004928A5"/>
    <w:rsid w:val="004929B2"/>
    <w:rsid w:val="00492ACB"/>
    <w:rsid w:val="0049310F"/>
    <w:rsid w:val="004932CF"/>
    <w:rsid w:val="00493EBD"/>
    <w:rsid w:val="00494286"/>
    <w:rsid w:val="0049434C"/>
    <w:rsid w:val="00494574"/>
    <w:rsid w:val="00494730"/>
    <w:rsid w:val="00494779"/>
    <w:rsid w:val="004952D4"/>
    <w:rsid w:val="004957DA"/>
    <w:rsid w:val="0049587C"/>
    <w:rsid w:val="004960B3"/>
    <w:rsid w:val="004963B0"/>
    <w:rsid w:val="00496989"/>
    <w:rsid w:val="00496B7F"/>
    <w:rsid w:val="00497160"/>
    <w:rsid w:val="0049739F"/>
    <w:rsid w:val="004976DA"/>
    <w:rsid w:val="004977CB"/>
    <w:rsid w:val="00497878"/>
    <w:rsid w:val="00497954"/>
    <w:rsid w:val="00497AF5"/>
    <w:rsid w:val="004A0195"/>
    <w:rsid w:val="004A0236"/>
    <w:rsid w:val="004A05B6"/>
    <w:rsid w:val="004A08C4"/>
    <w:rsid w:val="004A0BF0"/>
    <w:rsid w:val="004A10E8"/>
    <w:rsid w:val="004A11F4"/>
    <w:rsid w:val="004A129F"/>
    <w:rsid w:val="004A1BD6"/>
    <w:rsid w:val="004A1C64"/>
    <w:rsid w:val="004A2161"/>
    <w:rsid w:val="004A23D2"/>
    <w:rsid w:val="004A2EBF"/>
    <w:rsid w:val="004A313F"/>
    <w:rsid w:val="004A3363"/>
    <w:rsid w:val="004A34BA"/>
    <w:rsid w:val="004A3548"/>
    <w:rsid w:val="004A369A"/>
    <w:rsid w:val="004A36A2"/>
    <w:rsid w:val="004A3876"/>
    <w:rsid w:val="004A3AFF"/>
    <w:rsid w:val="004A3B3E"/>
    <w:rsid w:val="004A3E67"/>
    <w:rsid w:val="004A40D6"/>
    <w:rsid w:val="004A40F7"/>
    <w:rsid w:val="004A4405"/>
    <w:rsid w:val="004A4AD2"/>
    <w:rsid w:val="004A4B89"/>
    <w:rsid w:val="004A50CC"/>
    <w:rsid w:val="004A536F"/>
    <w:rsid w:val="004A5899"/>
    <w:rsid w:val="004A5EC9"/>
    <w:rsid w:val="004A63BA"/>
    <w:rsid w:val="004A6421"/>
    <w:rsid w:val="004A64D3"/>
    <w:rsid w:val="004A6547"/>
    <w:rsid w:val="004A6579"/>
    <w:rsid w:val="004A6642"/>
    <w:rsid w:val="004A6667"/>
    <w:rsid w:val="004A678C"/>
    <w:rsid w:val="004A6AED"/>
    <w:rsid w:val="004A7653"/>
    <w:rsid w:val="004A7674"/>
    <w:rsid w:val="004A7692"/>
    <w:rsid w:val="004A776A"/>
    <w:rsid w:val="004A78E6"/>
    <w:rsid w:val="004A7970"/>
    <w:rsid w:val="004B0344"/>
    <w:rsid w:val="004B0585"/>
    <w:rsid w:val="004B0A62"/>
    <w:rsid w:val="004B0C96"/>
    <w:rsid w:val="004B0F6C"/>
    <w:rsid w:val="004B132E"/>
    <w:rsid w:val="004B1371"/>
    <w:rsid w:val="004B15CF"/>
    <w:rsid w:val="004B15D3"/>
    <w:rsid w:val="004B160E"/>
    <w:rsid w:val="004B16FB"/>
    <w:rsid w:val="004B1A94"/>
    <w:rsid w:val="004B2BAD"/>
    <w:rsid w:val="004B2C8B"/>
    <w:rsid w:val="004B2F15"/>
    <w:rsid w:val="004B322F"/>
    <w:rsid w:val="004B32FA"/>
    <w:rsid w:val="004B3A5B"/>
    <w:rsid w:val="004B3CE1"/>
    <w:rsid w:val="004B4049"/>
    <w:rsid w:val="004B41D5"/>
    <w:rsid w:val="004B44A9"/>
    <w:rsid w:val="004B4666"/>
    <w:rsid w:val="004B47C7"/>
    <w:rsid w:val="004B47D5"/>
    <w:rsid w:val="004B4B01"/>
    <w:rsid w:val="004B4E3A"/>
    <w:rsid w:val="004B506E"/>
    <w:rsid w:val="004B5073"/>
    <w:rsid w:val="004B52F9"/>
    <w:rsid w:val="004B593F"/>
    <w:rsid w:val="004B600B"/>
    <w:rsid w:val="004B6315"/>
    <w:rsid w:val="004B67C4"/>
    <w:rsid w:val="004B68C1"/>
    <w:rsid w:val="004B6B36"/>
    <w:rsid w:val="004B7326"/>
    <w:rsid w:val="004B77E8"/>
    <w:rsid w:val="004B787A"/>
    <w:rsid w:val="004C0131"/>
    <w:rsid w:val="004C0400"/>
    <w:rsid w:val="004C068E"/>
    <w:rsid w:val="004C0A67"/>
    <w:rsid w:val="004C0BA1"/>
    <w:rsid w:val="004C0D1F"/>
    <w:rsid w:val="004C0E3E"/>
    <w:rsid w:val="004C0F3F"/>
    <w:rsid w:val="004C102D"/>
    <w:rsid w:val="004C11B6"/>
    <w:rsid w:val="004C11EB"/>
    <w:rsid w:val="004C1274"/>
    <w:rsid w:val="004C185B"/>
    <w:rsid w:val="004C18EC"/>
    <w:rsid w:val="004C216F"/>
    <w:rsid w:val="004C23E1"/>
    <w:rsid w:val="004C24C4"/>
    <w:rsid w:val="004C2849"/>
    <w:rsid w:val="004C2D4B"/>
    <w:rsid w:val="004C2DA9"/>
    <w:rsid w:val="004C2F0B"/>
    <w:rsid w:val="004C36F7"/>
    <w:rsid w:val="004C3904"/>
    <w:rsid w:val="004C39B7"/>
    <w:rsid w:val="004C4020"/>
    <w:rsid w:val="004C4848"/>
    <w:rsid w:val="004C5469"/>
    <w:rsid w:val="004C5777"/>
    <w:rsid w:val="004C587F"/>
    <w:rsid w:val="004C5AE4"/>
    <w:rsid w:val="004C5D72"/>
    <w:rsid w:val="004C6020"/>
    <w:rsid w:val="004C6226"/>
    <w:rsid w:val="004C65D8"/>
    <w:rsid w:val="004C6A94"/>
    <w:rsid w:val="004C6AEF"/>
    <w:rsid w:val="004C6C6F"/>
    <w:rsid w:val="004C6FE7"/>
    <w:rsid w:val="004C7592"/>
    <w:rsid w:val="004C786B"/>
    <w:rsid w:val="004C7E72"/>
    <w:rsid w:val="004D0100"/>
    <w:rsid w:val="004D0168"/>
    <w:rsid w:val="004D0173"/>
    <w:rsid w:val="004D05C5"/>
    <w:rsid w:val="004D1056"/>
    <w:rsid w:val="004D1812"/>
    <w:rsid w:val="004D186A"/>
    <w:rsid w:val="004D18E4"/>
    <w:rsid w:val="004D1E9D"/>
    <w:rsid w:val="004D1F95"/>
    <w:rsid w:val="004D27F1"/>
    <w:rsid w:val="004D2901"/>
    <w:rsid w:val="004D292D"/>
    <w:rsid w:val="004D2987"/>
    <w:rsid w:val="004D303F"/>
    <w:rsid w:val="004D30CC"/>
    <w:rsid w:val="004D3231"/>
    <w:rsid w:val="004D3271"/>
    <w:rsid w:val="004D3373"/>
    <w:rsid w:val="004D38DD"/>
    <w:rsid w:val="004D3A85"/>
    <w:rsid w:val="004D40FA"/>
    <w:rsid w:val="004D47E0"/>
    <w:rsid w:val="004D481D"/>
    <w:rsid w:val="004D4CB7"/>
    <w:rsid w:val="004D4E2D"/>
    <w:rsid w:val="004D4FE3"/>
    <w:rsid w:val="004D5453"/>
    <w:rsid w:val="004D5A85"/>
    <w:rsid w:val="004D5C04"/>
    <w:rsid w:val="004D5E00"/>
    <w:rsid w:val="004D5F1C"/>
    <w:rsid w:val="004D620E"/>
    <w:rsid w:val="004D65F0"/>
    <w:rsid w:val="004D7142"/>
    <w:rsid w:val="004D7562"/>
    <w:rsid w:val="004D7F2D"/>
    <w:rsid w:val="004E09F6"/>
    <w:rsid w:val="004E0D20"/>
    <w:rsid w:val="004E0E9D"/>
    <w:rsid w:val="004E14BB"/>
    <w:rsid w:val="004E15D3"/>
    <w:rsid w:val="004E1734"/>
    <w:rsid w:val="004E1857"/>
    <w:rsid w:val="004E1D39"/>
    <w:rsid w:val="004E1F9D"/>
    <w:rsid w:val="004E21E2"/>
    <w:rsid w:val="004E25A2"/>
    <w:rsid w:val="004E293F"/>
    <w:rsid w:val="004E2940"/>
    <w:rsid w:val="004E2B49"/>
    <w:rsid w:val="004E2C66"/>
    <w:rsid w:val="004E2C9D"/>
    <w:rsid w:val="004E2E13"/>
    <w:rsid w:val="004E3478"/>
    <w:rsid w:val="004E380D"/>
    <w:rsid w:val="004E3CFF"/>
    <w:rsid w:val="004E3EAA"/>
    <w:rsid w:val="004E408E"/>
    <w:rsid w:val="004E4D2B"/>
    <w:rsid w:val="004E4FB7"/>
    <w:rsid w:val="004E5682"/>
    <w:rsid w:val="004E5730"/>
    <w:rsid w:val="004E5892"/>
    <w:rsid w:val="004E58E3"/>
    <w:rsid w:val="004E5C2F"/>
    <w:rsid w:val="004E5E2E"/>
    <w:rsid w:val="004E5E4A"/>
    <w:rsid w:val="004E6C60"/>
    <w:rsid w:val="004E6F06"/>
    <w:rsid w:val="004E6F91"/>
    <w:rsid w:val="004E7221"/>
    <w:rsid w:val="004E7922"/>
    <w:rsid w:val="004E7D7E"/>
    <w:rsid w:val="004E7E48"/>
    <w:rsid w:val="004F0020"/>
    <w:rsid w:val="004F0406"/>
    <w:rsid w:val="004F0DFC"/>
    <w:rsid w:val="004F0F09"/>
    <w:rsid w:val="004F0FAA"/>
    <w:rsid w:val="004F106A"/>
    <w:rsid w:val="004F1135"/>
    <w:rsid w:val="004F15AB"/>
    <w:rsid w:val="004F1934"/>
    <w:rsid w:val="004F1AC6"/>
    <w:rsid w:val="004F1F2E"/>
    <w:rsid w:val="004F21A0"/>
    <w:rsid w:val="004F241A"/>
    <w:rsid w:val="004F2FE5"/>
    <w:rsid w:val="004F3441"/>
    <w:rsid w:val="004F3459"/>
    <w:rsid w:val="004F363A"/>
    <w:rsid w:val="004F3764"/>
    <w:rsid w:val="004F3880"/>
    <w:rsid w:val="004F38EB"/>
    <w:rsid w:val="004F3934"/>
    <w:rsid w:val="004F3BDF"/>
    <w:rsid w:val="004F3DED"/>
    <w:rsid w:val="004F3E8A"/>
    <w:rsid w:val="004F41B2"/>
    <w:rsid w:val="004F427C"/>
    <w:rsid w:val="004F43C9"/>
    <w:rsid w:val="004F461C"/>
    <w:rsid w:val="004F4750"/>
    <w:rsid w:val="004F47C9"/>
    <w:rsid w:val="004F487F"/>
    <w:rsid w:val="004F4881"/>
    <w:rsid w:val="004F48E1"/>
    <w:rsid w:val="004F4AFC"/>
    <w:rsid w:val="004F50A1"/>
    <w:rsid w:val="004F52A5"/>
    <w:rsid w:val="004F5321"/>
    <w:rsid w:val="004F534E"/>
    <w:rsid w:val="004F538F"/>
    <w:rsid w:val="004F5795"/>
    <w:rsid w:val="004F6030"/>
    <w:rsid w:val="004F65C6"/>
    <w:rsid w:val="004F6C1E"/>
    <w:rsid w:val="004F7120"/>
    <w:rsid w:val="004F723D"/>
    <w:rsid w:val="004F752C"/>
    <w:rsid w:val="004F75B0"/>
    <w:rsid w:val="004F7A13"/>
    <w:rsid w:val="0050047D"/>
    <w:rsid w:val="005008EF"/>
    <w:rsid w:val="00500B85"/>
    <w:rsid w:val="00500C8C"/>
    <w:rsid w:val="00501099"/>
    <w:rsid w:val="00501375"/>
    <w:rsid w:val="00501B63"/>
    <w:rsid w:val="00501CC1"/>
    <w:rsid w:val="00501D26"/>
    <w:rsid w:val="00501D3B"/>
    <w:rsid w:val="005020FF"/>
    <w:rsid w:val="005022C9"/>
    <w:rsid w:val="005023B6"/>
    <w:rsid w:val="005025F8"/>
    <w:rsid w:val="00502634"/>
    <w:rsid w:val="00502689"/>
    <w:rsid w:val="005028A5"/>
    <w:rsid w:val="00502BF4"/>
    <w:rsid w:val="005036B1"/>
    <w:rsid w:val="0050387F"/>
    <w:rsid w:val="005038F7"/>
    <w:rsid w:val="005039F4"/>
    <w:rsid w:val="00504036"/>
    <w:rsid w:val="00504805"/>
    <w:rsid w:val="00504864"/>
    <w:rsid w:val="00504AE1"/>
    <w:rsid w:val="00504AF7"/>
    <w:rsid w:val="00505127"/>
    <w:rsid w:val="00505DBA"/>
    <w:rsid w:val="00505EEA"/>
    <w:rsid w:val="00506243"/>
    <w:rsid w:val="0050650F"/>
    <w:rsid w:val="00506798"/>
    <w:rsid w:val="0050693E"/>
    <w:rsid w:val="0050697E"/>
    <w:rsid w:val="00506EE4"/>
    <w:rsid w:val="005072B1"/>
    <w:rsid w:val="00507613"/>
    <w:rsid w:val="0050779D"/>
    <w:rsid w:val="005102AD"/>
    <w:rsid w:val="0051051D"/>
    <w:rsid w:val="0051094C"/>
    <w:rsid w:val="005111D5"/>
    <w:rsid w:val="005111EB"/>
    <w:rsid w:val="0051150D"/>
    <w:rsid w:val="00511AB3"/>
    <w:rsid w:val="00511FA3"/>
    <w:rsid w:val="005123CF"/>
    <w:rsid w:val="0051258E"/>
    <w:rsid w:val="0051278A"/>
    <w:rsid w:val="00512A44"/>
    <w:rsid w:val="00512B32"/>
    <w:rsid w:val="00512B51"/>
    <w:rsid w:val="00512F85"/>
    <w:rsid w:val="0051323D"/>
    <w:rsid w:val="005136E1"/>
    <w:rsid w:val="00513C30"/>
    <w:rsid w:val="00513DF5"/>
    <w:rsid w:val="00513F5A"/>
    <w:rsid w:val="005142EA"/>
    <w:rsid w:val="00514C8A"/>
    <w:rsid w:val="00514D56"/>
    <w:rsid w:val="00514E0F"/>
    <w:rsid w:val="0051592F"/>
    <w:rsid w:val="005159DA"/>
    <w:rsid w:val="00516242"/>
    <w:rsid w:val="005162CE"/>
    <w:rsid w:val="005173F9"/>
    <w:rsid w:val="00520B59"/>
    <w:rsid w:val="00520BBB"/>
    <w:rsid w:val="00520FA6"/>
    <w:rsid w:val="00521471"/>
    <w:rsid w:val="0052153B"/>
    <w:rsid w:val="00521908"/>
    <w:rsid w:val="005219F5"/>
    <w:rsid w:val="00521A0B"/>
    <w:rsid w:val="00521B5B"/>
    <w:rsid w:val="00521DA0"/>
    <w:rsid w:val="005224C7"/>
    <w:rsid w:val="00522655"/>
    <w:rsid w:val="00522FE6"/>
    <w:rsid w:val="0052321A"/>
    <w:rsid w:val="00523277"/>
    <w:rsid w:val="00523297"/>
    <w:rsid w:val="005232C6"/>
    <w:rsid w:val="00523674"/>
    <w:rsid w:val="005239FC"/>
    <w:rsid w:val="00523E0C"/>
    <w:rsid w:val="00523E8E"/>
    <w:rsid w:val="00524103"/>
    <w:rsid w:val="00525189"/>
    <w:rsid w:val="0052544D"/>
    <w:rsid w:val="00525456"/>
    <w:rsid w:val="00525693"/>
    <w:rsid w:val="005257B7"/>
    <w:rsid w:val="005261B1"/>
    <w:rsid w:val="005261B8"/>
    <w:rsid w:val="005263F3"/>
    <w:rsid w:val="00527203"/>
    <w:rsid w:val="005278D5"/>
    <w:rsid w:val="00527DE3"/>
    <w:rsid w:val="00527E45"/>
    <w:rsid w:val="00530018"/>
    <w:rsid w:val="005301DF"/>
    <w:rsid w:val="0053048C"/>
    <w:rsid w:val="005307B1"/>
    <w:rsid w:val="00531589"/>
    <w:rsid w:val="00531AB9"/>
    <w:rsid w:val="00531E41"/>
    <w:rsid w:val="00531FE2"/>
    <w:rsid w:val="00532236"/>
    <w:rsid w:val="00532378"/>
    <w:rsid w:val="00532B2F"/>
    <w:rsid w:val="00532C64"/>
    <w:rsid w:val="005333A1"/>
    <w:rsid w:val="0053372B"/>
    <w:rsid w:val="005337FE"/>
    <w:rsid w:val="00533A5C"/>
    <w:rsid w:val="005340D9"/>
    <w:rsid w:val="00534428"/>
    <w:rsid w:val="005346D6"/>
    <w:rsid w:val="005347AC"/>
    <w:rsid w:val="00534B19"/>
    <w:rsid w:val="00535358"/>
    <w:rsid w:val="00535525"/>
    <w:rsid w:val="00535ED2"/>
    <w:rsid w:val="00536127"/>
    <w:rsid w:val="00536873"/>
    <w:rsid w:val="00536B8A"/>
    <w:rsid w:val="00536D5F"/>
    <w:rsid w:val="00536F93"/>
    <w:rsid w:val="0053711F"/>
    <w:rsid w:val="005375DC"/>
    <w:rsid w:val="00537A4F"/>
    <w:rsid w:val="00537C17"/>
    <w:rsid w:val="00537C67"/>
    <w:rsid w:val="00540280"/>
    <w:rsid w:val="00540335"/>
    <w:rsid w:val="005406C5"/>
    <w:rsid w:val="005407D3"/>
    <w:rsid w:val="00540ACD"/>
    <w:rsid w:val="0054117A"/>
    <w:rsid w:val="005411B1"/>
    <w:rsid w:val="00541409"/>
    <w:rsid w:val="00541528"/>
    <w:rsid w:val="005416F6"/>
    <w:rsid w:val="00541A6C"/>
    <w:rsid w:val="00541D00"/>
    <w:rsid w:val="00541DFE"/>
    <w:rsid w:val="00541FB3"/>
    <w:rsid w:val="00542393"/>
    <w:rsid w:val="005426D1"/>
    <w:rsid w:val="00542843"/>
    <w:rsid w:val="00542A64"/>
    <w:rsid w:val="00542AB1"/>
    <w:rsid w:val="00542B83"/>
    <w:rsid w:val="00542C63"/>
    <w:rsid w:val="00542CFA"/>
    <w:rsid w:val="0054316D"/>
    <w:rsid w:val="0054337F"/>
    <w:rsid w:val="005433E9"/>
    <w:rsid w:val="0054394F"/>
    <w:rsid w:val="005439B8"/>
    <w:rsid w:val="00543E6C"/>
    <w:rsid w:val="00543F64"/>
    <w:rsid w:val="00544184"/>
    <w:rsid w:val="0054435B"/>
    <w:rsid w:val="00544CCD"/>
    <w:rsid w:val="00544E47"/>
    <w:rsid w:val="005450CB"/>
    <w:rsid w:val="005453D2"/>
    <w:rsid w:val="00545870"/>
    <w:rsid w:val="00545934"/>
    <w:rsid w:val="00545ACE"/>
    <w:rsid w:val="00545F73"/>
    <w:rsid w:val="00545FCB"/>
    <w:rsid w:val="00546764"/>
    <w:rsid w:val="00546A7B"/>
    <w:rsid w:val="00546BFB"/>
    <w:rsid w:val="00546C05"/>
    <w:rsid w:val="005470C9"/>
    <w:rsid w:val="00547A4F"/>
    <w:rsid w:val="00547BB0"/>
    <w:rsid w:val="0055065F"/>
    <w:rsid w:val="00550AD4"/>
    <w:rsid w:val="00550EF8"/>
    <w:rsid w:val="00550F31"/>
    <w:rsid w:val="0055170C"/>
    <w:rsid w:val="005517C8"/>
    <w:rsid w:val="005517FA"/>
    <w:rsid w:val="005523D6"/>
    <w:rsid w:val="0055243B"/>
    <w:rsid w:val="005527D9"/>
    <w:rsid w:val="005527EC"/>
    <w:rsid w:val="00552917"/>
    <w:rsid w:val="00552C59"/>
    <w:rsid w:val="00552F41"/>
    <w:rsid w:val="005531D0"/>
    <w:rsid w:val="0055351E"/>
    <w:rsid w:val="00553A11"/>
    <w:rsid w:val="00553A82"/>
    <w:rsid w:val="00553D5F"/>
    <w:rsid w:val="00553F6B"/>
    <w:rsid w:val="00554010"/>
    <w:rsid w:val="005545F1"/>
    <w:rsid w:val="0055499D"/>
    <w:rsid w:val="00554E1F"/>
    <w:rsid w:val="00555235"/>
    <w:rsid w:val="005552FD"/>
    <w:rsid w:val="00555305"/>
    <w:rsid w:val="00555432"/>
    <w:rsid w:val="005554BD"/>
    <w:rsid w:val="00555E5E"/>
    <w:rsid w:val="00556085"/>
    <w:rsid w:val="005562AB"/>
    <w:rsid w:val="00556C59"/>
    <w:rsid w:val="00556F4C"/>
    <w:rsid w:val="00557193"/>
    <w:rsid w:val="005574C5"/>
    <w:rsid w:val="00557635"/>
    <w:rsid w:val="00557E18"/>
    <w:rsid w:val="005600E5"/>
    <w:rsid w:val="005607BE"/>
    <w:rsid w:val="0056097D"/>
    <w:rsid w:val="005609AD"/>
    <w:rsid w:val="00560B8F"/>
    <w:rsid w:val="00560B94"/>
    <w:rsid w:val="00560DF4"/>
    <w:rsid w:val="005615CF"/>
    <w:rsid w:val="005619D6"/>
    <w:rsid w:val="00561B53"/>
    <w:rsid w:val="00561D2B"/>
    <w:rsid w:val="00561DBE"/>
    <w:rsid w:val="0056212B"/>
    <w:rsid w:val="0056220B"/>
    <w:rsid w:val="0056226E"/>
    <w:rsid w:val="005622FE"/>
    <w:rsid w:val="00562BDC"/>
    <w:rsid w:val="00562C8F"/>
    <w:rsid w:val="00563989"/>
    <w:rsid w:val="00563CC6"/>
    <w:rsid w:val="00563D81"/>
    <w:rsid w:val="00563EBC"/>
    <w:rsid w:val="00564058"/>
    <w:rsid w:val="00564176"/>
    <w:rsid w:val="005641A3"/>
    <w:rsid w:val="00564379"/>
    <w:rsid w:val="005644E7"/>
    <w:rsid w:val="005644ED"/>
    <w:rsid w:val="0056492D"/>
    <w:rsid w:val="00564C6D"/>
    <w:rsid w:val="00564E8F"/>
    <w:rsid w:val="00564EAF"/>
    <w:rsid w:val="005652FC"/>
    <w:rsid w:val="00565B02"/>
    <w:rsid w:val="00565E05"/>
    <w:rsid w:val="005660D3"/>
    <w:rsid w:val="00566B63"/>
    <w:rsid w:val="00566D03"/>
    <w:rsid w:val="0056722C"/>
    <w:rsid w:val="00567266"/>
    <w:rsid w:val="005677C4"/>
    <w:rsid w:val="00567C01"/>
    <w:rsid w:val="00567C0E"/>
    <w:rsid w:val="00570055"/>
    <w:rsid w:val="005700AA"/>
    <w:rsid w:val="00570196"/>
    <w:rsid w:val="005701CB"/>
    <w:rsid w:val="00570418"/>
    <w:rsid w:val="00570B0B"/>
    <w:rsid w:val="00570BE0"/>
    <w:rsid w:val="00570BE1"/>
    <w:rsid w:val="00570C07"/>
    <w:rsid w:val="00570E63"/>
    <w:rsid w:val="00570E7F"/>
    <w:rsid w:val="00570F79"/>
    <w:rsid w:val="00571514"/>
    <w:rsid w:val="005715C6"/>
    <w:rsid w:val="00571D4D"/>
    <w:rsid w:val="00571E77"/>
    <w:rsid w:val="005728A4"/>
    <w:rsid w:val="005729AA"/>
    <w:rsid w:val="00572D1F"/>
    <w:rsid w:val="00572ECB"/>
    <w:rsid w:val="005736E9"/>
    <w:rsid w:val="0057378C"/>
    <w:rsid w:val="00573D25"/>
    <w:rsid w:val="00573DB3"/>
    <w:rsid w:val="005746EB"/>
    <w:rsid w:val="005752A9"/>
    <w:rsid w:val="005760EA"/>
    <w:rsid w:val="005760EB"/>
    <w:rsid w:val="005763F8"/>
    <w:rsid w:val="005763FC"/>
    <w:rsid w:val="00576EB4"/>
    <w:rsid w:val="00577070"/>
    <w:rsid w:val="0057716D"/>
    <w:rsid w:val="0057722E"/>
    <w:rsid w:val="0057750E"/>
    <w:rsid w:val="00580713"/>
    <w:rsid w:val="00580893"/>
    <w:rsid w:val="00580E65"/>
    <w:rsid w:val="0058128B"/>
    <w:rsid w:val="005813A7"/>
    <w:rsid w:val="0058155A"/>
    <w:rsid w:val="005816A8"/>
    <w:rsid w:val="0058190F"/>
    <w:rsid w:val="005822A8"/>
    <w:rsid w:val="005822BC"/>
    <w:rsid w:val="005823A4"/>
    <w:rsid w:val="00582768"/>
    <w:rsid w:val="00583461"/>
    <w:rsid w:val="00583786"/>
    <w:rsid w:val="005838EA"/>
    <w:rsid w:val="005840FC"/>
    <w:rsid w:val="0058495D"/>
    <w:rsid w:val="00584A36"/>
    <w:rsid w:val="00584F62"/>
    <w:rsid w:val="00584FEB"/>
    <w:rsid w:val="005856A4"/>
    <w:rsid w:val="005856CC"/>
    <w:rsid w:val="005857DA"/>
    <w:rsid w:val="0058583E"/>
    <w:rsid w:val="005859D6"/>
    <w:rsid w:val="005865E9"/>
    <w:rsid w:val="005867E0"/>
    <w:rsid w:val="005868A8"/>
    <w:rsid w:val="00586A0D"/>
    <w:rsid w:val="00587037"/>
    <w:rsid w:val="00587492"/>
    <w:rsid w:val="0058756B"/>
    <w:rsid w:val="00587625"/>
    <w:rsid w:val="0059054D"/>
    <w:rsid w:val="00590730"/>
    <w:rsid w:val="00590784"/>
    <w:rsid w:val="00590C34"/>
    <w:rsid w:val="00590D2B"/>
    <w:rsid w:val="00590DA0"/>
    <w:rsid w:val="00590F71"/>
    <w:rsid w:val="00591144"/>
    <w:rsid w:val="00591650"/>
    <w:rsid w:val="0059187B"/>
    <w:rsid w:val="00591E70"/>
    <w:rsid w:val="00592227"/>
    <w:rsid w:val="00592554"/>
    <w:rsid w:val="00592723"/>
    <w:rsid w:val="00592BFC"/>
    <w:rsid w:val="00592CEC"/>
    <w:rsid w:val="005933DD"/>
    <w:rsid w:val="005936EB"/>
    <w:rsid w:val="00593733"/>
    <w:rsid w:val="00593BEA"/>
    <w:rsid w:val="00593C04"/>
    <w:rsid w:val="00593F9E"/>
    <w:rsid w:val="005940FC"/>
    <w:rsid w:val="00594195"/>
    <w:rsid w:val="005943A3"/>
    <w:rsid w:val="0059475B"/>
    <w:rsid w:val="00594D89"/>
    <w:rsid w:val="00595CAF"/>
    <w:rsid w:val="00595F29"/>
    <w:rsid w:val="005960A6"/>
    <w:rsid w:val="00596515"/>
    <w:rsid w:val="00596F5A"/>
    <w:rsid w:val="005973F3"/>
    <w:rsid w:val="00597432"/>
    <w:rsid w:val="005974C1"/>
    <w:rsid w:val="005975F5"/>
    <w:rsid w:val="005976F8"/>
    <w:rsid w:val="005A017E"/>
    <w:rsid w:val="005A0380"/>
    <w:rsid w:val="005A0388"/>
    <w:rsid w:val="005A0F87"/>
    <w:rsid w:val="005A10FC"/>
    <w:rsid w:val="005A11C3"/>
    <w:rsid w:val="005A1356"/>
    <w:rsid w:val="005A18EE"/>
    <w:rsid w:val="005A19EA"/>
    <w:rsid w:val="005A1E78"/>
    <w:rsid w:val="005A219D"/>
    <w:rsid w:val="005A246D"/>
    <w:rsid w:val="005A2BA6"/>
    <w:rsid w:val="005A2E40"/>
    <w:rsid w:val="005A2F0E"/>
    <w:rsid w:val="005A2F83"/>
    <w:rsid w:val="005A3051"/>
    <w:rsid w:val="005A3368"/>
    <w:rsid w:val="005A37EA"/>
    <w:rsid w:val="005A3D32"/>
    <w:rsid w:val="005A46EF"/>
    <w:rsid w:val="005A4ADB"/>
    <w:rsid w:val="005A4DD7"/>
    <w:rsid w:val="005A5151"/>
    <w:rsid w:val="005A52C6"/>
    <w:rsid w:val="005A53FE"/>
    <w:rsid w:val="005A6109"/>
    <w:rsid w:val="005A6C2D"/>
    <w:rsid w:val="005A6DBA"/>
    <w:rsid w:val="005A744A"/>
    <w:rsid w:val="005A7880"/>
    <w:rsid w:val="005A7A72"/>
    <w:rsid w:val="005A7E63"/>
    <w:rsid w:val="005B0392"/>
    <w:rsid w:val="005B0491"/>
    <w:rsid w:val="005B07F5"/>
    <w:rsid w:val="005B0E0C"/>
    <w:rsid w:val="005B0EF0"/>
    <w:rsid w:val="005B1D10"/>
    <w:rsid w:val="005B248D"/>
    <w:rsid w:val="005B25A2"/>
    <w:rsid w:val="005B28B3"/>
    <w:rsid w:val="005B346B"/>
    <w:rsid w:val="005B3536"/>
    <w:rsid w:val="005B389F"/>
    <w:rsid w:val="005B4389"/>
    <w:rsid w:val="005B4467"/>
    <w:rsid w:val="005B5255"/>
    <w:rsid w:val="005B5B95"/>
    <w:rsid w:val="005B5C04"/>
    <w:rsid w:val="005B5D4F"/>
    <w:rsid w:val="005B625F"/>
    <w:rsid w:val="005B6281"/>
    <w:rsid w:val="005B62C9"/>
    <w:rsid w:val="005B6AB6"/>
    <w:rsid w:val="005B785F"/>
    <w:rsid w:val="005B7A5B"/>
    <w:rsid w:val="005B7BBA"/>
    <w:rsid w:val="005B7D22"/>
    <w:rsid w:val="005B7D36"/>
    <w:rsid w:val="005C029E"/>
    <w:rsid w:val="005C042C"/>
    <w:rsid w:val="005C050B"/>
    <w:rsid w:val="005C0B60"/>
    <w:rsid w:val="005C1410"/>
    <w:rsid w:val="005C152F"/>
    <w:rsid w:val="005C15AA"/>
    <w:rsid w:val="005C15FA"/>
    <w:rsid w:val="005C1882"/>
    <w:rsid w:val="005C1A2C"/>
    <w:rsid w:val="005C1C59"/>
    <w:rsid w:val="005C1F0D"/>
    <w:rsid w:val="005C23BE"/>
    <w:rsid w:val="005C297A"/>
    <w:rsid w:val="005C30A3"/>
    <w:rsid w:val="005C3B63"/>
    <w:rsid w:val="005C3B6B"/>
    <w:rsid w:val="005C3C42"/>
    <w:rsid w:val="005C3F44"/>
    <w:rsid w:val="005C3F74"/>
    <w:rsid w:val="005C44DF"/>
    <w:rsid w:val="005C536A"/>
    <w:rsid w:val="005C5395"/>
    <w:rsid w:val="005C595C"/>
    <w:rsid w:val="005C5997"/>
    <w:rsid w:val="005C5CD4"/>
    <w:rsid w:val="005C5D2C"/>
    <w:rsid w:val="005C5E55"/>
    <w:rsid w:val="005C6020"/>
    <w:rsid w:val="005C6142"/>
    <w:rsid w:val="005C6562"/>
    <w:rsid w:val="005C676B"/>
    <w:rsid w:val="005C679F"/>
    <w:rsid w:val="005C68AD"/>
    <w:rsid w:val="005C68DF"/>
    <w:rsid w:val="005C697C"/>
    <w:rsid w:val="005C6D99"/>
    <w:rsid w:val="005C6E49"/>
    <w:rsid w:val="005C7594"/>
    <w:rsid w:val="005C7A84"/>
    <w:rsid w:val="005C7FDD"/>
    <w:rsid w:val="005D0142"/>
    <w:rsid w:val="005D05D2"/>
    <w:rsid w:val="005D072A"/>
    <w:rsid w:val="005D07ED"/>
    <w:rsid w:val="005D11D3"/>
    <w:rsid w:val="005D173A"/>
    <w:rsid w:val="005D1A57"/>
    <w:rsid w:val="005D2371"/>
    <w:rsid w:val="005D2444"/>
    <w:rsid w:val="005D2939"/>
    <w:rsid w:val="005D39D2"/>
    <w:rsid w:val="005D3B6D"/>
    <w:rsid w:val="005D3EB2"/>
    <w:rsid w:val="005D3FF5"/>
    <w:rsid w:val="005D4345"/>
    <w:rsid w:val="005D44E9"/>
    <w:rsid w:val="005D4A77"/>
    <w:rsid w:val="005D4AEE"/>
    <w:rsid w:val="005D506C"/>
    <w:rsid w:val="005D5299"/>
    <w:rsid w:val="005D5494"/>
    <w:rsid w:val="005D5918"/>
    <w:rsid w:val="005D5BDD"/>
    <w:rsid w:val="005D6954"/>
    <w:rsid w:val="005D70A1"/>
    <w:rsid w:val="005D723F"/>
    <w:rsid w:val="005D7479"/>
    <w:rsid w:val="005D7A08"/>
    <w:rsid w:val="005D7AFA"/>
    <w:rsid w:val="005E05C6"/>
    <w:rsid w:val="005E085D"/>
    <w:rsid w:val="005E093E"/>
    <w:rsid w:val="005E0D67"/>
    <w:rsid w:val="005E0DC3"/>
    <w:rsid w:val="005E0EEB"/>
    <w:rsid w:val="005E0F15"/>
    <w:rsid w:val="005E1425"/>
    <w:rsid w:val="005E1660"/>
    <w:rsid w:val="005E1862"/>
    <w:rsid w:val="005E19C8"/>
    <w:rsid w:val="005E1CC5"/>
    <w:rsid w:val="005E206C"/>
    <w:rsid w:val="005E29B8"/>
    <w:rsid w:val="005E2A43"/>
    <w:rsid w:val="005E2C66"/>
    <w:rsid w:val="005E2ED3"/>
    <w:rsid w:val="005E2F52"/>
    <w:rsid w:val="005E2F5C"/>
    <w:rsid w:val="005E3017"/>
    <w:rsid w:val="005E3030"/>
    <w:rsid w:val="005E326F"/>
    <w:rsid w:val="005E33E5"/>
    <w:rsid w:val="005E3FA7"/>
    <w:rsid w:val="005E3FED"/>
    <w:rsid w:val="005E4294"/>
    <w:rsid w:val="005E4413"/>
    <w:rsid w:val="005E486F"/>
    <w:rsid w:val="005E4C93"/>
    <w:rsid w:val="005E4FBD"/>
    <w:rsid w:val="005E5037"/>
    <w:rsid w:val="005E511F"/>
    <w:rsid w:val="005E557A"/>
    <w:rsid w:val="005E5718"/>
    <w:rsid w:val="005E594E"/>
    <w:rsid w:val="005E5A33"/>
    <w:rsid w:val="005E5FCA"/>
    <w:rsid w:val="005E600C"/>
    <w:rsid w:val="005E68EC"/>
    <w:rsid w:val="005E6CBF"/>
    <w:rsid w:val="005E739D"/>
    <w:rsid w:val="005E7963"/>
    <w:rsid w:val="005E7C90"/>
    <w:rsid w:val="005F064E"/>
    <w:rsid w:val="005F0940"/>
    <w:rsid w:val="005F0B07"/>
    <w:rsid w:val="005F0D69"/>
    <w:rsid w:val="005F16CE"/>
    <w:rsid w:val="005F19ED"/>
    <w:rsid w:val="005F1C86"/>
    <w:rsid w:val="005F2054"/>
    <w:rsid w:val="005F218C"/>
    <w:rsid w:val="005F22E8"/>
    <w:rsid w:val="005F25EF"/>
    <w:rsid w:val="005F2686"/>
    <w:rsid w:val="005F2B4B"/>
    <w:rsid w:val="005F2B59"/>
    <w:rsid w:val="005F2E55"/>
    <w:rsid w:val="005F2F8D"/>
    <w:rsid w:val="005F3918"/>
    <w:rsid w:val="005F47B7"/>
    <w:rsid w:val="005F4AF0"/>
    <w:rsid w:val="005F4D6D"/>
    <w:rsid w:val="005F4DE2"/>
    <w:rsid w:val="005F4F2E"/>
    <w:rsid w:val="005F5A0B"/>
    <w:rsid w:val="005F5BC9"/>
    <w:rsid w:val="005F5CD5"/>
    <w:rsid w:val="005F6450"/>
    <w:rsid w:val="005F6509"/>
    <w:rsid w:val="005F67A5"/>
    <w:rsid w:val="005F6828"/>
    <w:rsid w:val="005F68D0"/>
    <w:rsid w:val="005F6C80"/>
    <w:rsid w:val="005F6F5E"/>
    <w:rsid w:val="005F72D6"/>
    <w:rsid w:val="005F747A"/>
    <w:rsid w:val="005F7D18"/>
    <w:rsid w:val="005F7E72"/>
    <w:rsid w:val="00600829"/>
    <w:rsid w:val="00600CDF"/>
    <w:rsid w:val="00600F98"/>
    <w:rsid w:val="00601239"/>
    <w:rsid w:val="006013C3"/>
    <w:rsid w:val="00601D4D"/>
    <w:rsid w:val="00601DC4"/>
    <w:rsid w:val="00601FBA"/>
    <w:rsid w:val="006021B4"/>
    <w:rsid w:val="006021E1"/>
    <w:rsid w:val="00602614"/>
    <w:rsid w:val="00602BF3"/>
    <w:rsid w:val="00602E3F"/>
    <w:rsid w:val="006034DB"/>
    <w:rsid w:val="00603658"/>
    <w:rsid w:val="00603C09"/>
    <w:rsid w:val="00603D1C"/>
    <w:rsid w:val="00603D31"/>
    <w:rsid w:val="00603E3A"/>
    <w:rsid w:val="00604241"/>
    <w:rsid w:val="00604344"/>
    <w:rsid w:val="00604420"/>
    <w:rsid w:val="00604451"/>
    <w:rsid w:val="00604C26"/>
    <w:rsid w:val="00604C9F"/>
    <w:rsid w:val="00604DDC"/>
    <w:rsid w:val="00604DEE"/>
    <w:rsid w:val="00605206"/>
    <w:rsid w:val="006053E7"/>
    <w:rsid w:val="006054F2"/>
    <w:rsid w:val="00605640"/>
    <w:rsid w:val="006059EB"/>
    <w:rsid w:val="00605A7F"/>
    <w:rsid w:val="00605B5B"/>
    <w:rsid w:val="006062D8"/>
    <w:rsid w:val="0060658C"/>
    <w:rsid w:val="00606827"/>
    <w:rsid w:val="0060710C"/>
    <w:rsid w:val="0060763C"/>
    <w:rsid w:val="006078FE"/>
    <w:rsid w:val="00607AAA"/>
    <w:rsid w:val="00607BFE"/>
    <w:rsid w:val="00607D7F"/>
    <w:rsid w:val="00607F9A"/>
    <w:rsid w:val="006102D6"/>
    <w:rsid w:val="00610322"/>
    <w:rsid w:val="00610878"/>
    <w:rsid w:val="00610C2D"/>
    <w:rsid w:val="00610E37"/>
    <w:rsid w:val="00610EC5"/>
    <w:rsid w:val="00610F43"/>
    <w:rsid w:val="0061118E"/>
    <w:rsid w:val="00611275"/>
    <w:rsid w:val="006116E6"/>
    <w:rsid w:val="00611936"/>
    <w:rsid w:val="006119FC"/>
    <w:rsid w:val="00611CE2"/>
    <w:rsid w:val="006129BC"/>
    <w:rsid w:val="00612AAB"/>
    <w:rsid w:val="00612C9A"/>
    <w:rsid w:val="006133D8"/>
    <w:rsid w:val="00613926"/>
    <w:rsid w:val="00614288"/>
    <w:rsid w:val="0061494E"/>
    <w:rsid w:val="0061509D"/>
    <w:rsid w:val="00615113"/>
    <w:rsid w:val="00615148"/>
    <w:rsid w:val="00615259"/>
    <w:rsid w:val="0061588C"/>
    <w:rsid w:val="00615B0A"/>
    <w:rsid w:val="00615CB4"/>
    <w:rsid w:val="006162B4"/>
    <w:rsid w:val="00616AF1"/>
    <w:rsid w:val="00616C1F"/>
    <w:rsid w:val="00616E82"/>
    <w:rsid w:val="00617087"/>
    <w:rsid w:val="006171A1"/>
    <w:rsid w:val="00617CEE"/>
    <w:rsid w:val="00617DBE"/>
    <w:rsid w:val="00617F21"/>
    <w:rsid w:val="00620090"/>
    <w:rsid w:val="00620153"/>
    <w:rsid w:val="00620262"/>
    <w:rsid w:val="0062077D"/>
    <w:rsid w:val="006207F5"/>
    <w:rsid w:val="006209F5"/>
    <w:rsid w:val="00620B73"/>
    <w:rsid w:val="00620E22"/>
    <w:rsid w:val="0062117E"/>
    <w:rsid w:val="00621A47"/>
    <w:rsid w:val="00621A5F"/>
    <w:rsid w:val="00621B4C"/>
    <w:rsid w:val="00621BAC"/>
    <w:rsid w:val="00621D3F"/>
    <w:rsid w:val="00621D62"/>
    <w:rsid w:val="00621FF5"/>
    <w:rsid w:val="0062228B"/>
    <w:rsid w:val="00622A57"/>
    <w:rsid w:val="00622AEB"/>
    <w:rsid w:val="00622B2A"/>
    <w:rsid w:val="00622F8A"/>
    <w:rsid w:val="00623175"/>
    <w:rsid w:val="006246E0"/>
    <w:rsid w:val="0062485A"/>
    <w:rsid w:val="006249BB"/>
    <w:rsid w:val="00624F87"/>
    <w:rsid w:val="006252CF"/>
    <w:rsid w:val="00625ADD"/>
    <w:rsid w:val="00625BFF"/>
    <w:rsid w:val="00625D20"/>
    <w:rsid w:val="00625E0C"/>
    <w:rsid w:val="0062625F"/>
    <w:rsid w:val="006267F6"/>
    <w:rsid w:val="00626AE0"/>
    <w:rsid w:val="00626DAB"/>
    <w:rsid w:val="00627811"/>
    <w:rsid w:val="006279A0"/>
    <w:rsid w:val="00627C52"/>
    <w:rsid w:val="00627E55"/>
    <w:rsid w:val="006300C4"/>
    <w:rsid w:val="006307A0"/>
    <w:rsid w:val="00630937"/>
    <w:rsid w:val="0063097D"/>
    <w:rsid w:val="00630C2A"/>
    <w:rsid w:val="00630E34"/>
    <w:rsid w:val="00630EFB"/>
    <w:rsid w:val="00631149"/>
    <w:rsid w:val="00631640"/>
    <w:rsid w:val="00631CB3"/>
    <w:rsid w:val="00631EBE"/>
    <w:rsid w:val="0063205F"/>
    <w:rsid w:val="00632D3A"/>
    <w:rsid w:val="00632DCB"/>
    <w:rsid w:val="00632F44"/>
    <w:rsid w:val="00633012"/>
    <w:rsid w:val="00633665"/>
    <w:rsid w:val="00633950"/>
    <w:rsid w:val="006339EF"/>
    <w:rsid w:val="00633D7C"/>
    <w:rsid w:val="00633D97"/>
    <w:rsid w:val="00633DFC"/>
    <w:rsid w:val="00634CBB"/>
    <w:rsid w:val="00634D32"/>
    <w:rsid w:val="00634DD9"/>
    <w:rsid w:val="00634EA2"/>
    <w:rsid w:val="00634F41"/>
    <w:rsid w:val="006351DC"/>
    <w:rsid w:val="00635441"/>
    <w:rsid w:val="006357E1"/>
    <w:rsid w:val="00635E71"/>
    <w:rsid w:val="006363E8"/>
    <w:rsid w:val="006365C9"/>
    <w:rsid w:val="00636B54"/>
    <w:rsid w:val="00636C75"/>
    <w:rsid w:val="00636F46"/>
    <w:rsid w:val="0063714E"/>
    <w:rsid w:val="00637748"/>
    <w:rsid w:val="006378D2"/>
    <w:rsid w:val="0063794D"/>
    <w:rsid w:val="006379E7"/>
    <w:rsid w:val="00640036"/>
    <w:rsid w:val="00640258"/>
    <w:rsid w:val="0064048B"/>
    <w:rsid w:val="006404E8"/>
    <w:rsid w:val="00640BF1"/>
    <w:rsid w:val="00640C73"/>
    <w:rsid w:val="00640F1A"/>
    <w:rsid w:val="006411B0"/>
    <w:rsid w:val="0064187D"/>
    <w:rsid w:val="00641B48"/>
    <w:rsid w:val="00641C6E"/>
    <w:rsid w:val="00642480"/>
    <w:rsid w:val="006425F2"/>
    <w:rsid w:val="0064265A"/>
    <w:rsid w:val="00642672"/>
    <w:rsid w:val="00642C29"/>
    <w:rsid w:val="00643051"/>
    <w:rsid w:val="00643973"/>
    <w:rsid w:val="00643CCE"/>
    <w:rsid w:val="00643E60"/>
    <w:rsid w:val="00644052"/>
    <w:rsid w:val="0064412C"/>
    <w:rsid w:val="0064536D"/>
    <w:rsid w:val="006456C0"/>
    <w:rsid w:val="00645774"/>
    <w:rsid w:val="006458D4"/>
    <w:rsid w:val="00645B07"/>
    <w:rsid w:val="00646458"/>
    <w:rsid w:val="0064653D"/>
    <w:rsid w:val="00646679"/>
    <w:rsid w:val="0064721D"/>
    <w:rsid w:val="00647540"/>
    <w:rsid w:val="00647753"/>
    <w:rsid w:val="00647948"/>
    <w:rsid w:val="006479DC"/>
    <w:rsid w:val="00647C54"/>
    <w:rsid w:val="00647CC9"/>
    <w:rsid w:val="00647D0E"/>
    <w:rsid w:val="00647D41"/>
    <w:rsid w:val="00650387"/>
    <w:rsid w:val="0065083F"/>
    <w:rsid w:val="00651130"/>
    <w:rsid w:val="0065118F"/>
    <w:rsid w:val="00651252"/>
    <w:rsid w:val="006515D5"/>
    <w:rsid w:val="006516E1"/>
    <w:rsid w:val="0065176D"/>
    <w:rsid w:val="0065180B"/>
    <w:rsid w:val="00651FA8"/>
    <w:rsid w:val="00652031"/>
    <w:rsid w:val="006526D9"/>
    <w:rsid w:val="0065295E"/>
    <w:rsid w:val="00652CB0"/>
    <w:rsid w:val="006537FE"/>
    <w:rsid w:val="00653B84"/>
    <w:rsid w:val="00653B95"/>
    <w:rsid w:val="00653E0D"/>
    <w:rsid w:val="00653F08"/>
    <w:rsid w:val="00654602"/>
    <w:rsid w:val="006549BA"/>
    <w:rsid w:val="006552B8"/>
    <w:rsid w:val="00655699"/>
    <w:rsid w:val="006557C8"/>
    <w:rsid w:val="00655AF8"/>
    <w:rsid w:val="00655B95"/>
    <w:rsid w:val="00655E36"/>
    <w:rsid w:val="00656136"/>
    <w:rsid w:val="0065615F"/>
    <w:rsid w:val="00656A1B"/>
    <w:rsid w:val="00656AA2"/>
    <w:rsid w:val="00656B77"/>
    <w:rsid w:val="00656C78"/>
    <w:rsid w:val="00656FE9"/>
    <w:rsid w:val="00657048"/>
    <w:rsid w:val="0065733F"/>
    <w:rsid w:val="006575C7"/>
    <w:rsid w:val="0065797F"/>
    <w:rsid w:val="00657B9B"/>
    <w:rsid w:val="00657BBD"/>
    <w:rsid w:val="00657C18"/>
    <w:rsid w:val="00657C1A"/>
    <w:rsid w:val="006602B0"/>
    <w:rsid w:val="00660649"/>
    <w:rsid w:val="00660757"/>
    <w:rsid w:val="00660899"/>
    <w:rsid w:val="00660AE0"/>
    <w:rsid w:val="00660C83"/>
    <w:rsid w:val="00660EC7"/>
    <w:rsid w:val="006613F8"/>
    <w:rsid w:val="00661B03"/>
    <w:rsid w:val="00661DD8"/>
    <w:rsid w:val="00662045"/>
    <w:rsid w:val="006620D1"/>
    <w:rsid w:val="006624DA"/>
    <w:rsid w:val="00662616"/>
    <w:rsid w:val="0066291D"/>
    <w:rsid w:val="006629C9"/>
    <w:rsid w:val="00662AF0"/>
    <w:rsid w:val="00662BC4"/>
    <w:rsid w:val="00662F01"/>
    <w:rsid w:val="00663031"/>
    <w:rsid w:val="00663169"/>
    <w:rsid w:val="006631C9"/>
    <w:rsid w:val="00663234"/>
    <w:rsid w:val="006632C1"/>
    <w:rsid w:val="00663309"/>
    <w:rsid w:val="00663695"/>
    <w:rsid w:val="006636EE"/>
    <w:rsid w:val="006638EB"/>
    <w:rsid w:val="00663A60"/>
    <w:rsid w:val="006648DA"/>
    <w:rsid w:val="00664BAA"/>
    <w:rsid w:val="00664C7A"/>
    <w:rsid w:val="00665090"/>
    <w:rsid w:val="006652AB"/>
    <w:rsid w:val="006653D6"/>
    <w:rsid w:val="006653F5"/>
    <w:rsid w:val="0066548F"/>
    <w:rsid w:val="00665B21"/>
    <w:rsid w:val="00665D4B"/>
    <w:rsid w:val="00665DD7"/>
    <w:rsid w:val="00665EED"/>
    <w:rsid w:val="006664BC"/>
    <w:rsid w:val="006667B0"/>
    <w:rsid w:val="00666A03"/>
    <w:rsid w:val="00666C05"/>
    <w:rsid w:val="00666ED7"/>
    <w:rsid w:val="00667287"/>
    <w:rsid w:val="006678C3"/>
    <w:rsid w:val="00667AEA"/>
    <w:rsid w:val="00667F9C"/>
    <w:rsid w:val="0067072A"/>
    <w:rsid w:val="006708D3"/>
    <w:rsid w:val="00670AC6"/>
    <w:rsid w:val="00671286"/>
    <w:rsid w:val="006716E7"/>
    <w:rsid w:val="0067181A"/>
    <w:rsid w:val="006719DF"/>
    <w:rsid w:val="00671C40"/>
    <w:rsid w:val="00671C7A"/>
    <w:rsid w:val="00672DB2"/>
    <w:rsid w:val="00673320"/>
    <w:rsid w:val="006733EE"/>
    <w:rsid w:val="00673658"/>
    <w:rsid w:val="0067378D"/>
    <w:rsid w:val="006739F8"/>
    <w:rsid w:val="00673E2B"/>
    <w:rsid w:val="006744C7"/>
    <w:rsid w:val="00674F25"/>
    <w:rsid w:val="00675D23"/>
    <w:rsid w:val="00675E2B"/>
    <w:rsid w:val="0067639A"/>
    <w:rsid w:val="0067640D"/>
    <w:rsid w:val="00676448"/>
    <w:rsid w:val="00676597"/>
    <w:rsid w:val="00676A87"/>
    <w:rsid w:val="00676AA2"/>
    <w:rsid w:val="00676EB9"/>
    <w:rsid w:val="006773F2"/>
    <w:rsid w:val="00677CA0"/>
    <w:rsid w:val="00677F9F"/>
    <w:rsid w:val="006808A3"/>
    <w:rsid w:val="00680D6E"/>
    <w:rsid w:val="00680DD3"/>
    <w:rsid w:val="00680DF8"/>
    <w:rsid w:val="00681240"/>
    <w:rsid w:val="00681282"/>
    <w:rsid w:val="006813FF"/>
    <w:rsid w:val="00681428"/>
    <w:rsid w:val="006815B2"/>
    <w:rsid w:val="00681CC8"/>
    <w:rsid w:val="00682833"/>
    <w:rsid w:val="00682D74"/>
    <w:rsid w:val="00683273"/>
    <w:rsid w:val="006835D1"/>
    <w:rsid w:val="006852C6"/>
    <w:rsid w:val="0068548D"/>
    <w:rsid w:val="006854EA"/>
    <w:rsid w:val="00685736"/>
    <w:rsid w:val="006858F1"/>
    <w:rsid w:val="00685A09"/>
    <w:rsid w:val="00685CF9"/>
    <w:rsid w:val="00685DA7"/>
    <w:rsid w:val="00685EDF"/>
    <w:rsid w:val="00685F47"/>
    <w:rsid w:val="006865C8"/>
    <w:rsid w:val="00686AA3"/>
    <w:rsid w:val="00686B48"/>
    <w:rsid w:val="00686CB6"/>
    <w:rsid w:val="00687038"/>
    <w:rsid w:val="0068714E"/>
    <w:rsid w:val="006873BF"/>
    <w:rsid w:val="006876E1"/>
    <w:rsid w:val="006877B6"/>
    <w:rsid w:val="00687B14"/>
    <w:rsid w:val="00687D02"/>
    <w:rsid w:val="00687DBD"/>
    <w:rsid w:val="006905B3"/>
    <w:rsid w:val="00690A09"/>
    <w:rsid w:val="00690ACC"/>
    <w:rsid w:val="00690CD3"/>
    <w:rsid w:val="00690FF8"/>
    <w:rsid w:val="0069114D"/>
    <w:rsid w:val="00691341"/>
    <w:rsid w:val="0069139A"/>
    <w:rsid w:val="00691C15"/>
    <w:rsid w:val="00691C1E"/>
    <w:rsid w:val="006924DD"/>
    <w:rsid w:val="00692827"/>
    <w:rsid w:val="006929F7"/>
    <w:rsid w:val="00692AF7"/>
    <w:rsid w:val="00692E7B"/>
    <w:rsid w:val="00693519"/>
    <w:rsid w:val="0069374A"/>
    <w:rsid w:val="00693951"/>
    <w:rsid w:val="00693D52"/>
    <w:rsid w:val="00694104"/>
    <w:rsid w:val="00694392"/>
    <w:rsid w:val="00694AB8"/>
    <w:rsid w:val="006953F6"/>
    <w:rsid w:val="00695841"/>
    <w:rsid w:val="00695876"/>
    <w:rsid w:val="00695E66"/>
    <w:rsid w:val="00695EF7"/>
    <w:rsid w:val="00695FEC"/>
    <w:rsid w:val="00696165"/>
    <w:rsid w:val="00696996"/>
    <w:rsid w:val="0069699D"/>
    <w:rsid w:val="00696AAC"/>
    <w:rsid w:val="00697466"/>
    <w:rsid w:val="00697591"/>
    <w:rsid w:val="00697C4A"/>
    <w:rsid w:val="00697CAC"/>
    <w:rsid w:val="006A0447"/>
    <w:rsid w:val="006A0AC1"/>
    <w:rsid w:val="006A1083"/>
    <w:rsid w:val="006A13B9"/>
    <w:rsid w:val="006A1787"/>
    <w:rsid w:val="006A1964"/>
    <w:rsid w:val="006A1B55"/>
    <w:rsid w:val="006A2851"/>
    <w:rsid w:val="006A2A8E"/>
    <w:rsid w:val="006A2C9C"/>
    <w:rsid w:val="006A362C"/>
    <w:rsid w:val="006A38C7"/>
    <w:rsid w:val="006A44A9"/>
    <w:rsid w:val="006A483D"/>
    <w:rsid w:val="006A48E3"/>
    <w:rsid w:val="006A4BB9"/>
    <w:rsid w:val="006A529A"/>
    <w:rsid w:val="006A52B9"/>
    <w:rsid w:val="006A5776"/>
    <w:rsid w:val="006A5AAA"/>
    <w:rsid w:val="006A5AD6"/>
    <w:rsid w:val="006A5ADF"/>
    <w:rsid w:val="006A5D7A"/>
    <w:rsid w:val="006A5E69"/>
    <w:rsid w:val="006A65D9"/>
    <w:rsid w:val="006A6FBC"/>
    <w:rsid w:val="006A7750"/>
    <w:rsid w:val="006A7D15"/>
    <w:rsid w:val="006A7D2E"/>
    <w:rsid w:val="006A7FEC"/>
    <w:rsid w:val="006B048A"/>
    <w:rsid w:val="006B060B"/>
    <w:rsid w:val="006B06D1"/>
    <w:rsid w:val="006B083D"/>
    <w:rsid w:val="006B091D"/>
    <w:rsid w:val="006B0951"/>
    <w:rsid w:val="006B0961"/>
    <w:rsid w:val="006B1217"/>
    <w:rsid w:val="006B1258"/>
    <w:rsid w:val="006B1496"/>
    <w:rsid w:val="006B1655"/>
    <w:rsid w:val="006B1DC3"/>
    <w:rsid w:val="006B1DCA"/>
    <w:rsid w:val="006B1E24"/>
    <w:rsid w:val="006B2540"/>
    <w:rsid w:val="006B2A92"/>
    <w:rsid w:val="006B2B80"/>
    <w:rsid w:val="006B2C51"/>
    <w:rsid w:val="006B2EE4"/>
    <w:rsid w:val="006B423D"/>
    <w:rsid w:val="006B42C2"/>
    <w:rsid w:val="006B43A3"/>
    <w:rsid w:val="006B4BBD"/>
    <w:rsid w:val="006B512D"/>
    <w:rsid w:val="006B52AC"/>
    <w:rsid w:val="006B534F"/>
    <w:rsid w:val="006B537C"/>
    <w:rsid w:val="006B5D8B"/>
    <w:rsid w:val="006B6257"/>
    <w:rsid w:val="006B6361"/>
    <w:rsid w:val="006B687D"/>
    <w:rsid w:val="006B6B40"/>
    <w:rsid w:val="006B6D11"/>
    <w:rsid w:val="006B6DD6"/>
    <w:rsid w:val="006B7CDB"/>
    <w:rsid w:val="006C0291"/>
    <w:rsid w:val="006C0667"/>
    <w:rsid w:val="006C068F"/>
    <w:rsid w:val="006C0D54"/>
    <w:rsid w:val="006C161D"/>
    <w:rsid w:val="006C1E6A"/>
    <w:rsid w:val="006C1F35"/>
    <w:rsid w:val="006C24CC"/>
    <w:rsid w:val="006C2D03"/>
    <w:rsid w:val="006C2FD5"/>
    <w:rsid w:val="006C306C"/>
    <w:rsid w:val="006C36B9"/>
    <w:rsid w:val="006C3747"/>
    <w:rsid w:val="006C384C"/>
    <w:rsid w:val="006C3C7B"/>
    <w:rsid w:val="006C401D"/>
    <w:rsid w:val="006C4069"/>
    <w:rsid w:val="006C4070"/>
    <w:rsid w:val="006C419E"/>
    <w:rsid w:val="006C444C"/>
    <w:rsid w:val="006C47BB"/>
    <w:rsid w:val="006C4A2D"/>
    <w:rsid w:val="006C4ACA"/>
    <w:rsid w:val="006C4C03"/>
    <w:rsid w:val="006C4EBB"/>
    <w:rsid w:val="006C5072"/>
    <w:rsid w:val="006C50CE"/>
    <w:rsid w:val="006C5290"/>
    <w:rsid w:val="006C59AB"/>
    <w:rsid w:val="006C5B0E"/>
    <w:rsid w:val="006C5E8F"/>
    <w:rsid w:val="006C6162"/>
    <w:rsid w:val="006C6309"/>
    <w:rsid w:val="006C64CD"/>
    <w:rsid w:val="006C654C"/>
    <w:rsid w:val="006C66D6"/>
    <w:rsid w:val="006C6D76"/>
    <w:rsid w:val="006C718A"/>
    <w:rsid w:val="006C751B"/>
    <w:rsid w:val="006C7BF7"/>
    <w:rsid w:val="006C7D0F"/>
    <w:rsid w:val="006D027F"/>
    <w:rsid w:val="006D05E6"/>
    <w:rsid w:val="006D1122"/>
    <w:rsid w:val="006D128C"/>
    <w:rsid w:val="006D13AA"/>
    <w:rsid w:val="006D1949"/>
    <w:rsid w:val="006D22A7"/>
    <w:rsid w:val="006D2416"/>
    <w:rsid w:val="006D283F"/>
    <w:rsid w:val="006D2AC1"/>
    <w:rsid w:val="006D2C78"/>
    <w:rsid w:val="006D2E94"/>
    <w:rsid w:val="006D360C"/>
    <w:rsid w:val="006D39BA"/>
    <w:rsid w:val="006D3E6D"/>
    <w:rsid w:val="006D4290"/>
    <w:rsid w:val="006D57B0"/>
    <w:rsid w:val="006D5AC9"/>
    <w:rsid w:val="006D5ECA"/>
    <w:rsid w:val="006D618D"/>
    <w:rsid w:val="006D6235"/>
    <w:rsid w:val="006D63F3"/>
    <w:rsid w:val="006D66EB"/>
    <w:rsid w:val="006D66ED"/>
    <w:rsid w:val="006D6CB8"/>
    <w:rsid w:val="006D6DA4"/>
    <w:rsid w:val="006D717E"/>
    <w:rsid w:val="006D77EB"/>
    <w:rsid w:val="006D7D0C"/>
    <w:rsid w:val="006E008E"/>
    <w:rsid w:val="006E016F"/>
    <w:rsid w:val="006E01A2"/>
    <w:rsid w:val="006E04EF"/>
    <w:rsid w:val="006E11F0"/>
    <w:rsid w:val="006E131E"/>
    <w:rsid w:val="006E169F"/>
    <w:rsid w:val="006E171E"/>
    <w:rsid w:val="006E19D6"/>
    <w:rsid w:val="006E1C12"/>
    <w:rsid w:val="006E1CE4"/>
    <w:rsid w:val="006E2194"/>
    <w:rsid w:val="006E222E"/>
    <w:rsid w:val="006E23D9"/>
    <w:rsid w:val="006E2670"/>
    <w:rsid w:val="006E2749"/>
    <w:rsid w:val="006E2C02"/>
    <w:rsid w:val="006E2C2B"/>
    <w:rsid w:val="006E2DDE"/>
    <w:rsid w:val="006E354C"/>
    <w:rsid w:val="006E36F9"/>
    <w:rsid w:val="006E3A84"/>
    <w:rsid w:val="006E4391"/>
    <w:rsid w:val="006E4AD1"/>
    <w:rsid w:val="006E4C1F"/>
    <w:rsid w:val="006E54CF"/>
    <w:rsid w:val="006E5B08"/>
    <w:rsid w:val="006E5DE1"/>
    <w:rsid w:val="006E5F6E"/>
    <w:rsid w:val="006E5FE0"/>
    <w:rsid w:val="006E64D5"/>
    <w:rsid w:val="006E652F"/>
    <w:rsid w:val="006E6C00"/>
    <w:rsid w:val="006E6E54"/>
    <w:rsid w:val="006E714E"/>
    <w:rsid w:val="006E741C"/>
    <w:rsid w:val="006E7422"/>
    <w:rsid w:val="006E7566"/>
    <w:rsid w:val="006E7658"/>
    <w:rsid w:val="006E786B"/>
    <w:rsid w:val="006E7AD9"/>
    <w:rsid w:val="006E7CE9"/>
    <w:rsid w:val="006E7E49"/>
    <w:rsid w:val="006E7EC5"/>
    <w:rsid w:val="006F02EE"/>
    <w:rsid w:val="006F04FF"/>
    <w:rsid w:val="006F0A6F"/>
    <w:rsid w:val="006F0B3F"/>
    <w:rsid w:val="006F1288"/>
    <w:rsid w:val="006F1295"/>
    <w:rsid w:val="006F1E37"/>
    <w:rsid w:val="006F1ED1"/>
    <w:rsid w:val="006F20A3"/>
    <w:rsid w:val="006F24F0"/>
    <w:rsid w:val="006F2C1E"/>
    <w:rsid w:val="006F2E8C"/>
    <w:rsid w:val="006F376D"/>
    <w:rsid w:val="006F3A29"/>
    <w:rsid w:val="006F3B8F"/>
    <w:rsid w:val="006F42DA"/>
    <w:rsid w:val="006F4568"/>
    <w:rsid w:val="006F46A3"/>
    <w:rsid w:val="006F47E4"/>
    <w:rsid w:val="006F4D43"/>
    <w:rsid w:val="006F4F35"/>
    <w:rsid w:val="006F4FE4"/>
    <w:rsid w:val="006F5075"/>
    <w:rsid w:val="006F570F"/>
    <w:rsid w:val="006F5987"/>
    <w:rsid w:val="006F5AB0"/>
    <w:rsid w:val="006F5B71"/>
    <w:rsid w:val="006F5BBE"/>
    <w:rsid w:val="006F5E2F"/>
    <w:rsid w:val="006F683D"/>
    <w:rsid w:val="006F7644"/>
    <w:rsid w:val="006F79A7"/>
    <w:rsid w:val="006F7E14"/>
    <w:rsid w:val="006F7FB3"/>
    <w:rsid w:val="007002B1"/>
    <w:rsid w:val="007007D4"/>
    <w:rsid w:val="0070095E"/>
    <w:rsid w:val="00700F5A"/>
    <w:rsid w:val="00701296"/>
    <w:rsid w:val="00701337"/>
    <w:rsid w:val="0070194C"/>
    <w:rsid w:val="007023FD"/>
    <w:rsid w:val="007029AA"/>
    <w:rsid w:val="00702A3D"/>
    <w:rsid w:val="00702BEF"/>
    <w:rsid w:val="00703A8A"/>
    <w:rsid w:val="00703EDA"/>
    <w:rsid w:val="00704208"/>
    <w:rsid w:val="00704684"/>
    <w:rsid w:val="00704793"/>
    <w:rsid w:val="007049CD"/>
    <w:rsid w:val="007049EC"/>
    <w:rsid w:val="00704A54"/>
    <w:rsid w:val="00704EB7"/>
    <w:rsid w:val="00704F79"/>
    <w:rsid w:val="00704FD5"/>
    <w:rsid w:val="0070536B"/>
    <w:rsid w:val="00705742"/>
    <w:rsid w:val="00705E0C"/>
    <w:rsid w:val="00705EE0"/>
    <w:rsid w:val="00705F5D"/>
    <w:rsid w:val="007061D3"/>
    <w:rsid w:val="007062AE"/>
    <w:rsid w:val="00706485"/>
    <w:rsid w:val="0070657F"/>
    <w:rsid w:val="007066F3"/>
    <w:rsid w:val="00706921"/>
    <w:rsid w:val="007069C2"/>
    <w:rsid w:val="00706F6A"/>
    <w:rsid w:val="00706F7D"/>
    <w:rsid w:val="0070704D"/>
    <w:rsid w:val="007070E7"/>
    <w:rsid w:val="00707755"/>
    <w:rsid w:val="00707D33"/>
    <w:rsid w:val="00707E8D"/>
    <w:rsid w:val="00710006"/>
    <w:rsid w:val="00710062"/>
    <w:rsid w:val="007102DC"/>
    <w:rsid w:val="0071035E"/>
    <w:rsid w:val="007103D3"/>
    <w:rsid w:val="007103E2"/>
    <w:rsid w:val="00710423"/>
    <w:rsid w:val="007104FE"/>
    <w:rsid w:val="00710A02"/>
    <w:rsid w:val="00710BAA"/>
    <w:rsid w:val="0071134B"/>
    <w:rsid w:val="007114C5"/>
    <w:rsid w:val="00711B28"/>
    <w:rsid w:val="00711BA2"/>
    <w:rsid w:val="00712148"/>
    <w:rsid w:val="007121A2"/>
    <w:rsid w:val="00712DE4"/>
    <w:rsid w:val="00712F65"/>
    <w:rsid w:val="00712FB1"/>
    <w:rsid w:val="00713022"/>
    <w:rsid w:val="00713981"/>
    <w:rsid w:val="00713C66"/>
    <w:rsid w:val="007142BC"/>
    <w:rsid w:val="00714301"/>
    <w:rsid w:val="007144DE"/>
    <w:rsid w:val="00714683"/>
    <w:rsid w:val="00714948"/>
    <w:rsid w:val="007149BF"/>
    <w:rsid w:val="00714CE1"/>
    <w:rsid w:val="00714F4C"/>
    <w:rsid w:val="0071529D"/>
    <w:rsid w:val="00715800"/>
    <w:rsid w:val="00715A6C"/>
    <w:rsid w:val="0071699B"/>
    <w:rsid w:val="00717173"/>
    <w:rsid w:val="007171D8"/>
    <w:rsid w:val="007176D6"/>
    <w:rsid w:val="00717920"/>
    <w:rsid w:val="00717BDD"/>
    <w:rsid w:val="00720389"/>
    <w:rsid w:val="00720AF5"/>
    <w:rsid w:val="00720F02"/>
    <w:rsid w:val="00720FC8"/>
    <w:rsid w:val="0072138C"/>
    <w:rsid w:val="00721C61"/>
    <w:rsid w:val="00721F96"/>
    <w:rsid w:val="00722B2A"/>
    <w:rsid w:val="0072378D"/>
    <w:rsid w:val="0072399B"/>
    <w:rsid w:val="00723DD3"/>
    <w:rsid w:val="00723FC7"/>
    <w:rsid w:val="00724030"/>
    <w:rsid w:val="00724279"/>
    <w:rsid w:val="0072451E"/>
    <w:rsid w:val="0072493B"/>
    <w:rsid w:val="00724CC5"/>
    <w:rsid w:val="00724E1B"/>
    <w:rsid w:val="0072504C"/>
    <w:rsid w:val="00725112"/>
    <w:rsid w:val="00725547"/>
    <w:rsid w:val="00725CF1"/>
    <w:rsid w:val="00726103"/>
    <w:rsid w:val="00726150"/>
    <w:rsid w:val="00726696"/>
    <w:rsid w:val="007269A0"/>
    <w:rsid w:val="007269BF"/>
    <w:rsid w:val="007270F1"/>
    <w:rsid w:val="0072736E"/>
    <w:rsid w:val="00727A65"/>
    <w:rsid w:val="00727B64"/>
    <w:rsid w:val="00727D54"/>
    <w:rsid w:val="0073008B"/>
    <w:rsid w:val="007305B6"/>
    <w:rsid w:val="007311D0"/>
    <w:rsid w:val="0073144C"/>
    <w:rsid w:val="0073145B"/>
    <w:rsid w:val="00731693"/>
    <w:rsid w:val="00731A90"/>
    <w:rsid w:val="00731AC9"/>
    <w:rsid w:val="00732142"/>
    <w:rsid w:val="00732342"/>
    <w:rsid w:val="00732597"/>
    <w:rsid w:val="007326BA"/>
    <w:rsid w:val="0073300D"/>
    <w:rsid w:val="00733212"/>
    <w:rsid w:val="00733297"/>
    <w:rsid w:val="00733340"/>
    <w:rsid w:val="00733767"/>
    <w:rsid w:val="007344C5"/>
    <w:rsid w:val="00734959"/>
    <w:rsid w:val="00734E13"/>
    <w:rsid w:val="0073520D"/>
    <w:rsid w:val="00735653"/>
    <w:rsid w:val="00735AC6"/>
    <w:rsid w:val="00735D4F"/>
    <w:rsid w:val="007361AB"/>
    <w:rsid w:val="0073703E"/>
    <w:rsid w:val="007370A0"/>
    <w:rsid w:val="00737126"/>
    <w:rsid w:val="00737282"/>
    <w:rsid w:val="007372D8"/>
    <w:rsid w:val="0074009F"/>
    <w:rsid w:val="007409BF"/>
    <w:rsid w:val="00740C8E"/>
    <w:rsid w:val="00741323"/>
    <w:rsid w:val="0074175B"/>
    <w:rsid w:val="00741E7E"/>
    <w:rsid w:val="00741F52"/>
    <w:rsid w:val="00742067"/>
    <w:rsid w:val="0074208D"/>
    <w:rsid w:val="007421F7"/>
    <w:rsid w:val="007429CE"/>
    <w:rsid w:val="00742B09"/>
    <w:rsid w:val="00743070"/>
    <w:rsid w:val="00743937"/>
    <w:rsid w:val="00743E23"/>
    <w:rsid w:val="00744533"/>
    <w:rsid w:val="00744707"/>
    <w:rsid w:val="007447A8"/>
    <w:rsid w:val="007447A9"/>
    <w:rsid w:val="007454FF"/>
    <w:rsid w:val="00745729"/>
    <w:rsid w:val="007459DD"/>
    <w:rsid w:val="00745C33"/>
    <w:rsid w:val="00745C68"/>
    <w:rsid w:val="00745EE1"/>
    <w:rsid w:val="00746418"/>
    <w:rsid w:val="00746440"/>
    <w:rsid w:val="00746948"/>
    <w:rsid w:val="00746EA9"/>
    <w:rsid w:val="00746ED0"/>
    <w:rsid w:val="00747351"/>
    <w:rsid w:val="007474B3"/>
    <w:rsid w:val="007479E4"/>
    <w:rsid w:val="00747B91"/>
    <w:rsid w:val="00750734"/>
    <w:rsid w:val="00750F01"/>
    <w:rsid w:val="007511E8"/>
    <w:rsid w:val="00751652"/>
    <w:rsid w:val="007517F9"/>
    <w:rsid w:val="00751A9E"/>
    <w:rsid w:val="007521FD"/>
    <w:rsid w:val="007529E1"/>
    <w:rsid w:val="00752E81"/>
    <w:rsid w:val="00752FB5"/>
    <w:rsid w:val="007532C5"/>
    <w:rsid w:val="007536EA"/>
    <w:rsid w:val="00753A15"/>
    <w:rsid w:val="00753B81"/>
    <w:rsid w:val="00753EE7"/>
    <w:rsid w:val="007541FD"/>
    <w:rsid w:val="00754281"/>
    <w:rsid w:val="0075445C"/>
    <w:rsid w:val="007549CB"/>
    <w:rsid w:val="00754B7B"/>
    <w:rsid w:val="0075500B"/>
    <w:rsid w:val="0075514D"/>
    <w:rsid w:val="007555CA"/>
    <w:rsid w:val="007555CF"/>
    <w:rsid w:val="00755729"/>
    <w:rsid w:val="0075603A"/>
    <w:rsid w:val="007564D9"/>
    <w:rsid w:val="00756888"/>
    <w:rsid w:val="00756B15"/>
    <w:rsid w:val="00756CCF"/>
    <w:rsid w:val="0075704A"/>
    <w:rsid w:val="00757A3C"/>
    <w:rsid w:val="00757D0E"/>
    <w:rsid w:val="00757D67"/>
    <w:rsid w:val="00757FC0"/>
    <w:rsid w:val="00760428"/>
    <w:rsid w:val="00760877"/>
    <w:rsid w:val="007608C7"/>
    <w:rsid w:val="00760916"/>
    <w:rsid w:val="00760F67"/>
    <w:rsid w:val="00760F6F"/>
    <w:rsid w:val="007612D0"/>
    <w:rsid w:val="007612E5"/>
    <w:rsid w:val="0076132B"/>
    <w:rsid w:val="00761334"/>
    <w:rsid w:val="00761676"/>
    <w:rsid w:val="007616B1"/>
    <w:rsid w:val="0076170D"/>
    <w:rsid w:val="00761CC0"/>
    <w:rsid w:val="00762241"/>
    <w:rsid w:val="007629CF"/>
    <w:rsid w:val="00762A52"/>
    <w:rsid w:val="0076301A"/>
    <w:rsid w:val="007632A6"/>
    <w:rsid w:val="00763598"/>
    <w:rsid w:val="00763F86"/>
    <w:rsid w:val="00764363"/>
    <w:rsid w:val="0076477A"/>
    <w:rsid w:val="007647DC"/>
    <w:rsid w:val="007648B6"/>
    <w:rsid w:val="007648F5"/>
    <w:rsid w:val="00764A9C"/>
    <w:rsid w:val="00764BA1"/>
    <w:rsid w:val="007650B0"/>
    <w:rsid w:val="00765A03"/>
    <w:rsid w:val="00765C2F"/>
    <w:rsid w:val="00765F3F"/>
    <w:rsid w:val="007660BC"/>
    <w:rsid w:val="00766384"/>
    <w:rsid w:val="007666D2"/>
    <w:rsid w:val="00766CB2"/>
    <w:rsid w:val="00766CBF"/>
    <w:rsid w:val="0076738D"/>
    <w:rsid w:val="007675AB"/>
    <w:rsid w:val="007675D7"/>
    <w:rsid w:val="00767C76"/>
    <w:rsid w:val="00767D1F"/>
    <w:rsid w:val="00767E3B"/>
    <w:rsid w:val="00767F69"/>
    <w:rsid w:val="00770A20"/>
    <w:rsid w:val="00770C4C"/>
    <w:rsid w:val="00770E46"/>
    <w:rsid w:val="007713C0"/>
    <w:rsid w:val="007718EF"/>
    <w:rsid w:val="007719AC"/>
    <w:rsid w:val="00771BFC"/>
    <w:rsid w:val="00771EAD"/>
    <w:rsid w:val="007725D8"/>
    <w:rsid w:val="00772678"/>
    <w:rsid w:val="00772929"/>
    <w:rsid w:val="00772E0B"/>
    <w:rsid w:val="0077307E"/>
    <w:rsid w:val="00773B8E"/>
    <w:rsid w:val="00773D26"/>
    <w:rsid w:val="00773DD7"/>
    <w:rsid w:val="0077408D"/>
    <w:rsid w:val="007747CC"/>
    <w:rsid w:val="00774864"/>
    <w:rsid w:val="00774C43"/>
    <w:rsid w:val="00774CB7"/>
    <w:rsid w:val="00774EDC"/>
    <w:rsid w:val="00775053"/>
    <w:rsid w:val="0077523C"/>
    <w:rsid w:val="007752CB"/>
    <w:rsid w:val="007759BB"/>
    <w:rsid w:val="00775D54"/>
    <w:rsid w:val="00776684"/>
    <w:rsid w:val="007766F0"/>
    <w:rsid w:val="00776981"/>
    <w:rsid w:val="00776B43"/>
    <w:rsid w:val="0077718B"/>
    <w:rsid w:val="0077721D"/>
    <w:rsid w:val="00777474"/>
    <w:rsid w:val="0077769F"/>
    <w:rsid w:val="00777770"/>
    <w:rsid w:val="00777C00"/>
    <w:rsid w:val="00777C96"/>
    <w:rsid w:val="00780226"/>
    <w:rsid w:val="00780489"/>
    <w:rsid w:val="00780567"/>
    <w:rsid w:val="00780B3A"/>
    <w:rsid w:val="00780CAB"/>
    <w:rsid w:val="00780D66"/>
    <w:rsid w:val="00780EA8"/>
    <w:rsid w:val="00781191"/>
    <w:rsid w:val="00781327"/>
    <w:rsid w:val="0078147B"/>
    <w:rsid w:val="0078151D"/>
    <w:rsid w:val="007819A0"/>
    <w:rsid w:val="00781A4B"/>
    <w:rsid w:val="00781AB4"/>
    <w:rsid w:val="00781BCC"/>
    <w:rsid w:val="00781C0E"/>
    <w:rsid w:val="00782252"/>
    <w:rsid w:val="0078246F"/>
    <w:rsid w:val="00782496"/>
    <w:rsid w:val="007833AF"/>
    <w:rsid w:val="0078374A"/>
    <w:rsid w:val="00783BDC"/>
    <w:rsid w:val="007841D2"/>
    <w:rsid w:val="00784627"/>
    <w:rsid w:val="007847AF"/>
    <w:rsid w:val="007849DF"/>
    <w:rsid w:val="00784A70"/>
    <w:rsid w:val="00784AE3"/>
    <w:rsid w:val="00784B27"/>
    <w:rsid w:val="00784D15"/>
    <w:rsid w:val="00784E3C"/>
    <w:rsid w:val="00784E95"/>
    <w:rsid w:val="0078507A"/>
    <w:rsid w:val="00785293"/>
    <w:rsid w:val="0078565A"/>
    <w:rsid w:val="007859C8"/>
    <w:rsid w:val="00785E08"/>
    <w:rsid w:val="00785F6A"/>
    <w:rsid w:val="00786150"/>
    <w:rsid w:val="00786519"/>
    <w:rsid w:val="0078660C"/>
    <w:rsid w:val="0078663F"/>
    <w:rsid w:val="0078684F"/>
    <w:rsid w:val="0078685C"/>
    <w:rsid w:val="00786930"/>
    <w:rsid w:val="00786956"/>
    <w:rsid w:val="00786B0D"/>
    <w:rsid w:val="00786B3F"/>
    <w:rsid w:val="00786CFA"/>
    <w:rsid w:val="0078706E"/>
    <w:rsid w:val="0078715C"/>
    <w:rsid w:val="007872FA"/>
    <w:rsid w:val="007876E4"/>
    <w:rsid w:val="007902E8"/>
    <w:rsid w:val="00790352"/>
    <w:rsid w:val="0079079F"/>
    <w:rsid w:val="007907E1"/>
    <w:rsid w:val="00790E1C"/>
    <w:rsid w:val="0079105B"/>
    <w:rsid w:val="007918DD"/>
    <w:rsid w:val="007918DF"/>
    <w:rsid w:val="00791B1F"/>
    <w:rsid w:val="00791F05"/>
    <w:rsid w:val="007921E8"/>
    <w:rsid w:val="007923B7"/>
    <w:rsid w:val="00792616"/>
    <w:rsid w:val="007926B4"/>
    <w:rsid w:val="007926BB"/>
    <w:rsid w:val="00792D0E"/>
    <w:rsid w:val="007932A4"/>
    <w:rsid w:val="0079344C"/>
    <w:rsid w:val="007934F2"/>
    <w:rsid w:val="007935FA"/>
    <w:rsid w:val="00793646"/>
    <w:rsid w:val="00793D18"/>
    <w:rsid w:val="00793DC5"/>
    <w:rsid w:val="00794040"/>
    <w:rsid w:val="007944F7"/>
    <w:rsid w:val="0079482F"/>
    <w:rsid w:val="00794E61"/>
    <w:rsid w:val="00794E7F"/>
    <w:rsid w:val="007951A6"/>
    <w:rsid w:val="00795504"/>
    <w:rsid w:val="0079551D"/>
    <w:rsid w:val="00795868"/>
    <w:rsid w:val="00795E61"/>
    <w:rsid w:val="00795FFB"/>
    <w:rsid w:val="00796477"/>
    <w:rsid w:val="00796CAB"/>
    <w:rsid w:val="00796CF2"/>
    <w:rsid w:val="00797096"/>
    <w:rsid w:val="007972DE"/>
    <w:rsid w:val="007978A5"/>
    <w:rsid w:val="007A0191"/>
    <w:rsid w:val="007A0283"/>
    <w:rsid w:val="007A0509"/>
    <w:rsid w:val="007A0A2C"/>
    <w:rsid w:val="007A0ACC"/>
    <w:rsid w:val="007A0C7A"/>
    <w:rsid w:val="007A1069"/>
    <w:rsid w:val="007A12BA"/>
    <w:rsid w:val="007A15D7"/>
    <w:rsid w:val="007A172C"/>
    <w:rsid w:val="007A17B2"/>
    <w:rsid w:val="007A1856"/>
    <w:rsid w:val="007A19C6"/>
    <w:rsid w:val="007A239A"/>
    <w:rsid w:val="007A241B"/>
    <w:rsid w:val="007A2461"/>
    <w:rsid w:val="007A2A4B"/>
    <w:rsid w:val="007A2BB4"/>
    <w:rsid w:val="007A2D95"/>
    <w:rsid w:val="007A38CC"/>
    <w:rsid w:val="007A4BCA"/>
    <w:rsid w:val="007A50D0"/>
    <w:rsid w:val="007A59AC"/>
    <w:rsid w:val="007A5D20"/>
    <w:rsid w:val="007A5E6E"/>
    <w:rsid w:val="007A674C"/>
    <w:rsid w:val="007A6D56"/>
    <w:rsid w:val="007A71EC"/>
    <w:rsid w:val="007A7B8F"/>
    <w:rsid w:val="007A7D5B"/>
    <w:rsid w:val="007B0132"/>
    <w:rsid w:val="007B0B75"/>
    <w:rsid w:val="007B0D34"/>
    <w:rsid w:val="007B1064"/>
    <w:rsid w:val="007B134E"/>
    <w:rsid w:val="007B1A2C"/>
    <w:rsid w:val="007B1A47"/>
    <w:rsid w:val="007B26EC"/>
    <w:rsid w:val="007B3148"/>
    <w:rsid w:val="007B35AE"/>
    <w:rsid w:val="007B3DD8"/>
    <w:rsid w:val="007B4AE3"/>
    <w:rsid w:val="007B503D"/>
    <w:rsid w:val="007B53A2"/>
    <w:rsid w:val="007B56DB"/>
    <w:rsid w:val="007B6028"/>
    <w:rsid w:val="007B6267"/>
    <w:rsid w:val="007B64BD"/>
    <w:rsid w:val="007B6952"/>
    <w:rsid w:val="007B6CCF"/>
    <w:rsid w:val="007B6FD2"/>
    <w:rsid w:val="007B7006"/>
    <w:rsid w:val="007B708A"/>
    <w:rsid w:val="007B740E"/>
    <w:rsid w:val="007B7786"/>
    <w:rsid w:val="007B7F76"/>
    <w:rsid w:val="007C02C7"/>
    <w:rsid w:val="007C040A"/>
    <w:rsid w:val="007C0438"/>
    <w:rsid w:val="007C04C7"/>
    <w:rsid w:val="007C082F"/>
    <w:rsid w:val="007C0D11"/>
    <w:rsid w:val="007C0F6D"/>
    <w:rsid w:val="007C10D4"/>
    <w:rsid w:val="007C139F"/>
    <w:rsid w:val="007C18AC"/>
    <w:rsid w:val="007C1AAE"/>
    <w:rsid w:val="007C1DAF"/>
    <w:rsid w:val="007C204F"/>
    <w:rsid w:val="007C21EE"/>
    <w:rsid w:val="007C263E"/>
    <w:rsid w:val="007C285D"/>
    <w:rsid w:val="007C291C"/>
    <w:rsid w:val="007C2DCC"/>
    <w:rsid w:val="007C2E4B"/>
    <w:rsid w:val="007C2FB4"/>
    <w:rsid w:val="007C329B"/>
    <w:rsid w:val="007C32C4"/>
    <w:rsid w:val="007C333C"/>
    <w:rsid w:val="007C384C"/>
    <w:rsid w:val="007C3F2F"/>
    <w:rsid w:val="007C459A"/>
    <w:rsid w:val="007C46B3"/>
    <w:rsid w:val="007C47F7"/>
    <w:rsid w:val="007C4828"/>
    <w:rsid w:val="007C4C4B"/>
    <w:rsid w:val="007C61CE"/>
    <w:rsid w:val="007C6317"/>
    <w:rsid w:val="007C66EB"/>
    <w:rsid w:val="007C68B8"/>
    <w:rsid w:val="007C698A"/>
    <w:rsid w:val="007C69DF"/>
    <w:rsid w:val="007C70AC"/>
    <w:rsid w:val="007C73A5"/>
    <w:rsid w:val="007C73DC"/>
    <w:rsid w:val="007C76F8"/>
    <w:rsid w:val="007C78E8"/>
    <w:rsid w:val="007C7948"/>
    <w:rsid w:val="007C7C01"/>
    <w:rsid w:val="007C7EC6"/>
    <w:rsid w:val="007D01AE"/>
    <w:rsid w:val="007D0891"/>
    <w:rsid w:val="007D12C2"/>
    <w:rsid w:val="007D133F"/>
    <w:rsid w:val="007D15BC"/>
    <w:rsid w:val="007D176F"/>
    <w:rsid w:val="007D18B3"/>
    <w:rsid w:val="007D1AD5"/>
    <w:rsid w:val="007D1B70"/>
    <w:rsid w:val="007D1D00"/>
    <w:rsid w:val="007D1D47"/>
    <w:rsid w:val="007D1FA9"/>
    <w:rsid w:val="007D2062"/>
    <w:rsid w:val="007D2339"/>
    <w:rsid w:val="007D284E"/>
    <w:rsid w:val="007D292A"/>
    <w:rsid w:val="007D2997"/>
    <w:rsid w:val="007D2F75"/>
    <w:rsid w:val="007D31D3"/>
    <w:rsid w:val="007D3340"/>
    <w:rsid w:val="007D34D6"/>
    <w:rsid w:val="007D3636"/>
    <w:rsid w:val="007D377E"/>
    <w:rsid w:val="007D3A2E"/>
    <w:rsid w:val="007D437D"/>
    <w:rsid w:val="007D4442"/>
    <w:rsid w:val="007D45FE"/>
    <w:rsid w:val="007D4610"/>
    <w:rsid w:val="007D48D0"/>
    <w:rsid w:val="007D4EAE"/>
    <w:rsid w:val="007D5927"/>
    <w:rsid w:val="007D5E6B"/>
    <w:rsid w:val="007D62CD"/>
    <w:rsid w:val="007D63F1"/>
    <w:rsid w:val="007D6652"/>
    <w:rsid w:val="007D6826"/>
    <w:rsid w:val="007D6BCA"/>
    <w:rsid w:val="007D6C20"/>
    <w:rsid w:val="007D6C4A"/>
    <w:rsid w:val="007D6D1F"/>
    <w:rsid w:val="007D6E0C"/>
    <w:rsid w:val="007D7A98"/>
    <w:rsid w:val="007D7B91"/>
    <w:rsid w:val="007D7C2A"/>
    <w:rsid w:val="007D7F07"/>
    <w:rsid w:val="007E0357"/>
    <w:rsid w:val="007E0510"/>
    <w:rsid w:val="007E1353"/>
    <w:rsid w:val="007E15AC"/>
    <w:rsid w:val="007E17D1"/>
    <w:rsid w:val="007E2663"/>
    <w:rsid w:val="007E26A8"/>
    <w:rsid w:val="007E2896"/>
    <w:rsid w:val="007E312B"/>
    <w:rsid w:val="007E33A7"/>
    <w:rsid w:val="007E343D"/>
    <w:rsid w:val="007E37A3"/>
    <w:rsid w:val="007E37DD"/>
    <w:rsid w:val="007E3818"/>
    <w:rsid w:val="007E3F2F"/>
    <w:rsid w:val="007E40AC"/>
    <w:rsid w:val="007E40B9"/>
    <w:rsid w:val="007E41DE"/>
    <w:rsid w:val="007E4B84"/>
    <w:rsid w:val="007E5179"/>
    <w:rsid w:val="007E51A0"/>
    <w:rsid w:val="007E542E"/>
    <w:rsid w:val="007E54AE"/>
    <w:rsid w:val="007E5A5F"/>
    <w:rsid w:val="007E6187"/>
    <w:rsid w:val="007E62EB"/>
    <w:rsid w:val="007E775C"/>
    <w:rsid w:val="007F008D"/>
    <w:rsid w:val="007F01BF"/>
    <w:rsid w:val="007F096F"/>
    <w:rsid w:val="007F0B53"/>
    <w:rsid w:val="007F175A"/>
    <w:rsid w:val="007F1A95"/>
    <w:rsid w:val="007F1BA2"/>
    <w:rsid w:val="007F1F3A"/>
    <w:rsid w:val="007F2089"/>
    <w:rsid w:val="007F214D"/>
    <w:rsid w:val="007F25A4"/>
    <w:rsid w:val="007F267D"/>
    <w:rsid w:val="007F2AF7"/>
    <w:rsid w:val="007F39BE"/>
    <w:rsid w:val="007F3B51"/>
    <w:rsid w:val="007F3FF8"/>
    <w:rsid w:val="007F42B3"/>
    <w:rsid w:val="007F4383"/>
    <w:rsid w:val="007F5226"/>
    <w:rsid w:val="007F5261"/>
    <w:rsid w:val="007F567A"/>
    <w:rsid w:val="007F596F"/>
    <w:rsid w:val="007F5EDE"/>
    <w:rsid w:val="007F62D8"/>
    <w:rsid w:val="007F6421"/>
    <w:rsid w:val="007F66DF"/>
    <w:rsid w:val="007F6A3D"/>
    <w:rsid w:val="007F6AFA"/>
    <w:rsid w:val="007F6D1C"/>
    <w:rsid w:val="007F6D24"/>
    <w:rsid w:val="007F7415"/>
    <w:rsid w:val="007F7444"/>
    <w:rsid w:val="007F75FC"/>
    <w:rsid w:val="007F77CF"/>
    <w:rsid w:val="007F7A9E"/>
    <w:rsid w:val="00800146"/>
    <w:rsid w:val="008007FF"/>
    <w:rsid w:val="008011D2"/>
    <w:rsid w:val="008013A8"/>
    <w:rsid w:val="00801601"/>
    <w:rsid w:val="00801B6B"/>
    <w:rsid w:val="00801BED"/>
    <w:rsid w:val="00801D02"/>
    <w:rsid w:val="00802091"/>
    <w:rsid w:val="008022B4"/>
    <w:rsid w:val="0080230F"/>
    <w:rsid w:val="008023AB"/>
    <w:rsid w:val="0080249A"/>
    <w:rsid w:val="00802511"/>
    <w:rsid w:val="00802664"/>
    <w:rsid w:val="00802B88"/>
    <w:rsid w:val="00802F36"/>
    <w:rsid w:val="008032E3"/>
    <w:rsid w:val="0080397F"/>
    <w:rsid w:val="00803C56"/>
    <w:rsid w:val="00803F98"/>
    <w:rsid w:val="008043F4"/>
    <w:rsid w:val="00804C71"/>
    <w:rsid w:val="0080509C"/>
    <w:rsid w:val="008050A4"/>
    <w:rsid w:val="00805109"/>
    <w:rsid w:val="00805172"/>
    <w:rsid w:val="008057F6"/>
    <w:rsid w:val="00805C0A"/>
    <w:rsid w:val="00805E92"/>
    <w:rsid w:val="00805F9C"/>
    <w:rsid w:val="008064FD"/>
    <w:rsid w:val="00806513"/>
    <w:rsid w:val="00806AB0"/>
    <w:rsid w:val="008070AF"/>
    <w:rsid w:val="00807628"/>
    <w:rsid w:val="00810991"/>
    <w:rsid w:val="00810AE1"/>
    <w:rsid w:val="00810F71"/>
    <w:rsid w:val="0081122E"/>
    <w:rsid w:val="0081150C"/>
    <w:rsid w:val="008119BC"/>
    <w:rsid w:val="00811C55"/>
    <w:rsid w:val="00811D05"/>
    <w:rsid w:val="00811E47"/>
    <w:rsid w:val="008120D8"/>
    <w:rsid w:val="00812865"/>
    <w:rsid w:val="00812ABD"/>
    <w:rsid w:val="00812AC5"/>
    <w:rsid w:val="00813D3E"/>
    <w:rsid w:val="00813F83"/>
    <w:rsid w:val="0081425D"/>
    <w:rsid w:val="008145E0"/>
    <w:rsid w:val="0081468C"/>
    <w:rsid w:val="008147A6"/>
    <w:rsid w:val="00814A9B"/>
    <w:rsid w:val="00814AAB"/>
    <w:rsid w:val="00814F66"/>
    <w:rsid w:val="008151DC"/>
    <w:rsid w:val="008152F1"/>
    <w:rsid w:val="00815572"/>
    <w:rsid w:val="0081564D"/>
    <w:rsid w:val="0081585C"/>
    <w:rsid w:val="00816D1D"/>
    <w:rsid w:val="00816E7E"/>
    <w:rsid w:val="00816F39"/>
    <w:rsid w:val="0081718B"/>
    <w:rsid w:val="00817436"/>
    <w:rsid w:val="00817C9E"/>
    <w:rsid w:val="00817D25"/>
    <w:rsid w:val="00817E7D"/>
    <w:rsid w:val="008205AF"/>
    <w:rsid w:val="00820A9D"/>
    <w:rsid w:val="00820B95"/>
    <w:rsid w:val="00820FB4"/>
    <w:rsid w:val="008218F3"/>
    <w:rsid w:val="00821B58"/>
    <w:rsid w:val="00821B63"/>
    <w:rsid w:val="00821B8F"/>
    <w:rsid w:val="00821C1D"/>
    <w:rsid w:val="008225CC"/>
    <w:rsid w:val="008225CF"/>
    <w:rsid w:val="008225E5"/>
    <w:rsid w:val="00822D13"/>
    <w:rsid w:val="008230A5"/>
    <w:rsid w:val="008231AE"/>
    <w:rsid w:val="0082326D"/>
    <w:rsid w:val="0082335A"/>
    <w:rsid w:val="00823718"/>
    <w:rsid w:val="00823C5F"/>
    <w:rsid w:val="00823E07"/>
    <w:rsid w:val="00823F41"/>
    <w:rsid w:val="008240CE"/>
    <w:rsid w:val="008240E7"/>
    <w:rsid w:val="00824228"/>
    <w:rsid w:val="00824646"/>
    <w:rsid w:val="00824B5B"/>
    <w:rsid w:val="0082540F"/>
    <w:rsid w:val="008258D2"/>
    <w:rsid w:val="00825B8C"/>
    <w:rsid w:val="00825D76"/>
    <w:rsid w:val="00825EC2"/>
    <w:rsid w:val="008260ED"/>
    <w:rsid w:val="00826140"/>
    <w:rsid w:val="0082627D"/>
    <w:rsid w:val="0082665A"/>
    <w:rsid w:val="00826A4E"/>
    <w:rsid w:val="00826BA4"/>
    <w:rsid w:val="00826CF1"/>
    <w:rsid w:val="008270EC"/>
    <w:rsid w:val="00827F83"/>
    <w:rsid w:val="00830031"/>
    <w:rsid w:val="008302CD"/>
    <w:rsid w:val="00830344"/>
    <w:rsid w:val="00830532"/>
    <w:rsid w:val="00831053"/>
    <w:rsid w:val="008312FC"/>
    <w:rsid w:val="008314D2"/>
    <w:rsid w:val="00831604"/>
    <w:rsid w:val="008316CE"/>
    <w:rsid w:val="00831F91"/>
    <w:rsid w:val="00832428"/>
    <w:rsid w:val="0083254D"/>
    <w:rsid w:val="00832CD4"/>
    <w:rsid w:val="00832D58"/>
    <w:rsid w:val="00832FFC"/>
    <w:rsid w:val="00833133"/>
    <w:rsid w:val="0083320E"/>
    <w:rsid w:val="0083358C"/>
    <w:rsid w:val="008335F5"/>
    <w:rsid w:val="00833625"/>
    <w:rsid w:val="008336E6"/>
    <w:rsid w:val="00833817"/>
    <w:rsid w:val="00833A08"/>
    <w:rsid w:val="00834140"/>
    <w:rsid w:val="0083419B"/>
    <w:rsid w:val="008349D5"/>
    <w:rsid w:val="008349DF"/>
    <w:rsid w:val="00834BD5"/>
    <w:rsid w:val="00834F58"/>
    <w:rsid w:val="008350EA"/>
    <w:rsid w:val="00835369"/>
    <w:rsid w:val="00835677"/>
    <w:rsid w:val="00835B67"/>
    <w:rsid w:val="00836223"/>
    <w:rsid w:val="00836249"/>
    <w:rsid w:val="008364A2"/>
    <w:rsid w:val="008365BB"/>
    <w:rsid w:val="00836AAF"/>
    <w:rsid w:val="00836B82"/>
    <w:rsid w:val="00836F00"/>
    <w:rsid w:val="00837127"/>
    <w:rsid w:val="00837783"/>
    <w:rsid w:val="00837965"/>
    <w:rsid w:val="00837B41"/>
    <w:rsid w:val="00837D4B"/>
    <w:rsid w:val="008400D3"/>
    <w:rsid w:val="00840304"/>
    <w:rsid w:val="00840324"/>
    <w:rsid w:val="00840B5E"/>
    <w:rsid w:val="00840FDE"/>
    <w:rsid w:val="008410AE"/>
    <w:rsid w:val="0084115D"/>
    <w:rsid w:val="00841278"/>
    <w:rsid w:val="0084172B"/>
    <w:rsid w:val="00841DBC"/>
    <w:rsid w:val="0084239B"/>
    <w:rsid w:val="0084281A"/>
    <w:rsid w:val="008428A9"/>
    <w:rsid w:val="00842A2C"/>
    <w:rsid w:val="00842B03"/>
    <w:rsid w:val="00842B05"/>
    <w:rsid w:val="00843274"/>
    <w:rsid w:val="0084330D"/>
    <w:rsid w:val="0084376C"/>
    <w:rsid w:val="0084387F"/>
    <w:rsid w:val="008439C8"/>
    <w:rsid w:val="008441D3"/>
    <w:rsid w:val="008442FF"/>
    <w:rsid w:val="008444E7"/>
    <w:rsid w:val="008448C0"/>
    <w:rsid w:val="00844A8A"/>
    <w:rsid w:val="008450F0"/>
    <w:rsid w:val="00845304"/>
    <w:rsid w:val="00845B75"/>
    <w:rsid w:val="00845C57"/>
    <w:rsid w:val="00845D8E"/>
    <w:rsid w:val="00846192"/>
    <w:rsid w:val="008466D9"/>
    <w:rsid w:val="00846861"/>
    <w:rsid w:val="00846895"/>
    <w:rsid w:val="008469EB"/>
    <w:rsid w:val="00846CCD"/>
    <w:rsid w:val="00846D16"/>
    <w:rsid w:val="00846DE6"/>
    <w:rsid w:val="008472D2"/>
    <w:rsid w:val="00847B9F"/>
    <w:rsid w:val="00847CE6"/>
    <w:rsid w:val="00850019"/>
    <w:rsid w:val="00850580"/>
    <w:rsid w:val="00850634"/>
    <w:rsid w:val="00850806"/>
    <w:rsid w:val="00850ADF"/>
    <w:rsid w:val="00850B4C"/>
    <w:rsid w:val="00850F0C"/>
    <w:rsid w:val="0085181E"/>
    <w:rsid w:val="008518CC"/>
    <w:rsid w:val="0085196A"/>
    <w:rsid w:val="00851D14"/>
    <w:rsid w:val="00851E10"/>
    <w:rsid w:val="00851FE1"/>
    <w:rsid w:val="00852703"/>
    <w:rsid w:val="00852AEF"/>
    <w:rsid w:val="00852C49"/>
    <w:rsid w:val="0085326B"/>
    <w:rsid w:val="00853819"/>
    <w:rsid w:val="00853962"/>
    <w:rsid w:val="00853BD1"/>
    <w:rsid w:val="00853D5A"/>
    <w:rsid w:val="00853F45"/>
    <w:rsid w:val="00853FCE"/>
    <w:rsid w:val="008544F5"/>
    <w:rsid w:val="0085456A"/>
    <w:rsid w:val="008547EE"/>
    <w:rsid w:val="00854CB4"/>
    <w:rsid w:val="00854D56"/>
    <w:rsid w:val="00855218"/>
    <w:rsid w:val="00855472"/>
    <w:rsid w:val="008554A4"/>
    <w:rsid w:val="008558F0"/>
    <w:rsid w:val="00855CF6"/>
    <w:rsid w:val="00856666"/>
    <w:rsid w:val="008568E4"/>
    <w:rsid w:val="008568E5"/>
    <w:rsid w:val="00856A1B"/>
    <w:rsid w:val="00856C1B"/>
    <w:rsid w:val="00856C2A"/>
    <w:rsid w:val="00856C78"/>
    <w:rsid w:val="00857459"/>
    <w:rsid w:val="0085774F"/>
    <w:rsid w:val="00857D68"/>
    <w:rsid w:val="00857DDE"/>
    <w:rsid w:val="008601F0"/>
    <w:rsid w:val="00860701"/>
    <w:rsid w:val="0086072E"/>
    <w:rsid w:val="008607DA"/>
    <w:rsid w:val="00860F2D"/>
    <w:rsid w:val="008610F6"/>
    <w:rsid w:val="0086165B"/>
    <w:rsid w:val="008618C3"/>
    <w:rsid w:val="00861AA8"/>
    <w:rsid w:val="008621C3"/>
    <w:rsid w:val="0086224F"/>
    <w:rsid w:val="0086237E"/>
    <w:rsid w:val="00862381"/>
    <w:rsid w:val="00862722"/>
    <w:rsid w:val="00862781"/>
    <w:rsid w:val="0086297D"/>
    <w:rsid w:val="00862A10"/>
    <w:rsid w:val="00862A55"/>
    <w:rsid w:val="0086311C"/>
    <w:rsid w:val="00863348"/>
    <w:rsid w:val="00863A54"/>
    <w:rsid w:val="00863AF7"/>
    <w:rsid w:val="00863B69"/>
    <w:rsid w:val="00863CCA"/>
    <w:rsid w:val="00863F5B"/>
    <w:rsid w:val="00864165"/>
    <w:rsid w:val="00864DA1"/>
    <w:rsid w:val="00864EE4"/>
    <w:rsid w:val="00864F8E"/>
    <w:rsid w:val="00865486"/>
    <w:rsid w:val="00865884"/>
    <w:rsid w:val="00865BF8"/>
    <w:rsid w:val="00865D0C"/>
    <w:rsid w:val="00865DEC"/>
    <w:rsid w:val="00865EA3"/>
    <w:rsid w:val="00865FDC"/>
    <w:rsid w:val="00866158"/>
    <w:rsid w:val="008661CE"/>
    <w:rsid w:val="00866E74"/>
    <w:rsid w:val="008672A2"/>
    <w:rsid w:val="00867A53"/>
    <w:rsid w:val="00867A76"/>
    <w:rsid w:val="00867D5D"/>
    <w:rsid w:val="00867E55"/>
    <w:rsid w:val="00867EC4"/>
    <w:rsid w:val="008702F8"/>
    <w:rsid w:val="00870376"/>
    <w:rsid w:val="00870818"/>
    <w:rsid w:val="00870DAE"/>
    <w:rsid w:val="008718A6"/>
    <w:rsid w:val="00871DFF"/>
    <w:rsid w:val="00871E3F"/>
    <w:rsid w:val="00871F59"/>
    <w:rsid w:val="008721E1"/>
    <w:rsid w:val="00872446"/>
    <w:rsid w:val="00872921"/>
    <w:rsid w:val="00873611"/>
    <w:rsid w:val="00873BEA"/>
    <w:rsid w:val="00873C0B"/>
    <w:rsid w:val="00873C98"/>
    <w:rsid w:val="00873EEC"/>
    <w:rsid w:val="00873F14"/>
    <w:rsid w:val="00873FDC"/>
    <w:rsid w:val="00874020"/>
    <w:rsid w:val="008746A0"/>
    <w:rsid w:val="00874EAB"/>
    <w:rsid w:val="00874FC1"/>
    <w:rsid w:val="0087558D"/>
    <w:rsid w:val="0087559C"/>
    <w:rsid w:val="008757A9"/>
    <w:rsid w:val="00875840"/>
    <w:rsid w:val="00875980"/>
    <w:rsid w:val="00875C98"/>
    <w:rsid w:val="00875CCD"/>
    <w:rsid w:val="008760D3"/>
    <w:rsid w:val="00876201"/>
    <w:rsid w:val="00876275"/>
    <w:rsid w:val="00876507"/>
    <w:rsid w:val="0087678C"/>
    <w:rsid w:val="00876792"/>
    <w:rsid w:val="00876DF5"/>
    <w:rsid w:val="00876FD6"/>
    <w:rsid w:val="00877262"/>
    <w:rsid w:val="0087772D"/>
    <w:rsid w:val="008779C6"/>
    <w:rsid w:val="00877A0F"/>
    <w:rsid w:val="00877A89"/>
    <w:rsid w:val="00877BC3"/>
    <w:rsid w:val="00880AFD"/>
    <w:rsid w:val="00880C03"/>
    <w:rsid w:val="00880F2E"/>
    <w:rsid w:val="00880F77"/>
    <w:rsid w:val="008816DB"/>
    <w:rsid w:val="00881964"/>
    <w:rsid w:val="00881C04"/>
    <w:rsid w:val="00881F15"/>
    <w:rsid w:val="0088290E"/>
    <w:rsid w:val="00882A67"/>
    <w:rsid w:val="00882AF1"/>
    <w:rsid w:val="00882B99"/>
    <w:rsid w:val="00882EC5"/>
    <w:rsid w:val="008835F8"/>
    <w:rsid w:val="00883852"/>
    <w:rsid w:val="00883B13"/>
    <w:rsid w:val="00883F10"/>
    <w:rsid w:val="00884084"/>
    <w:rsid w:val="00884688"/>
    <w:rsid w:val="00884775"/>
    <w:rsid w:val="00884949"/>
    <w:rsid w:val="00884956"/>
    <w:rsid w:val="00884C95"/>
    <w:rsid w:val="00885820"/>
    <w:rsid w:val="00885B82"/>
    <w:rsid w:val="00885B9B"/>
    <w:rsid w:val="00885DCB"/>
    <w:rsid w:val="00885E59"/>
    <w:rsid w:val="0088635D"/>
    <w:rsid w:val="008866E1"/>
    <w:rsid w:val="0088699F"/>
    <w:rsid w:val="008869C1"/>
    <w:rsid w:val="00886E6C"/>
    <w:rsid w:val="00886F5E"/>
    <w:rsid w:val="0088716F"/>
    <w:rsid w:val="00887511"/>
    <w:rsid w:val="008876A5"/>
    <w:rsid w:val="00887976"/>
    <w:rsid w:val="00887B77"/>
    <w:rsid w:val="0089037A"/>
    <w:rsid w:val="008904EB"/>
    <w:rsid w:val="00890645"/>
    <w:rsid w:val="00890668"/>
    <w:rsid w:val="00890D2B"/>
    <w:rsid w:val="00890E6F"/>
    <w:rsid w:val="00890F33"/>
    <w:rsid w:val="00891414"/>
    <w:rsid w:val="0089167D"/>
    <w:rsid w:val="00891CAA"/>
    <w:rsid w:val="00892063"/>
    <w:rsid w:val="00892380"/>
    <w:rsid w:val="008928CA"/>
    <w:rsid w:val="00892AFD"/>
    <w:rsid w:val="00892C5F"/>
    <w:rsid w:val="00892EDF"/>
    <w:rsid w:val="00892F39"/>
    <w:rsid w:val="008932C6"/>
    <w:rsid w:val="008938FC"/>
    <w:rsid w:val="00893F4E"/>
    <w:rsid w:val="00893F5E"/>
    <w:rsid w:val="00894238"/>
    <w:rsid w:val="0089429C"/>
    <w:rsid w:val="00894506"/>
    <w:rsid w:val="008949E0"/>
    <w:rsid w:val="00894E48"/>
    <w:rsid w:val="00894EDB"/>
    <w:rsid w:val="00895365"/>
    <w:rsid w:val="00895497"/>
    <w:rsid w:val="0089551F"/>
    <w:rsid w:val="008956C6"/>
    <w:rsid w:val="00895ABB"/>
    <w:rsid w:val="00895E1A"/>
    <w:rsid w:val="00895E75"/>
    <w:rsid w:val="00896545"/>
    <w:rsid w:val="008967E7"/>
    <w:rsid w:val="00897733"/>
    <w:rsid w:val="00897D15"/>
    <w:rsid w:val="00897F42"/>
    <w:rsid w:val="008A03AC"/>
    <w:rsid w:val="008A09B2"/>
    <w:rsid w:val="008A11F2"/>
    <w:rsid w:val="008A15B3"/>
    <w:rsid w:val="008A17C9"/>
    <w:rsid w:val="008A1930"/>
    <w:rsid w:val="008A25BA"/>
    <w:rsid w:val="008A264A"/>
    <w:rsid w:val="008A295B"/>
    <w:rsid w:val="008A2EAC"/>
    <w:rsid w:val="008A2FB7"/>
    <w:rsid w:val="008A30BB"/>
    <w:rsid w:val="008A3A5C"/>
    <w:rsid w:val="008A3FA1"/>
    <w:rsid w:val="008A4215"/>
    <w:rsid w:val="008A4F7B"/>
    <w:rsid w:val="008A5055"/>
    <w:rsid w:val="008A5565"/>
    <w:rsid w:val="008A590F"/>
    <w:rsid w:val="008A5FEF"/>
    <w:rsid w:val="008A6604"/>
    <w:rsid w:val="008A6C53"/>
    <w:rsid w:val="008A7309"/>
    <w:rsid w:val="008A74F8"/>
    <w:rsid w:val="008A7EA3"/>
    <w:rsid w:val="008A7FCE"/>
    <w:rsid w:val="008B0145"/>
    <w:rsid w:val="008B0A13"/>
    <w:rsid w:val="008B0CE6"/>
    <w:rsid w:val="008B0EEC"/>
    <w:rsid w:val="008B1C91"/>
    <w:rsid w:val="008B2101"/>
    <w:rsid w:val="008B239B"/>
    <w:rsid w:val="008B23DA"/>
    <w:rsid w:val="008B2BDF"/>
    <w:rsid w:val="008B35D5"/>
    <w:rsid w:val="008B35F6"/>
    <w:rsid w:val="008B3DB1"/>
    <w:rsid w:val="008B3DB7"/>
    <w:rsid w:val="008B44E6"/>
    <w:rsid w:val="008B46E8"/>
    <w:rsid w:val="008B475D"/>
    <w:rsid w:val="008B4977"/>
    <w:rsid w:val="008B4ADE"/>
    <w:rsid w:val="008B50DA"/>
    <w:rsid w:val="008B5482"/>
    <w:rsid w:val="008B5D6A"/>
    <w:rsid w:val="008B6106"/>
    <w:rsid w:val="008B63B3"/>
    <w:rsid w:val="008B670F"/>
    <w:rsid w:val="008B674A"/>
    <w:rsid w:val="008B6AB1"/>
    <w:rsid w:val="008B6BFD"/>
    <w:rsid w:val="008B6E1B"/>
    <w:rsid w:val="008B7095"/>
    <w:rsid w:val="008B7E37"/>
    <w:rsid w:val="008B7EFB"/>
    <w:rsid w:val="008C04ED"/>
    <w:rsid w:val="008C11F4"/>
    <w:rsid w:val="008C14DD"/>
    <w:rsid w:val="008C15E1"/>
    <w:rsid w:val="008C1AFB"/>
    <w:rsid w:val="008C1D33"/>
    <w:rsid w:val="008C22CA"/>
    <w:rsid w:val="008C2728"/>
    <w:rsid w:val="008C281C"/>
    <w:rsid w:val="008C2907"/>
    <w:rsid w:val="008C2BEC"/>
    <w:rsid w:val="008C2E5F"/>
    <w:rsid w:val="008C3119"/>
    <w:rsid w:val="008C3203"/>
    <w:rsid w:val="008C3257"/>
    <w:rsid w:val="008C32A8"/>
    <w:rsid w:val="008C35BE"/>
    <w:rsid w:val="008C38C6"/>
    <w:rsid w:val="008C3A64"/>
    <w:rsid w:val="008C41F9"/>
    <w:rsid w:val="008C460D"/>
    <w:rsid w:val="008C485C"/>
    <w:rsid w:val="008C48B0"/>
    <w:rsid w:val="008C4B93"/>
    <w:rsid w:val="008C4D5C"/>
    <w:rsid w:val="008C4F95"/>
    <w:rsid w:val="008C524C"/>
    <w:rsid w:val="008C5666"/>
    <w:rsid w:val="008C58A6"/>
    <w:rsid w:val="008C5A67"/>
    <w:rsid w:val="008C5A76"/>
    <w:rsid w:val="008C5B05"/>
    <w:rsid w:val="008C5B56"/>
    <w:rsid w:val="008C6112"/>
    <w:rsid w:val="008C67B5"/>
    <w:rsid w:val="008C6A91"/>
    <w:rsid w:val="008C6D0E"/>
    <w:rsid w:val="008C6E0F"/>
    <w:rsid w:val="008C7878"/>
    <w:rsid w:val="008C7E48"/>
    <w:rsid w:val="008C7E83"/>
    <w:rsid w:val="008D09D2"/>
    <w:rsid w:val="008D170D"/>
    <w:rsid w:val="008D1842"/>
    <w:rsid w:val="008D1D80"/>
    <w:rsid w:val="008D2095"/>
    <w:rsid w:val="008D225A"/>
    <w:rsid w:val="008D26F1"/>
    <w:rsid w:val="008D2869"/>
    <w:rsid w:val="008D2914"/>
    <w:rsid w:val="008D2B37"/>
    <w:rsid w:val="008D2D79"/>
    <w:rsid w:val="008D2DB7"/>
    <w:rsid w:val="008D2E45"/>
    <w:rsid w:val="008D320F"/>
    <w:rsid w:val="008D3798"/>
    <w:rsid w:val="008D37D4"/>
    <w:rsid w:val="008D380E"/>
    <w:rsid w:val="008D39C5"/>
    <w:rsid w:val="008D3AF9"/>
    <w:rsid w:val="008D3C65"/>
    <w:rsid w:val="008D3D4D"/>
    <w:rsid w:val="008D3EF3"/>
    <w:rsid w:val="008D3FF9"/>
    <w:rsid w:val="008D4217"/>
    <w:rsid w:val="008D43B4"/>
    <w:rsid w:val="008D43B6"/>
    <w:rsid w:val="008D4EED"/>
    <w:rsid w:val="008D4FF6"/>
    <w:rsid w:val="008D51FC"/>
    <w:rsid w:val="008D5224"/>
    <w:rsid w:val="008D5695"/>
    <w:rsid w:val="008D5D3A"/>
    <w:rsid w:val="008D61DD"/>
    <w:rsid w:val="008D6F6B"/>
    <w:rsid w:val="008D6F74"/>
    <w:rsid w:val="008D79A8"/>
    <w:rsid w:val="008D7C45"/>
    <w:rsid w:val="008E026A"/>
    <w:rsid w:val="008E1011"/>
    <w:rsid w:val="008E1276"/>
    <w:rsid w:val="008E129A"/>
    <w:rsid w:val="008E12AC"/>
    <w:rsid w:val="008E1D89"/>
    <w:rsid w:val="008E2112"/>
    <w:rsid w:val="008E21C1"/>
    <w:rsid w:val="008E22CE"/>
    <w:rsid w:val="008E264C"/>
    <w:rsid w:val="008E279F"/>
    <w:rsid w:val="008E2A82"/>
    <w:rsid w:val="008E2C50"/>
    <w:rsid w:val="008E2F56"/>
    <w:rsid w:val="008E2F7A"/>
    <w:rsid w:val="008E3713"/>
    <w:rsid w:val="008E37E0"/>
    <w:rsid w:val="008E389F"/>
    <w:rsid w:val="008E3CCD"/>
    <w:rsid w:val="008E3E3E"/>
    <w:rsid w:val="008E4799"/>
    <w:rsid w:val="008E4F6E"/>
    <w:rsid w:val="008E4F89"/>
    <w:rsid w:val="008E5430"/>
    <w:rsid w:val="008E5473"/>
    <w:rsid w:val="008E606D"/>
    <w:rsid w:val="008E60BD"/>
    <w:rsid w:val="008E62D9"/>
    <w:rsid w:val="008E642F"/>
    <w:rsid w:val="008E65E4"/>
    <w:rsid w:val="008E6DB2"/>
    <w:rsid w:val="008E71B9"/>
    <w:rsid w:val="008E768B"/>
    <w:rsid w:val="008E77CF"/>
    <w:rsid w:val="008E79F7"/>
    <w:rsid w:val="008E7B2E"/>
    <w:rsid w:val="008F0A72"/>
    <w:rsid w:val="008F0CA4"/>
    <w:rsid w:val="008F0D57"/>
    <w:rsid w:val="008F1008"/>
    <w:rsid w:val="008F101A"/>
    <w:rsid w:val="008F1446"/>
    <w:rsid w:val="008F1A2B"/>
    <w:rsid w:val="008F2055"/>
    <w:rsid w:val="008F28F0"/>
    <w:rsid w:val="008F2A94"/>
    <w:rsid w:val="008F2CA5"/>
    <w:rsid w:val="008F2FAA"/>
    <w:rsid w:val="008F366E"/>
    <w:rsid w:val="008F3949"/>
    <w:rsid w:val="008F3956"/>
    <w:rsid w:val="008F3D73"/>
    <w:rsid w:val="008F3FA6"/>
    <w:rsid w:val="008F406D"/>
    <w:rsid w:val="008F4079"/>
    <w:rsid w:val="008F41AA"/>
    <w:rsid w:val="008F46F0"/>
    <w:rsid w:val="008F5567"/>
    <w:rsid w:val="008F5698"/>
    <w:rsid w:val="008F59AE"/>
    <w:rsid w:val="008F5F87"/>
    <w:rsid w:val="008F6617"/>
    <w:rsid w:val="008F6EA7"/>
    <w:rsid w:val="008F6F4E"/>
    <w:rsid w:val="008F7477"/>
    <w:rsid w:val="008F7532"/>
    <w:rsid w:val="008F75FA"/>
    <w:rsid w:val="008F79FF"/>
    <w:rsid w:val="008F7B3F"/>
    <w:rsid w:val="008F7C4C"/>
    <w:rsid w:val="008F7D93"/>
    <w:rsid w:val="008F7F63"/>
    <w:rsid w:val="0090004F"/>
    <w:rsid w:val="0090060B"/>
    <w:rsid w:val="009007A4"/>
    <w:rsid w:val="00900A34"/>
    <w:rsid w:val="00900C0B"/>
    <w:rsid w:val="00900D4D"/>
    <w:rsid w:val="00900E0C"/>
    <w:rsid w:val="00900E37"/>
    <w:rsid w:val="00901189"/>
    <w:rsid w:val="0090139A"/>
    <w:rsid w:val="00901B51"/>
    <w:rsid w:val="00901CC3"/>
    <w:rsid w:val="00902210"/>
    <w:rsid w:val="009022F7"/>
    <w:rsid w:val="0090246B"/>
    <w:rsid w:val="00902763"/>
    <w:rsid w:val="00902BFC"/>
    <w:rsid w:val="0090315F"/>
    <w:rsid w:val="00903D0E"/>
    <w:rsid w:val="00903EBD"/>
    <w:rsid w:val="0090439D"/>
    <w:rsid w:val="00904554"/>
    <w:rsid w:val="0090482C"/>
    <w:rsid w:val="00904A74"/>
    <w:rsid w:val="00904DFF"/>
    <w:rsid w:val="00905207"/>
    <w:rsid w:val="0090592E"/>
    <w:rsid w:val="00905A29"/>
    <w:rsid w:val="00905BEB"/>
    <w:rsid w:val="00905F68"/>
    <w:rsid w:val="00905F6B"/>
    <w:rsid w:val="00906A0A"/>
    <w:rsid w:val="00906C16"/>
    <w:rsid w:val="0090706E"/>
    <w:rsid w:val="00907073"/>
    <w:rsid w:val="009071AE"/>
    <w:rsid w:val="0090744C"/>
    <w:rsid w:val="00907667"/>
    <w:rsid w:val="00907874"/>
    <w:rsid w:val="00907DC9"/>
    <w:rsid w:val="00907FA8"/>
    <w:rsid w:val="00907FAF"/>
    <w:rsid w:val="009102AF"/>
    <w:rsid w:val="0091053A"/>
    <w:rsid w:val="00910DC4"/>
    <w:rsid w:val="00910E8B"/>
    <w:rsid w:val="009111E7"/>
    <w:rsid w:val="0091150B"/>
    <w:rsid w:val="00911A14"/>
    <w:rsid w:val="00911A3B"/>
    <w:rsid w:val="00911D87"/>
    <w:rsid w:val="00912423"/>
    <w:rsid w:val="00912769"/>
    <w:rsid w:val="00912BC5"/>
    <w:rsid w:val="00912BCA"/>
    <w:rsid w:val="0091303D"/>
    <w:rsid w:val="009147C5"/>
    <w:rsid w:val="00914D6B"/>
    <w:rsid w:val="00914DD8"/>
    <w:rsid w:val="0091516B"/>
    <w:rsid w:val="009151E1"/>
    <w:rsid w:val="0091523F"/>
    <w:rsid w:val="00915729"/>
    <w:rsid w:val="00915908"/>
    <w:rsid w:val="00915D9D"/>
    <w:rsid w:val="00915E32"/>
    <w:rsid w:val="00915E8A"/>
    <w:rsid w:val="00916498"/>
    <w:rsid w:val="00916529"/>
    <w:rsid w:val="00916717"/>
    <w:rsid w:val="0091691D"/>
    <w:rsid w:val="009169A8"/>
    <w:rsid w:val="00916ACA"/>
    <w:rsid w:val="00916D0C"/>
    <w:rsid w:val="00916EB0"/>
    <w:rsid w:val="00917023"/>
    <w:rsid w:val="009176B4"/>
    <w:rsid w:val="0091772E"/>
    <w:rsid w:val="00917D46"/>
    <w:rsid w:val="009208F5"/>
    <w:rsid w:val="00920EA6"/>
    <w:rsid w:val="00921A50"/>
    <w:rsid w:val="00921D5A"/>
    <w:rsid w:val="0092202A"/>
    <w:rsid w:val="009220C5"/>
    <w:rsid w:val="009221FA"/>
    <w:rsid w:val="00922344"/>
    <w:rsid w:val="00922A0F"/>
    <w:rsid w:val="00922BB2"/>
    <w:rsid w:val="00922E2E"/>
    <w:rsid w:val="00922F32"/>
    <w:rsid w:val="00923C6B"/>
    <w:rsid w:val="00923D85"/>
    <w:rsid w:val="00923DF2"/>
    <w:rsid w:val="00924441"/>
    <w:rsid w:val="00924827"/>
    <w:rsid w:val="0092494E"/>
    <w:rsid w:val="00925079"/>
    <w:rsid w:val="00925415"/>
    <w:rsid w:val="0092565D"/>
    <w:rsid w:val="00925A0C"/>
    <w:rsid w:val="0092602E"/>
    <w:rsid w:val="009264F6"/>
    <w:rsid w:val="0092669C"/>
    <w:rsid w:val="00927274"/>
    <w:rsid w:val="0092774F"/>
    <w:rsid w:val="00927970"/>
    <w:rsid w:val="00927B0E"/>
    <w:rsid w:val="00927D51"/>
    <w:rsid w:val="0093012F"/>
    <w:rsid w:val="0093018F"/>
    <w:rsid w:val="009302D2"/>
    <w:rsid w:val="00930712"/>
    <w:rsid w:val="00930772"/>
    <w:rsid w:val="0093082B"/>
    <w:rsid w:val="009308AE"/>
    <w:rsid w:val="00931043"/>
    <w:rsid w:val="009316B9"/>
    <w:rsid w:val="00931B2F"/>
    <w:rsid w:val="00931F54"/>
    <w:rsid w:val="00932272"/>
    <w:rsid w:val="00932808"/>
    <w:rsid w:val="00932862"/>
    <w:rsid w:val="009330EB"/>
    <w:rsid w:val="00933769"/>
    <w:rsid w:val="0093378F"/>
    <w:rsid w:val="009337A4"/>
    <w:rsid w:val="0093394C"/>
    <w:rsid w:val="00933E80"/>
    <w:rsid w:val="00934B46"/>
    <w:rsid w:val="00934EDE"/>
    <w:rsid w:val="009350A1"/>
    <w:rsid w:val="00935417"/>
    <w:rsid w:val="009357A5"/>
    <w:rsid w:val="00935D60"/>
    <w:rsid w:val="00935F92"/>
    <w:rsid w:val="00936D7A"/>
    <w:rsid w:val="00937482"/>
    <w:rsid w:val="009377C1"/>
    <w:rsid w:val="00937B21"/>
    <w:rsid w:val="00940ADA"/>
    <w:rsid w:val="00940C4B"/>
    <w:rsid w:val="00940C9C"/>
    <w:rsid w:val="00940CE5"/>
    <w:rsid w:val="00940DF8"/>
    <w:rsid w:val="00940E89"/>
    <w:rsid w:val="00940EDE"/>
    <w:rsid w:val="00941033"/>
    <w:rsid w:val="009410F5"/>
    <w:rsid w:val="0094138A"/>
    <w:rsid w:val="00941BBB"/>
    <w:rsid w:val="00941E6C"/>
    <w:rsid w:val="00941F64"/>
    <w:rsid w:val="00942061"/>
    <w:rsid w:val="00942682"/>
    <w:rsid w:val="00942853"/>
    <w:rsid w:val="0094285C"/>
    <w:rsid w:val="00942B99"/>
    <w:rsid w:val="00942CBF"/>
    <w:rsid w:val="00942ECF"/>
    <w:rsid w:val="009436C3"/>
    <w:rsid w:val="00943DAF"/>
    <w:rsid w:val="00944014"/>
    <w:rsid w:val="0094432A"/>
    <w:rsid w:val="0094442E"/>
    <w:rsid w:val="009447BB"/>
    <w:rsid w:val="00944845"/>
    <w:rsid w:val="00944A25"/>
    <w:rsid w:val="00944AD7"/>
    <w:rsid w:val="00944C48"/>
    <w:rsid w:val="00944D85"/>
    <w:rsid w:val="00944E7A"/>
    <w:rsid w:val="00944F93"/>
    <w:rsid w:val="009451DF"/>
    <w:rsid w:val="0094536F"/>
    <w:rsid w:val="0094586B"/>
    <w:rsid w:val="00945A00"/>
    <w:rsid w:val="00945A28"/>
    <w:rsid w:val="00945A46"/>
    <w:rsid w:val="00945E66"/>
    <w:rsid w:val="00945E83"/>
    <w:rsid w:val="00946335"/>
    <w:rsid w:val="00946779"/>
    <w:rsid w:val="00946AFA"/>
    <w:rsid w:val="00946C6F"/>
    <w:rsid w:val="00946DC1"/>
    <w:rsid w:val="009474A1"/>
    <w:rsid w:val="00947CAD"/>
    <w:rsid w:val="009506B5"/>
    <w:rsid w:val="00950BCF"/>
    <w:rsid w:val="00950E44"/>
    <w:rsid w:val="00950EE9"/>
    <w:rsid w:val="00951102"/>
    <w:rsid w:val="009512B8"/>
    <w:rsid w:val="009513C4"/>
    <w:rsid w:val="009519EA"/>
    <w:rsid w:val="00951A65"/>
    <w:rsid w:val="00951A78"/>
    <w:rsid w:val="00951D46"/>
    <w:rsid w:val="009521B1"/>
    <w:rsid w:val="009522F4"/>
    <w:rsid w:val="009523D4"/>
    <w:rsid w:val="009523FF"/>
    <w:rsid w:val="009525EB"/>
    <w:rsid w:val="00952702"/>
    <w:rsid w:val="00952E6E"/>
    <w:rsid w:val="00952E74"/>
    <w:rsid w:val="00952FC7"/>
    <w:rsid w:val="0095310B"/>
    <w:rsid w:val="00953148"/>
    <w:rsid w:val="00953179"/>
    <w:rsid w:val="0095342E"/>
    <w:rsid w:val="0095346D"/>
    <w:rsid w:val="0095368F"/>
    <w:rsid w:val="00953FE1"/>
    <w:rsid w:val="009542B6"/>
    <w:rsid w:val="00954C9B"/>
    <w:rsid w:val="00954D98"/>
    <w:rsid w:val="00955088"/>
    <w:rsid w:val="0095532F"/>
    <w:rsid w:val="009553B8"/>
    <w:rsid w:val="009557EC"/>
    <w:rsid w:val="00955ABA"/>
    <w:rsid w:val="00955D80"/>
    <w:rsid w:val="00955E55"/>
    <w:rsid w:val="00956F92"/>
    <w:rsid w:val="009573A4"/>
    <w:rsid w:val="009578BC"/>
    <w:rsid w:val="00957B57"/>
    <w:rsid w:val="00957CB6"/>
    <w:rsid w:val="00957DE3"/>
    <w:rsid w:val="0096077C"/>
    <w:rsid w:val="00960948"/>
    <w:rsid w:val="00960E96"/>
    <w:rsid w:val="0096102E"/>
    <w:rsid w:val="009617CD"/>
    <w:rsid w:val="0096210E"/>
    <w:rsid w:val="00962200"/>
    <w:rsid w:val="00962367"/>
    <w:rsid w:val="0096268F"/>
    <w:rsid w:val="00962B56"/>
    <w:rsid w:val="00962FEA"/>
    <w:rsid w:val="00963A2F"/>
    <w:rsid w:val="00963EA4"/>
    <w:rsid w:val="00963F8E"/>
    <w:rsid w:val="00964855"/>
    <w:rsid w:val="00964859"/>
    <w:rsid w:val="00964A88"/>
    <w:rsid w:val="00964C27"/>
    <w:rsid w:val="00964F36"/>
    <w:rsid w:val="009651E1"/>
    <w:rsid w:val="009654A5"/>
    <w:rsid w:val="009659B7"/>
    <w:rsid w:val="00965A7D"/>
    <w:rsid w:val="009663AE"/>
    <w:rsid w:val="009663CF"/>
    <w:rsid w:val="00966493"/>
    <w:rsid w:val="009666D0"/>
    <w:rsid w:val="009667D2"/>
    <w:rsid w:val="00966F54"/>
    <w:rsid w:val="00967101"/>
    <w:rsid w:val="0096771B"/>
    <w:rsid w:val="00967F63"/>
    <w:rsid w:val="009704AA"/>
    <w:rsid w:val="00970682"/>
    <w:rsid w:val="00970952"/>
    <w:rsid w:val="00970AEA"/>
    <w:rsid w:val="0097104A"/>
    <w:rsid w:val="009715E9"/>
    <w:rsid w:val="00971A37"/>
    <w:rsid w:val="00971C83"/>
    <w:rsid w:val="00971FFA"/>
    <w:rsid w:val="00972246"/>
    <w:rsid w:val="00972294"/>
    <w:rsid w:val="0097250C"/>
    <w:rsid w:val="0097254F"/>
    <w:rsid w:val="0097280A"/>
    <w:rsid w:val="00972814"/>
    <w:rsid w:val="00973026"/>
    <w:rsid w:val="0097350D"/>
    <w:rsid w:val="00973DA2"/>
    <w:rsid w:val="00973F4E"/>
    <w:rsid w:val="00974121"/>
    <w:rsid w:val="009741DE"/>
    <w:rsid w:val="009755F5"/>
    <w:rsid w:val="00975651"/>
    <w:rsid w:val="00975A51"/>
    <w:rsid w:val="00975B40"/>
    <w:rsid w:val="00975C9F"/>
    <w:rsid w:val="00975DA4"/>
    <w:rsid w:val="00975E61"/>
    <w:rsid w:val="009768C6"/>
    <w:rsid w:val="00976E31"/>
    <w:rsid w:val="009770F1"/>
    <w:rsid w:val="009779AE"/>
    <w:rsid w:val="00977BE5"/>
    <w:rsid w:val="00977C63"/>
    <w:rsid w:val="00977ED4"/>
    <w:rsid w:val="00980087"/>
    <w:rsid w:val="00980C0B"/>
    <w:rsid w:val="009816A0"/>
    <w:rsid w:val="00981941"/>
    <w:rsid w:val="00981C24"/>
    <w:rsid w:val="00981D76"/>
    <w:rsid w:val="0098219D"/>
    <w:rsid w:val="009823EB"/>
    <w:rsid w:val="009824D7"/>
    <w:rsid w:val="00982976"/>
    <w:rsid w:val="00982F7A"/>
    <w:rsid w:val="0098320A"/>
    <w:rsid w:val="009834AC"/>
    <w:rsid w:val="00983654"/>
    <w:rsid w:val="00983711"/>
    <w:rsid w:val="009838A5"/>
    <w:rsid w:val="00983CD4"/>
    <w:rsid w:val="00984287"/>
    <w:rsid w:val="0098465A"/>
    <w:rsid w:val="0098490F"/>
    <w:rsid w:val="00984B0D"/>
    <w:rsid w:val="00984C41"/>
    <w:rsid w:val="00984E0E"/>
    <w:rsid w:val="00984E5E"/>
    <w:rsid w:val="0098518A"/>
    <w:rsid w:val="00985219"/>
    <w:rsid w:val="0098533A"/>
    <w:rsid w:val="0098547B"/>
    <w:rsid w:val="0098563F"/>
    <w:rsid w:val="0098584E"/>
    <w:rsid w:val="009859FA"/>
    <w:rsid w:val="00985B38"/>
    <w:rsid w:val="00986080"/>
    <w:rsid w:val="0098642F"/>
    <w:rsid w:val="00986443"/>
    <w:rsid w:val="00986668"/>
    <w:rsid w:val="009868A0"/>
    <w:rsid w:val="009868BC"/>
    <w:rsid w:val="00986CB2"/>
    <w:rsid w:val="00987007"/>
    <w:rsid w:val="009870A5"/>
    <w:rsid w:val="00987208"/>
    <w:rsid w:val="0098720E"/>
    <w:rsid w:val="009877B8"/>
    <w:rsid w:val="00987987"/>
    <w:rsid w:val="00987ABE"/>
    <w:rsid w:val="00987D59"/>
    <w:rsid w:val="0099002F"/>
    <w:rsid w:val="009901D9"/>
    <w:rsid w:val="009906C7"/>
    <w:rsid w:val="00990852"/>
    <w:rsid w:val="0099097B"/>
    <w:rsid w:val="00990E52"/>
    <w:rsid w:val="00991455"/>
    <w:rsid w:val="00991556"/>
    <w:rsid w:val="00991CDA"/>
    <w:rsid w:val="00991DD5"/>
    <w:rsid w:val="0099247B"/>
    <w:rsid w:val="0099257F"/>
    <w:rsid w:val="009925D6"/>
    <w:rsid w:val="009931D0"/>
    <w:rsid w:val="00993455"/>
    <w:rsid w:val="00993DD0"/>
    <w:rsid w:val="00994276"/>
    <w:rsid w:val="009945AE"/>
    <w:rsid w:val="0099461B"/>
    <w:rsid w:val="00994664"/>
    <w:rsid w:val="00994B92"/>
    <w:rsid w:val="00994BE5"/>
    <w:rsid w:val="00995322"/>
    <w:rsid w:val="009956F1"/>
    <w:rsid w:val="00995754"/>
    <w:rsid w:val="009958AA"/>
    <w:rsid w:val="00995D37"/>
    <w:rsid w:val="009963CD"/>
    <w:rsid w:val="009964FA"/>
    <w:rsid w:val="00996B6E"/>
    <w:rsid w:val="009973DC"/>
    <w:rsid w:val="009974BB"/>
    <w:rsid w:val="00997C10"/>
    <w:rsid w:val="009A0008"/>
    <w:rsid w:val="009A01D8"/>
    <w:rsid w:val="009A039F"/>
    <w:rsid w:val="009A0E77"/>
    <w:rsid w:val="009A172B"/>
    <w:rsid w:val="009A18FA"/>
    <w:rsid w:val="009A1C00"/>
    <w:rsid w:val="009A2013"/>
    <w:rsid w:val="009A22B6"/>
    <w:rsid w:val="009A2DF4"/>
    <w:rsid w:val="009A31AE"/>
    <w:rsid w:val="009A31CC"/>
    <w:rsid w:val="009A37D9"/>
    <w:rsid w:val="009A3A99"/>
    <w:rsid w:val="009A3B6C"/>
    <w:rsid w:val="009A419C"/>
    <w:rsid w:val="009A4C55"/>
    <w:rsid w:val="009A5095"/>
    <w:rsid w:val="009A55A6"/>
    <w:rsid w:val="009A5757"/>
    <w:rsid w:val="009A5B40"/>
    <w:rsid w:val="009A623D"/>
    <w:rsid w:val="009A6D7E"/>
    <w:rsid w:val="009A720C"/>
    <w:rsid w:val="009A7313"/>
    <w:rsid w:val="009A744A"/>
    <w:rsid w:val="009A7BCE"/>
    <w:rsid w:val="009A7EE4"/>
    <w:rsid w:val="009B0073"/>
    <w:rsid w:val="009B0266"/>
    <w:rsid w:val="009B02D4"/>
    <w:rsid w:val="009B0B6A"/>
    <w:rsid w:val="009B0F53"/>
    <w:rsid w:val="009B0F65"/>
    <w:rsid w:val="009B0F72"/>
    <w:rsid w:val="009B1046"/>
    <w:rsid w:val="009B108E"/>
    <w:rsid w:val="009B1306"/>
    <w:rsid w:val="009B16A4"/>
    <w:rsid w:val="009B16E8"/>
    <w:rsid w:val="009B1762"/>
    <w:rsid w:val="009B17F6"/>
    <w:rsid w:val="009B19F9"/>
    <w:rsid w:val="009B1B93"/>
    <w:rsid w:val="009B266D"/>
    <w:rsid w:val="009B302C"/>
    <w:rsid w:val="009B3818"/>
    <w:rsid w:val="009B39F4"/>
    <w:rsid w:val="009B3A9B"/>
    <w:rsid w:val="009B3D94"/>
    <w:rsid w:val="009B4293"/>
    <w:rsid w:val="009B4579"/>
    <w:rsid w:val="009B4610"/>
    <w:rsid w:val="009B48B8"/>
    <w:rsid w:val="009B4B85"/>
    <w:rsid w:val="009B4DD7"/>
    <w:rsid w:val="009B5026"/>
    <w:rsid w:val="009B5375"/>
    <w:rsid w:val="009B58A3"/>
    <w:rsid w:val="009B5CBF"/>
    <w:rsid w:val="009B663A"/>
    <w:rsid w:val="009B67A1"/>
    <w:rsid w:val="009B68C6"/>
    <w:rsid w:val="009B6E69"/>
    <w:rsid w:val="009B76F0"/>
    <w:rsid w:val="009B7CF7"/>
    <w:rsid w:val="009C0385"/>
    <w:rsid w:val="009C05EB"/>
    <w:rsid w:val="009C0860"/>
    <w:rsid w:val="009C0AFB"/>
    <w:rsid w:val="009C1061"/>
    <w:rsid w:val="009C14BF"/>
    <w:rsid w:val="009C17EE"/>
    <w:rsid w:val="009C184A"/>
    <w:rsid w:val="009C2393"/>
    <w:rsid w:val="009C23A9"/>
    <w:rsid w:val="009C2903"/>
    <w:rsid w:val="009C2B04"/>
    <w:rsid w:val="009C2CA5"/>
    <w:rsid w:val="009C2EB7"/>
    <w:rsid w:val="009C301A"/>
    <w:rsid w:val="009C3023"/>
    <w:rsid w:val="009C31FE"/>
    <w:rsid w:val="009C3228"/>
    <w:rsid w:val="009C3794"/>
    <w:rsid w:val="009C3D77"/>
    <w:rsid w:val="009C4037"/>
    <w:rsid w:val="009C4843"/>
    <w:rsid w:val="009C4E64"/>
    <w:rsid w:val="009C564F"/>
    <w:rsid w:val="009C5968"/>
    <w:rsid w:val="009C5AC1"/>
    <w:rsid w:val="009C5D66"/>
    <w:rsid w:val="009C627F"/>
    <w:rsid w:val="009C62BD"/>
    <w:rsid w:val="009C6666"/>
    <w:rsid w:val="009C6A0A"/>
    <w:rsid w:val="009C6A19"/>
    <w:rsid w:val="009C7498"/>
    <w:rsid w:val="009C7568"/>
    <w:rsid w:val="009C7696"/>
    <w:rsid w:val="009C7CAC"/>
    <w:rsid w:val="009D0389"/>
    <w:rsid w:val="009D05BA"/>
    <w:rsid w:val="009D0E1A"/>
    <w:rsid w:val="009D12A2"/>
    <w:rsid w:val="009D1534"/>
    <w:rsid w:val="009D227F"/>
    <w:rsid w:val="009D2329"/>
    <w:rsid w:val="009D2AFC"/>
    <w:rsid w:val="009D32A0"/>
    <w:rsid w:val="009D3541"/>
    <w:rsid w:val="009D36AC"/>
    <w:rsid w:val="009D3FDC"/>
    <w:rsid w:val="009D4D76"/>
    <w:rsid w:val="009D5704"/>
    <w:rsid w:val="009D5723"/>
    <w:rsid w:val="009D594D"/>
    <w:rsid w:val="009D60CA"/>
    <w:rsid w:val="009D6161"/>
    <w:rsid w:val="009D640A"/>
    <w:rsid w:val="009D65DD"/>
    <w:rsid w:val="009D6D07"/>
    <w:rsid w:val="009D72D6"/>
    <w:rsid w:val="009D73E9"/>
    <w:rsid w:val="009D796E"/>
    <w:rsid w:val="009D7DF0"/>
    <w:rsid w:val="009D7E1B"/>
    <w:rsid w:val="009E0207"/>
    <w:rsid w:val="009E03EC"/>
    <w:rsid w:val="009E049B"/>
    <w:rsid w:val="009E063D"/>
    <w:rsid w:val="009E06F9"/>
    <w:rsid w:val="009E08D1"/>
    <w:rsid w:val="009E0C2E"/>
    <w:rsid w:val="009E0FB6"/>
    <w:rsid w:val="009E130E"/>
    <w:rsid w:val="009E1648"/>
    <w:rsid w:val="009E17A1"/>
    <w:rsid w:val="009E1D19"/>
    <w:rsid w:val="009E1DAE"/>
    <w:rsid w:val="009E25B7"/>
    <w:rsid w:val="009E2696"/>
    <w:rsid w:val="009E2CB6"/>
    <w:rsid w:val="009E2D03"/>
    <w:rsid w:val="009E2EB1"/>
    <w:rsid w:val="009E2FD2"/>
    <w:rsid w:val="009E33FB"/>
    <w:rsid w:val="009E35D0"/>
    <w:rsid w:val="009E3708"/>
    <w:rsid w:val="009E3F52"/>
    <w:rsid w:val="009E4350"/>
    <w:rsid w:val="009E4392"/>
    <w:rsid w:val="009E463D"/>
    <w:rsid w:val="009E4912"/>
    <w:rsid w:val="009E5007"/>
    <w:rsid w:val="009E5226"/>
    <w:rsid w:val="009E55C1"/>
    <w:rsid w:val="009E572F"/>
    <w:rsid w:val="009E57CD"/>
    <w:rsid w:val="009E5A7F"/>
    <w:rsid w:val="009E5BB1"/>
    <w:rsid w:val="009E5C0E"/>
    <w:rsid w:val="009E5D49"/>
    <w:rsid w:val="009E5E17"/>
    <w:rsid w:val="009E6128"/>
    <w:rsid w:val="009E65E6"/>
    <w:rsid w:val="009E67C7"/>
    <w:rsid w:val="009E6C06"/>
    <w:rsid w:val="009E6EDF"/>
    <w:rsid w:val="009E7234"/>
    <w:rsid w:val="009E79AD"/>
    <w:rsid w:val="009E7A2C"/>
    <w:rsid w:val="009E7B36"/>
    <w:rsid w:val="009F012D"/>
    <w:rsid w:val="009F01B1"/>
    <w:rsid w:val="009F0407"/>
    <w:rsid w:val="009F0663"/>
    <w:rsid w:val="009F127E"/>
    <w:rsid w:val="009F1294"/>
    <w:rsid w:val="009F18A8"/>
    <w:rsid w:val="009F18EA"/>
    <w:rsid w:val="009F1AB7"/>
    <w:rsid w:val="009F1E9A"/>
    <w:rsid w:val="009F2263"/>
    <w:rsid w:val="009F24C1"/>
    <w:rsid w:val="009F27CA"/>
    <w:rsid w:val="009F28B5"/>
    <w:rsid w:val="009F2A1D"/>
    <w:rsid w:val="009F2CC0"/>
    <w:rsid w:val="009F2E0B"/>
    <w:rsid w:val="009F3391"/>
    <w:rsid w:val="009F351F"/>
    <w:rsid w:val="009F39A3"/>
    <w:rsid w:val="009F3BD6"/>
    <w:rsid w:val="009F3CFE"/>
    <w:rsid w:val="009F3F52"/>
    <w:rsid w:val="009F3F89"/>
    <w:rsid w:val="009F4808"/>
    <w:rsid w:val="009F480E"/>
    <w:rsid w:val="009F4955"/>
    <w:rsid w:val="009F5037"/>
    <w:rsid w:val="009F5923"/>
    <w:rsid w:val="009F5F8C"/>
    <w:rsid w:val="009F60CF"/>
    <w:rsid w:val="009F62F3"/>
    <w:rsid w:val="009F631D"/>
    <w:rsid w:val="009F666E"/>
    <w:rsid w:val="009F6A58"/>
    <w:rsid w:val="009F6D45"/>
    <w:rsid w:val="009F6E6B"/>
    <w:rsid w:val="009F6F50"/>
    <w:rsid w:val="009F719D"/>
    <w:rsid w:val="009F7530"/>
    <w:rsid w:val="009F76FC"/>
    <w:rsid w:val="009F770D"/>
    <w:rsid w:val="00A00031"/>
    <w:rsid w:val="00A00576"/>
    <w:rsid w:val="00A00634"/>
    <w:rsid w:val="00A00888"/>
    <w:rsid w:val="00A00A5F"/>
    <w:rsid w:val="00A00AD6"/>
    <w:rsid w:val="00A00E51"/>
    <w:rsid w:val="00A00FD0"/>
    <w:rsid w:val="00A01090"/>
    <w:rsid w:val="00A015E8"/>
    <w:rsid w:val="00A01B84"/>
    <w:rsid w:val="00A01BFB"/>
    <w:rsid w:val="00A022A2"/>
    <w:rsid w:val="00A02D15"/>
    <w:rsid w:val="00A02D6B"/>
    <w:rsid w:val="00A02D73"/>
    <w:rsid w:val="00A02E8B"/>
    <w:rsid w:val="00A03012"/>
    <w:rsid w:val="00A0345E"/>
    <w:rsid w:val="00A039DC"/>
    <w:rsid w:val="00A03B5D"/>
    <w:rsid w:val="00A03EA1"/>
    <w:rsid w:val="00A04037"/>
    <w:rsid w:val="00A0408A"/>
    <w:rsid w:val="00A0495F"/>
    <w:rsid w:val="00A0510F"/>
    <w:rsid w:val="00A053DB"/>
    <w:rsid w:val="00A056D9"/>
    <w:rsid w:val="00A057BA"/>
    <w:rsid w:val="00A057ED"/>
    <w:rsid w:val="00A0588F"/>
    <w:rsid w:val="00A058B0"/>
    <w:rsid w:val="00A05CCA"/>
    <w:rsid w:val="00A05E9F"/>
    <w:rsid w:val="00A060DD"/>
    <w:rsid w:val="00A062F8"/>
    <w:rsid w:val="00A06413"/>
    <w:rsid w:val="00A069F2"/>
    <w:rsid w:val="00A06A8D"/>
    <w:rsid w:val="00A06B87"/>
    <w:rsid w:val="00A07B63"/>
    <w:rsid w:val="00A07CD1"/>
    <w:rsid w:val="00A10080"/>
    <w:rsid w:val="00A10297"/>
    <w:rsid w:val="00A10536"/>
    <w:rsid w:val="00A10925"/>
    <w:rsid w:val="00A10A0F"/>
    <w:rsid w:val="00A10ACC"/>
    <w:rsid w:val="00A10CD1"/>
    <w:rsid w:val="00A10E2E"/>
    <w:rsid w:val="00A113D1"/>
    <w:rsid w:val="00A11403"/>
    <w:rsid w:val="00A1184B"/>
    <w:rsid w:val="00A11ADD"/>
    <w:rsid w:val="00A123F6"/>
    <w:rsid w:val="00A12422"/>
    <w:rsid w:val="00A1260B"/>
    <w:rsid w:val="00A1290B"/>
    <w:rsid w:val="00A12E58"/>
    <w:rsid w:val="00A1315F"/>
    <w:rsid w:val="00A131AB"/>
    <w:rsid w:val="00A1348C"/>
    <w:rsid w:val="00A13500"/>
    <w:rsid w:val="00A139D8"/>
    <w:rsid w:val="00A13FFF"/>
    <w:rsid w:val="00A140CE"/>
    <w:rsid w:val="00A14570"/>
    <w:rsid w:val="00A1482A"/>
    <w:rsid w:val="00A14A6A"/>
    <w:rsid w:val="00A14AD0"/>
    <w:rsid w:val="00A1501B"/>
    <w:rsid w:val="00A15942"/>
    <w:rsid w:val="00A15B77"/>
    <w:rsid w:val="00A15CA8"/>
    <w:rsid w:val="00A15CE8"/>
    <w:rsid w:val="00A15F44"/>
    <w:rsid w:val="00A16012"/>
    <w:rsid w:val="00A16044"/>
    <w:rsid w:val="00A16607"/>
    <w:rsid w:val="00A16C7F"/>
    <w:rsid w:val="00A16D42"/>
    <w:rsid w:val="00A16FE5"/>
    <w:rsid w:val="00A170EC"/>
    <w:rsid w:val="00A17346"/>
    <w:rsid w:val="00A177A5"/>
    <w:rsid w:val="00A203B5"/>
    <w:rsid w:val="00A206D1"/>
    <w:rsid w:val="00A20B3D"/>
    <w:rsid w:val="00A20B7D"/>
    <w:rsid w:val="00A20E50"/>
    <w:rsid w:val="00A212E9"/>
    <w:rsid w:val="00A216B0"/>
    <w:rsid w:val="00A22678"/>
    <w:rsid w:val="00A226A3"/>
    <w:rsid w:val="00A229BB"/>
    <w:rsid w:val="00A22BE9"/>
    <w:rsid w:val="00A22D57"/>
    <w:rsid w:val="00A23362"/>
    <w:rsid w:val="00A237EF"/>
    <w:rsid w:val="00A24882"/>
    <w:rsid w:val="00A24942"/>
    <w:rsid w:val="00A24C88"/>
    <w:rsid w:val="00A24F3C"/>
    <w:rsid w:val="00A25741"/>
    <w:rsid w:val="00A25C05"/>
    <w:rsid w:val="00A25DA1"/>
    <w:rsid w:val="00A25FE6"/>
    <w:rsid w:val="00A260DD"/>
    <w:rsid w:val="00A26209"/>
    <w:rsid w:val="00A26B0D"/>
    <w:rsid w:val="00A26EC0"/>
    <w:rsid w:val="00A2752B"/>
    <w:rsid w:val="00A27588"/>
    <w:rsid w:val="00A27622"/>
    <w:rsid w:val="00A278C1"/>
    <w:rsid w:val="00A27EF2"/>
    <w:rsid w:val="00A30118"/>
    <w:rsid w:val="00A30419"/>
    <w:rsid w:val="00A305E5"/>
    <w:rsid w:val="00A30663"/>
    <w:rsid w:val="00A31199"/>
    <w:rsid w:val="00A31573"/>
    <w:rsid w:val="00A31643"/>
    <w:rsid w:val="00A319CD"/>
    <w:rsid w:val="00A31D6D"/>
    <w:rsid w:val="00A31F4E"/>
    <w:rsid w:val="00A324BD"/>
    <w:rsid w:val="00A327C3"/>
    <w:rsid w:val="00A3288A"/>
    <w:rsid w:val="00A3293D"/>
    <w:rsid w:val="00A32D4B"/>
    <w:rsid w:val="00A32F62"/>
    <w:rsid w:val="00A32FC1"/>
    <w:rsid w:val="00A3304C"/>
    <w:rsid w:val="00A3362A"/>
    <w:rsid w:val="00A337C6"/>
    <w:rsid w:val="00A33CC7"/>
    <w:rsid w:val="00A34198"/>
    <w:rsid w:val="00A341CC"/>
    <w:rsid w:val="00A3465B"/>
    <w:rsid w:val="00A34B54"/>
    <w:rsid w:val="00A34CC8"/>
    <w:rsid w:val="00A35016"/>
    <w:rsid w:val="00A35137"/>
    <w:rsid w:val="00A353FD"/>
    <w:rsid w:val="00A35B2F"/>
    <w:rsid w:val="00A35D2E"/>
    <w:rsid w:val="00A362C9"/>
    <w:rsid w:val="00A36F70"/>
    <w:rsid w:val="00A3733F"/>
    <w:rsid w:val="00A3735A"/>
    <w:rsid w:val="00A40762"/>
    <w:rsid w:val="00A408A8"/>
    <w:rsid w:val="00A4091C"/>
    <w:rsid w:val="00A40AAD"/>
    <w:rsid w:val="00A40B1E"/>
    <w:rsid w:val="00A40D00"/>
    <w:rsid w:val="00A41066"/>
    <w:rsid w:val="00A41166"/>
    <w:rsid w:val="00A4119B"/>
    <w:rsid w:val="00A4158A"/>
    <w:rsid w:val="00A4192C"/>
    <w:rsid w:val="00A41A61"/>
    <w:rsid w:val="00A41A9D"/>
    <w:rsid w:val="00A41D84"/>
    <w:rsid w:val="00A41E84"/>
    <w:rsid w:val="00A4286A"/>
    <w:rsid w:val="00A4295E"/>
    <w:rsid w:val="00A42A25"/>
    <w:rsid w:val="00A42E20"/>
    <w:rsid w:val="00A42F1B"/>
    <w:rsid w:val="00A435FC"/>
    <w:rsid w:val="00A444D0"/>
    <w:rsid w:val="00A4451A"/>
    <w:rsid w:val="00A448E5"/>
    <w:rsid w:val="00A44A67"/>
    <w:rsid w:val="00A44D67"/>
    <w:rsid w:val="00A44D7F"/>
    <w:rsid w:val="00A4534D"/>
    <w:rsid w:val="00A455EB"/>
    <w:rsid w:val="00A4561D"/>
    <w:rsid w:val="00A4580D"/>
    <w:rsid w:val="00A45BB3"/>
    <w:rsid w:val="00A45C53"/>
    <w:rsid w:val="00A46395"/>
    <w:rsid w:val="00A463C9"/>
    <w:rsid w:val="00A4654A"/>
    <w:rsid w:val="00A465C4"/>
    <w:rsid w:val="00A4670F"/>
    <w:rsid w:val="00A469FB"/>
    <w:rsid w:val="00A46C47"/>
    <w:rsid w:val="00A46CCA"/>
    <w:rsid w:val="00A475FD"/>
    <w:rsid w:val="00A5001A"/>
    <w:rsid w:val="00A503F7"/>
    <w:rsid w:val="00A5064E"/>
    <w:rsid w:val="00A50B16"/>
    <w:rsid w:val="00A50C03"/>
    <w:rsid w:val="00A50DA5"/>
    <w:rsid w:val="00A50F56"/>
    <w:rsid w:val="00A51BE6"/>
    <w:rsid w:val="00A51C28"/>
    <w:rsid w:val="00A52007"/>
    <w:rsid w:val="00A521DA"/>
    <w:rsid w:val="00A52327"/>
    <w:rsid w:val="00A52641"/>
    <w:rsid w:val="00A526F2"/>
    <w:rsid w:val="00A52C0B"/>
    <w:rsid w:val="00A52EC3"/>
    <w:rsid w:val="00A53160"/>
    <w:rsid w:val="00A5324D"/>
    <w:rsid w:val="00A5376B"/>
    <w:rsid w:val="00A53875"/>
    <w:rsid w:val="00A53E92"/>
    <w:rsid w:val="00A54002"/>
    <w:rsid w:val="00A54053"/>
    <w:rsid w:val="00A54168"/>
    <w:rsid w:val="00A5434E"/>
    <w:rsid w:val="00A5447B"/>
    <w:rsid w:val="00A546BC"/>
    <w:rsid w:val="00A54736"/>
    <w:rsid w:val="00A549D6"/>
    <w:rsid w:val="00A54F8F"/>
    <w:rsid w:val="00A55989"/>
    <w:rsid w:val="00A5630D"/>
    <w:rsid w:val="00A568DD"/>
    <w:rsid w:val="00A5694A"/>
    <w:rsid w:val="00A56BC4"/>
    <w:rsid w:val="00A56C39"/>
    <w:rsid w:val="00A56D5E"/>
    <w:rsid w:val="00A56EC8"/>
    <w:rsid w:val="00A57172"/>
    <w:rsid w:val="00A57D2E"/>
    <w:rsid w:val="00A57E95"/>
    <w:rsid w:val="00A57F34"/>
    <w:rsid w:val="00A57FB8"/>
    <w:rsid w:val="00A60118"/>
    <w:rsid w:val="00A60311"/>
    <w:rsid w:val="00A604DF"/>
    <w:rsid w:val="00A60531"/>
    <w:rsid w:val="00A6081D"/>
    <w:rsid w:val="00A60841"/>
    <w:rsid w:val="00A60983"/>
    <w:rsid w:val="00A60A46"/>
    <w:rsid w:val="00A60F88"/>
    <w:rsid w:val="00A6119B"/>
    <w:rsid w:val="00A61269"/>
    <w:rsid w:val="00A61286"/>
    <w:rsid w:val="00A614E8"/>
    <w:rsid w:val="00A61936"/>
    <w:rsid w:val="00A61A59"/>
    <w:rsid w:val="00A61D0A"/>
    <w:rsid w:val="00A61F04"/>
    <w:rsid w:val="00A61F98"/>
    <w:rsid w:val="00A6214C"/>
    <w:rsid w:val="00A62588"/>
    <w:rsid w:val="00A6282F"/>
    <w:rsid w:val="00A62B39"/>
    <w:rsid w:val="00A62B5B"/>
    <w:rsid w:val="00A62C8C"/>
    <w:rsid w:val="00A6320C"/>
    <w:rsid w:val="00A632D6"/>
    <w:rsid w:val="00A63905"/>
    <w:rsid w:val="00A63984"/>
    <w:rsid w:val="00A639DB"/>
    <w:rsid w:val="00A63DA4"/>
    <w:rsid w:val="00A63F37"/>
    <w:rsid w:val="00A64205"/>
    <w:rsid w:val="00A64224"/>
    <w:rsid w:val="00A6479F"/>
    <w:rsid w:val="00A648E4"/>
    <w:rsid w:val="00A64A36"/>
    <w:rsid w:val="00A64A4A"/>
    <w:rsid w:val="00A64D33"/>
    <w:rsid w:val="00A64E7A"/>
    <w:rsid w:val="00A64EC6"/>
    <w:rsid w:val="00A64F8A"/>
    <w:rsid w:val="00A65297"/>
    <w:rsid w:val="00A6550C"/>
    <w:rsid w:val="00A6556E"/>
    <w:rsid w:val="00A65979"/>
    <w:rsid w:val="00A65C04"/>
    <w:rsid w:val="00A65F6E"/>
    <w:rsid w:val="00A66834"/>
    <w:rsid w:val="00A66EF7"/>
    <w:rsid w:val="00A66F7D"/>
    <w:rsid w:val="00A672C4"/>
    <w:rsid w:val="00A6739D"/>
    <w:rsid w:val="00A6759A"/>
    <w:rsid w:val="00A67657"/>
    <w:rsid w:val="00A67B60"/>
    <w:rsid w:val="00A704AE"/>
    <w:rsid w:val="00A706B4"/>
    <w:rsid w:val="00A7083A"/>
    <w:rsid w:val="00A70AE8"/>
    <w:rsid w:val="00A70B4C"/>
    <w:rsid w:val="00A70C46"/>
    <w:rsid w:val="00A71312"/>
    <w:rsid w:val="00A71329"/>
    <w:rsid w:val="00A719BB"/>
    <w:rsid w:val="00A71CA0"/>
    <w:rsid w:val="00A722C5"/>
    <w:rsid w:val="00A7252E"/>
    <w:rsid w:val="00A72B47"/>
    <w:rsid w:val="00A72FE9"/>
    <w:rsid w:val="00A73034"/>
    <w:rsid w:val="00A732AD"/>
    <w:rsid w:val="00A733F7"/>
    <w:rsid w:val="00A7415F"/>
    <w:rsid w:val="00A7434B"/>
    <w:rsid w:val="00A74380"/>
    <w:rsid w:val="00A745D6"/>
    <w:rsid w:val="00A7481A"/>
    <w:rsid w:val="00A7501E"/>
    <w:rsid w:val="00A751CE"/>
    <w:rsid w:val="00A75766"/>
    <w:rsid w:val="00A75940"/>
    <w:rsid w:val="00A75CD5"/>
    <w:rsid w:val="00A76782"/>
    <w:rsid w:val="00A76B9A"/>
    <w:rsid w:val="00A76BC2"/>
    <w:rsid w:val="00A76E50"/>
    <w:rsid w:val="00A7704B"/>
    <w:rsid w:val="00A77C5A"/>
    <w:rsid w:val="00A77D64"/>
    <w:rsid w:val="00A77FBA"/>
    <w:rsid w:val="00A8046D"/>
    <w:rsid w:val="00A8058C"/>
    <w:rsid w:val="00A80F6B"/>
    <w:rsid w:val="00A81171"/>
    <w:rsid w:val="00A81338"/>
    <w:rsid w:val="00A813BC"/>
    <w:rsid w:val="00A816AA"/>
    <w:rsid w:val="00A81854"/>
    <w:rsid w:val="00A81AB6"/>
    <w:rsid w:val="00A821C1"/>
    <w:rsid w:val="00A822A3"/>
    <w:rsid w:val="00A82CBA"/>
    <w:rsid w:val="00A830A7"/>
    <w:rsid w:val="00A83190"/>
    <w:rsid w:val="00A8333B"/>
    <w:rsid w:val="00A83641"/>
    <w:rsid w:val="00A83DF3"/>
    <w:rsid w:val="00A83F05"/>
    <w:rsid w:val="00A844EF"/>
    <w:rsid w:val="00A84580"/>
    <w:rsid w:val="00A846ED"/>
    <w:rsid w:val="00A85025"/>
    <w:rsid w:val="00A85407"/>
    <w:rsid w:val="00A8546D"/>
    <w:rsid w:val="00A85685"/>
    <w:rsid w:val="00A85915"/>
    <w:rsid w:val="00A85B1A"/>
    <w:rsid w:val="00A85C5C"/>
    <w:rsid w:val="00A8617A"/>
    <w:rsid w:val="00A8622F"/>
    <w:rsid w:val="00A8632B"/>
    <w:rsid w:val="00A865F6"/>
    <w:rsid w:val="00A86AEB"/>
    <w:rsid w:val="00A86E7D"/>
    <w:rsid w:val="00A86F08"/>
    <w:rsid w:val="00A8734C"/>
    <w:rsid w:val="00A8761A"/>
    <w:rsid w:val="00A8797F"/>
    <w:rsid w:val="00A87D07"/>
    <w:rsid w:val="00A87F80"/>
    <w:rsid w:val="00A9098F"/>
    <w:rsid w:val="00A90B06"/>
    <w:rsid w:val="00A911AF"/>
    <w:rsid w:val="00A91C7E"/>
    <w:rsid w:val="00A91EB8"/>
    <w:rsid w:val="00A921C9"/>
    <w:rsid w:val="00A9247E"/>
    <w:rsid w:val="00A92636"/>
    <w:rsid w:val="00A92CBC"/>
    <w:rsid w:val="00A92E1C"/>
    <w:rsid w:val="00A932FA"/>
    <w:rsid w:val="00A93398"/>
    <w:rsid w:val="00A93ABE"/>
    <w:rsid w:val="00A93F76"/>
    <w:rsid w:val="00A93FF3"/>
    <w:rsid w:val="00A942B8"/>
    <w:rsid w:val="00A947B4"/>
    <w:rsid w:val="00A952AB"/>
    <w:rsid w:val="00A957AB"/>
    <w:rsid w:val="00A95A6C"/>
    <w:rsid w:val="00A95A7B"/>
    <w:rsid w:val="00A96605"/>
    <w:rsid w:val="00A96840"/>
    <w:rsid w:val="00A96C87"/>
    <w:rsid w:val="00A9783D"/>
    <w:rsid w:val="00A978E6"/>
    <w:rsid w:val="00A97950"/>
    <w:rsid w:val="00A97F46"/>
    <w:rsid w:val="00AA01FE"/>
    <w:rsid w:val="00AA08E8"/>
    <w:rsid w:val="00AA0E2E"/>
    <w:rsid w:val="00AA1246"/>
    <w:rsid w:val="00AA147F"/>
    <w:rsid w:val="00AA1535"/>
    <w:rsid w:val="00AA1BA6"/>
    <w:rsid w:val="00AA1BCF"/>
    <w:rsid w:val="00AA1BFB"/>
    <w:rsid w:val="00AA1F2E"/>
    <w:rsid w:val="00AA2333"/>
    <w:rsid w:val="00AA25EE"/>
    <w:rsid w:val="00AA270C"/>
    <w:rsid w:val="00AA2D1E"/>
    <w:rsid w:val="00AA2DED"/>
    <w:rsid w:val="00AA3184"/>
    <w:rsid w:val="00AA325E"/>
    <w:rsid w:val="00AA3497"/>
    <w:rsid w:val="00AA3587"/>
    <w:rsid w:val="00AA35AE"/>
    <w:rsid w:val="00AA35AF"/>
    <w:rsid w:val="00AA3790"/>
    <w:rsid w:val="00AA399C"/>
    <w:rsid w:val="00AA3A55"/>
    <w:rsid w:val="00AA3A85"/>
    <w:rsid w:val="00AA3B77"/>
    <w:rsid w:val="00AA3CB9"/>
    <w:rsid w:val="00AA444C"/>
    <w:rsid w:val="00AA45E6"/>
    <w:rsid w:val="00AA45FE"/>
    <w:rsid w:val="00AA4CF4"/>
    <w:rsid w:val="00AA5069"/>
    <w:rsid w:val="00AA5C60"/>
    <w:rsid w:val="00AA6320"/>
    <w:rsid w:val="00AA63B9"/>
    <w:rsid w:val="00AA6688"/>
    <w:rsid w:val="00AA7036"/>
    <w:rsid w:val="00AA75A3"/>
    <w:rsid w:val="00AA7CE1"/>
    <w:rsid w:val="00AA7E07"/>
    <w:rsid w:val="00AA7F54"/>
    <w:rsid w:val="00AB0171"/>
    <w:rsid w:val="00AB051D"/>
    <w:rsid w:val="00AB0D68"/>
    <w:rsid w:val="00AB0E88"/>
    <w:rsid w:val="00AB13B9"/>
    <w:rsid w:val="00AB1627"/>
    <w:rsid w:val="00AB1639"/>
    <w:rsid w:val="00AB1F86"/>
    <w:rsid w:val="00AB20D1"/>
    <w:rsid w:val="00AB2976"/>
    <w:rsid w:val="00AB2A9B"/>
    <w:rsid w:val="00AB332F"/>
    <w:rsid w:val="00AB33FB"/>
    <w:rsid w:val="00AB3635"/>
    <w:rsid w:val="00AB36BA"/>
    <w:rsid w:val="00AB3A70"/>
    <w:rsid w:val="00AB417E"/>
    <w:rsid w:val="00AB4621"/>
    <w:rsid w:val="00AB47E6"/>
    <w:rsid w:val="00AB489C"/>
    <w:rsid w:val="00AB4917"/>
    <w:rsid w:val="00AB4958"/>
    <w:rsid w:val="00AB4A3C"/>
    <w:rsid w:val="00AB4A70"/>
    <w:rsid w:val="00AB4B42"/>
    <w:rsid w:val="00AB4C03"/>
    <w:rsid w:val="00AB50BB"/>
    <w:rsid w:val="00AB50C1"/>
    <w:rsid w:val="00AB58DC"/>
    <w:rsid w:val="00AB5A7D"/>
    <w:rsid w:val="00AB5CFB"/>
    <w:rsid w:val="00AB5D60"/>
    <w:rsid w:val="00AB63F1"/>
    <w:rsid w:val="00AB6486"/>
    <w:rsid w:val="00AB661B"/>
    <w:rsid w:val="00AB6936"/>
    <w:rsid w:val="00AB7C6F"/>
    <w:rsid w:val="00AC0683"/>
    <w:rsid w:val="00AC087A"/>
    <w:rsid w:val="00AC09FE"/>
    <w:rsid w:val="00AC0A42"/>
    <w:rsid w:val="00AC0C3B"/>
    <w:rsid w:val="00AC1118"/>
    <w:rsid w:val="00AC1289"/>
    <w:rsid w:val="00AC21BE"/>
    <w:rsid w:val="00AC233D"/>
    <w:rsid w:val="00AC2482"/>
    <w:rsid w:val="00AC2D63"/>
    <w:rsid w:val="00AC3110"/>
    <w:rsid w:val="00AC3462"/>
    <w:rsid w:val="00AC34E2"/>
    <w:rsid w:val="00AC3576"/>
    <w:rsid w:val="00AC3C58"/>
    <w:rsid w:val="00AC3FFB"/>
    <w:rsid w:val="00AC41FE"/>
    <w:rsid w:val="00AC45C4"/>
    <w:rsid w:val="00AC46F0"/>
    <w:rsid w:val="00AC476D"/>
    <w:rsid w:val="00AC4990"/>
    <w:rsid w:val="00AC50F2"/>
    <w:rsid w:val="00AC5428"/>
    <w:rsid w:val="00AC54E1"/>
    <w:rsid w:val="00AC564A"/>
    <w:rsid w:val="00AC5924"/>
    <w:rsid w:val="00AC5964"/>
    <w:rsid w:val="00AC6A3F"/>
    <w:rsid w:val="00AC6FBB"/>
    <w:rsid w:val="00AC7189"/>
    <w:rsid w:val="00AC740A"/>
    <w:rsid w:val="00AC743B"/>
    <w:rsid w:val="00AC7AFA"/>
    <w:rsid w:val="00AC7D71"/>
    <w:rsid w:val="00AD03D8"/>
    <w:rsid w:val="00AD0711"/>
    <w:rsid w:val="00AD0E9F"/>
    <w:rsid w:val="00AD0EA8"/>
    <w:rsid w:val="00AD0F00"/>
    <w:rsid w:val="00AD10E9"/>
    <w:rsid w:val="00AD1995"/>
    <w:rsid w:val="00AD1B27"/>
    <w:rsid w:val="00AD1DCB"/>
    <w:rsid w:val="00AD2570"/>
    <w:rsid w:val="00AD29FD"/>
    <w:rsid w:val="00AD2A24"/>
    <w:rsid w:val="00AD2D3B"/>
    <w:rsid w:val="00AD3440"/>
    <w:rsid w:val="00AD34F2"/>
    <w:rsid w:val="00AD3560"/>
    <w:rsid w:val="00AD35D0"/>
    <w:rsid w:val="00AD40ED"/>
    <w:rsid w:val="00AD4EBF"/>
    <w:rsid w:val="00AD4EEE"/>
    <w:rsid w:val="00AD50CB"/>
    <w:rsid w:val="00AD5201"/>
    <w:rsid w:val="00AD5426"/>
    <w:rsid w:val="00AD63CD"/>
    <w:rsid w:val="00AD63D6"/>
    <w:rsid w:val="00AD6984"/>
    <w:rsid w:val="00AD6B6B"/>
    <w:rsid w:val="00AD6D49"/>
    <w:rsid w:val="00AD6D7E"/>
    <w:rsid w:val="00AD6EEF"/>
    <w:rsid w:val="00AD704E"/>
    <w:rsid w:val="00AD7279"/>
    <w:rsid w:val="00AD745C"/>
    <w:rsid w:val="00AD780A"/>
    <w:rsid w:val="00AD7A0B"/>
    <w:rsid w:val="00AD7B6E"/>
    <w:rsid w:val="00AD7D76"/>
    <w:rsid w:val="00AD7E70"/>
    <w:rsid w:val="00AD7F7E"/>
    <w:rsid w:val="00AE00DC"/>
    <w:rsid w:val="00AE0425"/>
    <w:rsid w:val="00AE11E9"/>
    <w:rsid w:val="00AE1201"/>
    <w:rsid w:val="00AE1376"/>
    <w:rsid w:val="00AE1378"/>
    <w:rsid w:val="00AE1984"/>
    <w:rsid w:val="00AE30ED"/>
    <w:rsid w:val="00AE3AC9"/>
    <w:rsid w:val="00AE3B97"/>
    <w:rsid w:val="00AE3BA2"/>
    <w:rsid w:val="00AE40A6"/>
    <w:rsid w:val="00AE40C2"/>
    <w:rsid w:val="00AE433F"/>
    <w:rsid w:val="00AE438D"/>
    <w:rsid w:val="00AE4AC2"/>
    <w:rsid w:val="00AE4B55"/>
    <w:rsid w:val="00AE4D81"/>
    <w:rsid w:val="00AE503E"/>
    <w:rsid w:val="00AE5362"/>
    <w:rsid w:val="00AE572A"/>
    <w:rsid w:val="00AE5FE0"/>
    <w:rsid w:val="00AE6064"/>
    <w:rsid w:val="00AE60B7"/>
    <w:rsid w:val="00AE62F8"/>
    <w:rsid w:val="00AE63BA"/>
    <w:rsid w:val="00AE67C1"/>
    <w:rsid w:val="00AE74FF"/>
    <w:rsid w:val="00AE766C"/>
    <w:rsid w:val="00AF07F9"/>
    <w:rsid w:val="00AF0E77"/>
    <w:rsid w:val="00AF0F53"/>
    <w:rsid w:val="00AF1149"/>
    <w:rsid w:val="00AF1179"/>
    <w:rsid w:val="00AF1578"/>
    <w:rsid w:val="00AF17C0"/>
    <w:rsid w:val="00AF1AFE"/>
    <w:rsid w:val="00AF221C"/>
    <w:rsid w:val="00AF249D"/>
    <w:rsid w:val="00AF2549"/>
    <w:rsid w:val="00AF26BF"/>
    <w:rsid w:val="00AF2AB7"/>
    <w:rsid w:val="00AF2B1C"/>
    <w:rsid w:val="00AF3887"/>
    <w:rsid w:val="00AF38DB"/>
    <w:rsid w:val="00AF3AB4"/>
    <w:rsid w:val="00AF3DE1"/>
    <w:rsid w:val="00AF42CB"/>
    <w:rsid w:val="00AF459A"/>
    <w:rsid w:val="00AF4648"/>
    <w:rsid w:val="00AF493A"/>
    <w:rsid w:val="00AF4AE2"/>
    <w:rsid w:val="00AF4D3F"/>
    <w:rsid w:val="00AF4F43"/>
    <w:rsid w:val="00AF4FE1"/>
    <w:rsid w:val="00AF50FA"/>
    <w:rsid w:val="00AF5475"/>
    <w:rsid w:val="00AF55E6"/>
    <w:rsid w:val="00AF5640"/>
    <w:rsid w:val="00AF57E5"/>
    <w:rsid w:val="00AF58DE"/>
    <w:rsid w:val="00AF5A75"/>
    <w:rsid w:val="00AF5E4F"/>
    <w:rsid w:val="00AF6045"/>
    <w:rsid w:val="00AF63A2"/>
    <w:rsid w:val="00AF6D67"/>
    <w:rsid w:val="00AF71FD"/>
    <w:rsid w:val="00AF7428"/>
    <w:rsid w:val="00AF78EE"/>
    <w:rsid w:val="00AF7B0A"/>
    <w:rsid w:val="00AF7B15"/>
    <w:rsid w:val="00AF7E86"/>
    <w:rsid w:val="00B00054"/>
    <w:rsid w:val="00B004B7"/>
    <w:rsid w:val="00B00818"/>
    <w:rsid w:val="00B00C0F"/>
    <w:rsid w:val="00B00FDE"/>
    <w:rsid w:val="00B01023"/>
    <w:rsid w:val="00B0112C"/>
    <w:rsid w:val="00B011F3"/>
    <w:rsid w:val="00B015B5"/>
    <w:rsid w:val="00B01611"/>
    <w:rsid w:val="00B019BE"/>
    <w:rsid w:val="00B01C4C"/>
    <w:rsid w:val="00B02763"/>
    <w:rsid w:val="00B027FC"/>
    <w:rsid w:val="00B02FA2"/>
    <w:rsid w:val="00B0300B"/>
    <w:rsid w:val="00B030EB"/>
    <w:rsid w:val="00B03352"/>
    <w:rsid w:val="00B033FB"/>
    <w:rsid w:val="00B03BE7"/>
    <w:rsid w:val="00B0403B"/>
    <w:rsid w:val="00B042DA"/>
    <w:rsid w:val="00B04EF2"/>
    <w:rsid w:val="00B05028"/>
    <w:rsid w:val="00B05033"/>
    <w:rsid w:val="00B052CF"/>
    <w:rsid w:val="00B053AE"/>
    <w:rsid w:val="00B05457"/>
    <w:rsid w:val="00B0545A"/>
    <w:rsid w:val="00B05521"/>
    <w:rsid w:val="00B06242"/>
    <w:rsid w:val="00B06587"/>
    <w:rsid w:val="00B067F5"/>
    <w:rsid w:val="00B07100"/>
    <w:rsid w:val="00B07732"/>
    <w:rsid w:val="00B07E5F"/>
    <w:rsid w:val="00B07F24"/>
    <w:rsid w:val="00B07F2E"/>
    <w:rsid w:val="00B102EF"/>
    <w:rsid w:val="00B10D50"/>
    <w:rsid w:val="00B11082"/>
    <w:rsid w:val="00B11493"/>
    <w:rsid w:val="00B114E7"/>
    <w:rsid w:val="00B11888"/>
    <w:rsid w:val="00B11993"/>
    <w:rsid w:val="00B128A0"/>
    <w:rsid w:val="00B12EA9"/>
    <w:rsid w:val="00B130D4"/>
    <w:rsid w:val="00B13187"/>
    <w:rsid w:val="00B136A6"/>
    <w:rsid w:val="00B13827"/>
    <w:rsid w:val="00B1402C"/>
    <w:rsid w:val="00B1404A"/>
    <w:rsid w:val="00B1444C"/>
    <w:rsid w:val="00B14598"/>
    <w:rsid w:val="00B146BD"/>
    <w:rsid w:val="00B14AD9"/>
    <w:rsid w:val="00B14FAF"/>
    <w:rsid w:val="00B1526B"/>
    <w:rsid w:val="00B15809"/>
    <w:rsid w:val="00B15AA5"/>
    <w:rsid w:val="00B15B20"/>
    <w:rsid w:val="00B15B70"/>
    <w:rsid w:val="00B167F1"/>
    <w:rsid w:val="00B16BB6"/>
    <w:rsid w:val="00B16D60"/>
    <w:rsid w:val="00B16E1A"/>
    <w:rsid w:val="00B16F2A"/>
    <w:rsid w:val="00B171C8"/>
    <w:rsid w:val="00B1735E"/>
    <w:rsid w:val="00B174F4"/>
    <w:rsid w:val="00B17509"/>
    <w:rsid w:val="00B17619"/>
    <w:rsid w:val="00B20240"/>
    <w:rsid w:val="00B202CC"/>
    <w:rsid w:val="00B20507"/>
    <w:rsid w:val="00B207D9"/>
    <w:rsid w:val="00B20A97"/>
    <w:rsid w:val="00B20B2E"/>
    <w:rsid w:val="00B212CF"/>
    <w:rsid w:val="00B21558"/>
    <w:rsid w:val="00B21E65"/>
    <w:rsid w:val="00B224DA"/>
    <w:rsid w:val="00B22E8C"/>
    <w:rsid w:val="00B22E8F"/>
    <w:rsid w:val="00B231A5"/>
    <w:rsid w:val="00B23281"/>
    <w:rsid w:val="00B23841"/>
    <w:rsid w:val="00B238B1"/>
    <w:rsid w:val="00B23BB1"/>
    <w:rsid w:val="00B241EC"/>
    <w:rsid w:val="00B24288"/>
    <w:rsid w:val="00B243AD"/>
    <w:rsid w:val="00B24501"/>
    <w:rsid w:val="00B247BE"/>
    <w:rsid w:val="00B24BAE"/>
    <w:rsid w:val="00B24BC3"/>
    <w:rsid w:val="00B24BCE"/>
    <w:rsid w:val="00B24EBE"/>
    <w:rsid w:val="00B25481"/>
    <w:rsid w:val="00B255A8"/>
    <w:rsid w:val="00B2590B"/>
    <w:rsid w:val="00B25D50"/>
    <w:rsid w:val="00B25DB8"/>
    <w:rsid w:val="00B26013"/>
    <w:rsid w:val="00B2636C"/>
    <w:rsid w:val="00B2651E"/>
    <w:rsid w:val="00B26527"/>
    <w:rsid w:val="00B2656E"/>
    <w:rsid w:val="00B2661D"/>
    <w:rsid w:val="00B26751"/>
    <w:rsid w:val="00B267F0"/>
    <w:rsid w:val="00B26BD0"/>
    <w:rsid w:val="00B26C2E"/>
    <w:rsid w:val="00B26DE3"/>
    <w:rsid w:val="00B272EA"/>
    <w:rsid w:val="00B27571"/>
    <w:rsid w:val="00B2781C"/>
    <w:rsid w:val="00B27A3B"/>
    <w:rsid w:val="00B27CA9"/>
    <w:rsid w:val="00B27CE0"/>
    <w:rsid w:val="00B27E8D"/>
    <w:rsid w:val="00B30629"/>
    <w:rsid w:val="00B307EC"/>
    <w:rsid w:val="00B30937"/>
    <w:rsid w:val="00B30945"/>
    <w:rsid w:val="00B30C92"/>
    <w:rsid w:val="00B30E94"/>
    <w:rsid w:val="00B3186D"/>
    <w:rsid w:val="00B31FF5"/>
    <w:rsid w:val="00B32146"/>
    <w:rsid w:val="00B328BD"/>
    <w:rsid w:val="00B32F97"/>
    <w:rsid w:val="00B330A0"/>
    <w:rsid w:val="00B339C8"/>
    <w:rsid w:val="00B33C91"/>
    <w:rsid w:val="00B33CC9"/>
    <w:rsid w:val="00B340FA"/>
    <w:rsid w:val="00B344D6"/>
    <w:rsid w:val="00B3452C"/>
    <w:rsid w:val="00B3492A"/>
    <w:rsid w:val="00B34A6F"/>
    <w:rsid w:val="00B34B98"/>
    <w:rsid w:val="00B35011"/>
    <w:rsid w:val="00B351B2"/>
    <w:rsid w:val="00B35502"/>
    <w:rsid w:val="00B3562A"/>
    <w:rsid w:val="00B35ED2"/>
    <w:rsid w:val="00B362F3"/>
    <w:rsid w:val="00B365FD"/>
    <w:rsid w:val="00B36641"/>
    <w:rsid w:val="00B366BA"/>
    <w:rsid w:val="00B3682A"/>
    <w:rsid w:val="00B368DD"/>
    <w:rsid w:val="00B37896"/>
    <w:rsid w:val="00B37B53"/>
    <w:rsid w:val="00B37E9C"/>
    <w:rsid w:val="00B40166"/>
    <w:rsid w:val="00B40345"/>
    <w:rsid w:val="00B40485"/>
    <w:rsid w:val="00B405C8"/>
    <w:rsid w:val="00B4082B"/>
    <w:rsid w:val="00B412F8"/>
    <w:rsid w:val="00B41603"/>
    <w:rsid w:val="00B4164B"/>
    <w:rsid w:val="00B41A13"/>
    <w:rsid w:val="00B41AED"/>
    <w:rsid w:val="00B41C9E"/>
    <w:rsid w:val="00B41D2B"/>
    <w:rsid w:val="00B4220E"/>
    <w:rsid w:val="00B42642"/>
    <w:rsid w:val="00B4267E"/>
    <w:rsid w:val="00B428D5"/>
    <w:rsid w:val="00B42CA0"/>
    <w:rsid w:val="00B439A0"/>
    <w:rsid w:val="00B44290"/>
    <w:rsid w:val="00B44969"/>
    <w:rsid w:val="00B44B18"/>
    <w:rsid w:val="00B44FF5"/>
    <w:rsid w:val="00B45807"/>
    <w:rsid w:val="00B45DD0"/>
    <w:rsid w:val="00B47117"/>
    <w:rsid w:val="00B475A7"/>
    <w:rsid w:val="00B475C6"/>
    <w:rsid w:val="00B47705"/>
    <w:rsid w:val="00B47C64"/>
    <w:rsid w:val="00B47D16"/>
    <w:rsid w:val="00B47D60"/>
    <w:rsid w:val="00B47D67"/>
    <w:rsid w:val="00B50127"/>
    <w:rsid w:val="00B5072E"/>
    <w:rsid w:val="00B50CEE"/>
    <w:rsid w:val="00B50EC2"/>
    <w:rsid w:val="00B50EDB"/>
    <w:rsid w:val="00B5106E"/>
    <w:rsid w:val="00B51115"/>
    <w:rsid w:val="00B51186"/>
    <w:rsid w:val="00B51202"/>
    <w:rsid w:val="00B51921"/>
    <w:rsid w:val="00B524D6"/>
    <w:rsid w:val="00B5263C"/>
    <w:rsid w:val="00B52802"/>
    <w:rsid w:val="00B52862"/>
    <w:rsid w:val="00B52A09"/>
    <w:rsid w:val="00B52A4A"/>
    <w:rsid w:val="00B52A93"/>
    <w:rsid w:val="00B5320B"/>
    <w:rsid w:val="00B53305"/>
    <w:rsid w:val="00B536F0"/>
    <w:rsid w:val="00B53A9B"/>
    <w:rsid w:val="00B53FE5"/>
    <w:rsid w:val="00B5409A"/>
    <w:rsid w:val="00B543C4"/>
    <w:rsid w:val="00B54474"/>
    <w:rsid w:val="00B54758"/>
    <w:rsid w:val="00B549D0"/>
    <w:rsid w:val="00B54F3A"/>
    <w:rsid w:val="00B55141"/>
    <w:rsid w:val="00B55304"/>
    <w:rsid w:val="00B554D0"/>
    <w:rsid w:val="00B55574"/>
    <w:rsid w:val="00B5575E"/>
    <w:rsid w:val="00B55D91"/>
    <w:rsid w:val="00B55FF0"/>
    <w:rsid w:val="00B56408"/>
    <w:rsid w:val="00B5652A"/>
    <w:rsid w:val="00B5676D"/>
    <w:rsid w:val="00B56A37"/>
    <w:rsid w:val="00B572F6"/>
    <w:rsid w:val="00B57BC2"/>
    <w:rsid w:val="00B57D10"/>
    <w:rsid w:val="00B605EE"/>
    <w:rsid w:val="00B60CC1"/>
    <w:rsid w:val="00B60D41"/>
    <w:rsid w:val="00B626FA"/>
    <w:rsid w:val="00B628FF"/>
    <w:rsid w:val="00B62A7E"/>
    <w:rsid w:val="00B62C90"/>
    <w:rsid w:val="00B63122"/>
    <w:rsid w:val="00B635EF"/>
    <w:rsid w:val="00B63947"/>
    <w:rsid w:val="00B6454A"/>
    <w:rsid w:val="00B64550"/>
    <w:rsid w:val="00B647AD"/>
    <w:rsid w:val="00B64899"/>
    <w:rsid w:val="00B648F7"/>
    <w:rsid w:val="00B64C75"/>
    <w:rsid w:val="00B64C81"/>
    <w:rsid w:val="00B64DE2"/>
    <w:rsid w:val="00B65156"/>
    <w:rsid w:val="00B6525D"/>
    <w:rsid w:val="00B65778"/>
    <w:rsid w:val="00B65ABA"/>
    <w:rsid w:val="00B65CCD"/>
    <w:rsid w:val="00B65E1C"/>
    <w:rsid w:val="00B66254"/>
    <w:rsid w:val="00B663E6"/>
    <w:rsid w:val="00B66576"/>
    <w:rsid w:val="00B6684F"/>
    <w:rsid w:val="00B669B1"/>
    <w:rsid w:val="00B66B47"/>
    <w:rsid w:val="00B66F9C"/>
    <w:rsid w:val="00B673AC"/>
    <w:rsid w:val="00B6790F"/>
    <w:rsid w:val="00B679E6"/>
    <w:rsid w:val="00B702A2"/>
    <w:rsid w:val="00B70638"/>
    <w:rsid w:val="00B70780"/>
    <w:rsid w:val="00B70BDE"/>
    <w:rsid w:val="00B70DB7"/>
    <w:rsid w:val="00B71092"/>
    <w:rsid w:val="00B71492"/>
    <w:rsid w:val="00B71556"/>
    <w:rsid w:val="00B71A96"/>
    <w:rsid w:val="00B71B3B"/>
    <w:rsid w:val="00B71FDA"/>
    <w:rsid w:val="00B72073"/>
    <w:rsid w:val="00B72147"/>
    <w:rsid w:val="00B72353"/>
    <w:rsid w:val="00B72758"/>
    <w:rsid w:val="00B72F4F"/>
    <w:rsid w:val="00B72FB2"/>
    <w:rsid w:val="00B733CB"/>
    <w:rsid w:val="00B736C2"/>
    <w:rsid w:val="00B738DB"/>
    <w:rsid w:val="00B73A2E"/>
    <w:rsid w:val="00B73C3A"/>
    <w:rsid w:val="00B73C7E"/>
    <w:rsid w:val="00B73F89"/>
    <w:rsid w:val="00B7492E"/>
    <w:rsid w:val="00B74D12"/>
    <w:rsid w:val="00B74D8F"/>
    <w:rsid w:val="00B74FB2"/>
    <w:rsid w:val="00B760A6"/>
    <w:rsid w:val="00B76A00"/>
    <w:rsid w:val="00B76B9C"/>
    <w:rsid w:val="00B771B1"/>
    <w:rsid w:val="00B771EB"/>
    <w:rsid w:val="00B77570"/>
    <w:rsid w:val="00B775BD"/>
    <w:rsid w:val="00B77AC3"/>
    <w:rsid w:val="00B77C80"/>
    <w:rsid w:val="00B77CF7"/>
    <w:rsid w:val="00B77D14"/>
    <w:rsid w:val="00B8007E"/>
    <w:rsid w:val="00B801B8"/>
    <w:rsid w:val="00B802EB"/>
    <w:rsid w:val="00B8064E"/>
    <w:rsid w:val="00B80BEA"/>
    <w:rsid w:val="00B812DB"/>
    <w:rsid w:val="00B815A2"/>
    <w:rsid w:val="00B8166A"/>
    <w:rsid w:val="00B81B34"/>
    <w:rsid w:val="00B82022"/>
    <w:rsid w:val="00B82328"/>
    <w:rsid w:val="00B82452"/>
    <w:rsid w:val="00B82DB2"/>
    <w:rsid w:val="00B82F5A"/>
    <w:rsid w:val="00B8307A"/>
    <w:rsid w:val="00B83199"/>
    <w:rsid w:val="00B831C9"/>
    <w:rsid w:val="00B833F8"/>
    <w:rsid w:val="00B83905"/>
    <w:rsid w:val="00B83A50"/>
    <w:rsid w:val="00B842F3"/>
    <w:rsid w:val="00B84542"/>
    <w:rsid w:val="00B84569"/>
    <w:rsid w:val="00B853AA"/>
    <w:rsid w:val="00B85835"/>
    <w:rsid w:val="00B86AE5"/>
    <w:rsid w:val="00B86C83"/>
    <w:rsid w:val="00B86D0E"/>
    <w:rsid w:val="00B86E21"/>
    <w:rsid w:val="00B87452"/>
    <w:rsid w:val="00B87453"/>
    <w:rsid w:val="00B8748A"/>
    <w:rsid w:val="00B87538"/>
    <w:rsid w:val="00B87D61"/>
    <w:rsid w:val="00B87D78"/>
    <w:rsid w:val="00B87E35"/>
    <w:rsid w:val="00B90054"/>
    <w:rsid w:val="00B90068"/>
    <w:rsid w:val="00B905DF"/>
    <w:rsid w:val="00B90F40"/>
    <w:rsid w:val="00B90FCA"/>
    <w:rsid w:val="00B911D7"/>
    <w:rsid w:val="00B912F7"/>
    <w:rsid w:val="00B91C4A"/>
    <w:rsid w:val="00B91D6C"/>
    <w:rsid w:val="00B91E44"/>
    <w:rsid w:val="00B91EA8"/>
    <w:rsid w:val="00B91FE8"/>
    <w:rsid w:val="00B9280C"/>
    <w:rsid w:val="00B928C9"/>
    <w:rsid w:val="00B92B1A"/>
    <w:rsid w:val="00B92EDC"/>
    <w:rsid w:val="00B938AE"/>
    <w:rsid w:val="00B93948"/>
    <w:rsid w:val="00B93B7D"/>
    <w:rsid w:val="00B93B85"/>
    <w:rsid w:val="00B93BAD"/>
    <w:rsid w:val="00B94013"/>
    <w:rsid w:val="00B94872"/>
    <w:rsid w:val="00B94CAC"/>
    <w:rsid w:val="00B94F5F"/>
    <w:rsid w:val="00B9554B"/>
    <w:rsid w:val="00B958C8"/>
    <w:rsid w:val="00B95E52"/>
    <w:rsid w:val="00B95ED9"/>
    <w:rsid w:val="00B95F6F"/>
    <w:rsid w:val="00B969EA"/>
    <w:rsid w:val="00B96A9D"/>
    <w:rsid w:val="00B96B42"/>
    <w:rsid w:val="00B96B52"/>
    <w:rsid w:val="00B96C2C"/>
    <w:rsid w:val="00BA0FFD"/>
    <w:rsid w:val="00BA1378"/>
    <w:rsid w:val="00BA2143"/>
    <w:rsid w:val="00BA221E"/>
    <w:rsid w:val="00BA2912"/>
    <w:rsid w:val="00BA2AA6"/>
    <w:rsid w:val="00BA2ABC"/>
    <w:rsid w:val="00BA319C"/>
    <w:rsid w:val="00BA343C"/>
    <w:rsid w:val="00BA4220"/>
    <w:rsid w:val="00BA495D"/>
    <w:rsid w:val="00BA49EF"/>
    <w:rsid w:val="00BA4BC7"/>
    <w:rsid w:val="00BA4C2D"/>
    <w:rsid w:val="00BA4D39"/>
    <w:rsid w:val="00BA5546"/>
    <w:rsid w:val="00BA55B7"/>
    <w:rsid w:val="00BA5776"/>
    <w:rsid w:val="00BA57CF"/>
    <w:rsid w:val="00BA5E47"/>
    <w:rsid w:val="00BA635D"/>
    <w:rsid w:val="00BA6A1C"/>
    <w:rsid w:val="00BA6AAD"/>
    <w:rsid w:val="00BA73CE"/>
    <w:rsid w:val="00BA7523"/>
    <w:rsid w:val="00BA7768"/>
    <w:rsid w:val="00BA7D57"/>
    <w:rsid w:val="00BA7F94"/>
    <w:rsid w:val="00BB027B"/>
    <w:rsid w:val="00BB0A78"/>
    <w:rsid w:val="00BB0C8E"/>
    <w:rsid w:val="00BB1112"/>
    <w:rsid w:val="00BB150E"/>
    <w:rsid w:val="00BB156E"/>
    <w:rsid w:val="00BB15A1"/>
    <w:rsid w:val="00BB1BEE"/>
    <w:rsid w:val="00BB22A3"/>
    <w:rsid w:val="00BB231E"/>
    <w:rsid w:val="00BB2855"/>
    <w:rsid w:val="00BB2A45"/>
    <w:rsid w:val="00BB2A56"/>
    <w:rsid w:val="00BB3330"/>
    <w:rsid w:val="00BB3548"/>
    <w:rsid w:val="00BB368B"/>
    <w:rsid w:val="00BB380F"/>
    <w:rsid w:val="00BB3A5D"/>
    <w:rsid w:val="00BB3C2A"/>
    <w:rsid w:val="00BB408D"/>
    <w:rsid w:val="00BB423E"/>
    <w:rsid w:val="00BB47D7"/>
    <w:rsid w:val="00BB4A62"/>
    <w:rsid w:val="00BB5062"/>
    <w:rsid w:val="00BB54A5"/>
    <w:rsid w:val="00BB58BE"/>
    <w:rsid w:val="00BB59DC"/>
    <w:rsid w:val="00BB6315"/>
    <w:rsid w:val="00BB646C"/>
    <w:rsid w:val="00BB64A4"/>
    <w:rsid w:val="00BB6573"/>
    <w:rsid w:val="00BB682A"/>
    <w:rsid w:val="00BB6870"/>
    <w:rsid w:val="00BB69A1"/>
    <w:rsid w:val="00BB6C01"/>
    <w:rsid w:val="00BB6F16"/>
    <w:rsid w:val="00BB70F5"/>
    <w:rsid w:val="00BB7639"/>
    <w:rsid w:val="00BC010E"/>
    <w:rsid w:val="00BC01C1"/>
    <w:rsid w:val="00BC0354"/>
    <w:rsid w:val="00BC03CE"/>
    <w:rsid w:val="00BC0D15"/>
    <w:rsid w:val="00BC15B5"/>
    <w:rsid w:val="00BC1611"/>
    <w:rsid w:val="00BC1B27"/>
    <w:rsid w:val="00BC1E25"/>
    <w:rsid w:val="00BC2177"/>
    <w:rsid w:val="00BC2194"/>
    <w:rsid w:val="00BC2399"/>
    <w:rsid w:val="00BC2957"/>
    <w:rsid w:val="00BC2F76"/>
    <w:rsid w:val="00BC3F70"/>
    <w:rsid w:val="00BC3FFA"/>
    <w:rsid w:val="00BC402F"/>
    <w:rsid w:val="00BC420C"/>
    <w:rsid w:val="00BC44A1"/>
    <w:rsid w:val="00BC44C9"/>
    <w:rsid w:val="00BC453C"/>
    <w:rsid w:val="00BC4620"/>
    <w:rsid w:val="00BC4D78"/>
    <w:rsid w:val="00BC4DA2"/>
    <w:rsid w:val="00BC4FAE"/>
    <w:rsid w:val="00BC51BA"/>
    <w:rsid w:val="00BC5427"/>
    <w:rsid w:val="00BC56E0"/>
    <w:rsid w:val="00BC58B1"/>
    <w:rsid w:val="00BC5A34"/>
    <w:rsid w:val="00BC5D63"/>
    <w:rsid w:val="00BC62FB"/>
    <w:rsid w:val="00BC6977"/>
    <w:rsid w:val="00BC6C24"/>
    <w:rsid w:val="00BC6CD3"/>
    <w:rsid w:val="00BC7731"/>
    <w:rsid w:val="00BC7888"/>
    <w:rsid w:val="00BC7C0B"/>
    <w:rsid w:val="00BC7DB1"/>
    <w:rsid w:val="00BD00D4"/>
    <w:rsid w:val="00BD0369"/>
    <w:rsid w:val="00BD058B"/>
    <w:rsid w:val="00BD05EA"/>
    <w:rsid w:val="00BD0680"/>
    <w:rsid w:val="00BD0990"/>
    <w:rsid w:val="00BD127C"/>
    <w:rsid w:val="00BD1528"/>
    <w:rsid w:val="00BD15E8"/>
    <w:rsid w:val="00BD17F5"/>
    <w:rsid w:val="00BD19A0"/>
    <w:rsid w:val="00BD1CDA"/>
    <w:rsid w:val="00BD1EB3"/>
    <w:rsid w:val="00BD1F46"/>
    <w:rsid w:val="00BD217F"/>
    <w:rsid w:val="00BD2897"/>
    <w:rsid w:val="00BD2C2B"/>
    <w:rsid w:val="00BD3073"/>
    <w:rsid w:val="00BD3B0D"/>
    <w:rsid w:val="00BD3CE3"/>
    <w:rsid w:val="00BD3D59"/>
    <w:rsid w:val="00BD4143"/>
    <w:rsid w:val="00BD4B36"/>
    <w:rsid w:val="00BD4F36"/>
    <w:rsid w:val="00BD5267"/>
    <w:rsid w:val="00BD52D5"/>
    <w:rsid w:val="00BD53B3"/>
    <w:rsid w:val="00BD5C91"/>
    <w:rsid w:val="00BD5DB2"/>
    <w:rsid w:val="00BD5FE5"/>
    <w:rsid w:val="00BD603F"/>
    <w:rsid w:val="00BD6202"/>
    <w:rsid w:val="00BD6260"/>
    <w:rsid w:val="00BD6621"/>
    <w:rsid w:val="00BD68AB"/>
    <w:rsid w:val="00BD697A"/>
    <w:rsid w:val="00BD6CDF"/>
    <w:rsid w:val="00BD6E05"/>
    <w:rsid w:val="00BD7176"/>
    <w:rsid w:val="00BD756F"/>
    <w:rsid w:val="00BD7580"/>
    <w:rsid w:val="00BD7A5C"/>
    <w:rsid w:val="00BD7B52"/>
    <w:rsid w:val="00BD7E3A"/>
    <w:rsid w:val="00BD7FD7"/>
    <w:rsid w:val="00BE0E02"/>
    <w:rsid w:val="00BE0E3B"/>
    <w:rsid w:val="00BE0FE1"/>
    <w:rsid w:val="00BE11C4"/>
    <w:rsid w:val="00BE1BB1"/>
    <w:rsid w:val="00BE2384"/>
    <w:rsid w:val="00BE28AB"/>
    <w:rsid w:val="00BE3595"/>
    <w:rsid w:val="00BE3A51"/>
    <w:rsid w:val="00BE3FE3"/>
    <w:rsid w:val="00BE4012"/>
    <w:rsid w:val="00BE44C8"/>
    <w:rsid w:val="00BE4678"/>
    <w:rsid w:val="00BE4792"/>
    <w:rsid w:val="00BE4982"/>
    <w:rsid w:val="00BE53AC"/>
    <w:rsid w:val="00BE54D0"/>
    <w:rsid w:val="00BE5B6A"/>
    <w:rsid w:val="00BE5E7A"/>
    <w:rsid w:val="00BE61B2"/>
    <w:rsid w:val="00BE62B2"/>
    <w:rsid w:val="00BE64EE"/>
    <w:rsid w:val="00BE6559"/>
    <w:rsid w:val="00BE67A7"/>
    <w:rsid w:val="00BE6A23"/>
    <w:rsid w:val="00BE6E20"/>
    <w:rsid w:val="00BE7423"/>
    <w:rsid w:val="00BE7D2A"/>
    <w:rsid w:val="00BF0E37"/>
    <w:rsid w:val="00BF124A"/>
    <w:rsid w:val="00BF17F2"/>
    <w:rsid w:val="00BF199D"/>
    <w:rsid w:val="00BF1B3B"/>
    <w:rsid w:val="00BF259D"/>
    <w:rsid w:val="00BF26E9"/>
    <w:rsid w:val="00BF29A6"/>
    <w:rsid w:val="00BF2EF3"/>
    <w:rsid w:val="00BF2F48"/>
    <w:rsid w:val="00BF322D"/>
    <w:rsid w:val="00BF349D"/>
    <w:rsid w:val="00BF34BB"/>
    <w:rsid w:val="00BF3579"/>
    <w:rsid w:val="00BF364D"/>
    <w:rsid w:val="00BF373A"/>
    <w:rsid w:val="00BF3853"/>
    <w:rsid w:val="00BF41A1"/>
    <w:rsid w:val="00BF4243"/>
    <w:rsid w:val="00BF46E6"/>
    <w:rsid w:val="00BF4725"/>
    <w:rsid w:val="00BF4A2D"/>
    <w:rsid w:val="00BF4B62"/>
    <w:rsid w:val="00BF4DBD"/>
    <w:rsid w:val="00BF52B1"/>
    <w:rsid w:val="00BF52CB"/>
    <w:rsid w:val="00BF5818"/>
    <w:rsid w:val="00BF5AF1"/>
    <w:rsid w:val="00BF5B1D"/>
    <w:rsid w:val="00BF628B"/>
    <w:rsid w:val="00BF6420"/>
    <w:rsid w:val="00BF6B6C"/>
    <w:rsid w:val="00BF6D8E"/>
    <w:rsid w:val="00BF714A"/>
    <w:rsid w:val="00BF71C5"/>
    <w:rsid w:val="00BF7251"/>
    <w:rsid w:val="00BF7F28"/>
    <w:rsid w:val="00C004D3"/>
    <w:rsid w:val="00C00579"/>
    <w:rsid w:val="00C007B5"/>
    <w:rsid w:val="00C0080C"/>
    <w:rsid w:val="00C00D19"/>
    <w:rsid w:val="00C0163E"/>
    <w:rsid w:val="00C0167D"/>
    <w:rsid w:val="00C01909"/>
    <w:rsid w:val="00C0239E"/>
    <w:rsid w:val="00C024FC"/>
    <w:rsid w:val="00C02565"/>
    <w:rsid w:val="00C030F6"/>
    <w:rsid w:val="00C03190"/>
    <w:rsid w:val="00C03501"/>
    <w:rsid w:val="00C0384B"/>
    <w:rsid w:val="00C03D1B"/>
    <w:rsid w:val="00C03E99"/>
    <w:rsid w:val="00C03FBD"/>
    <w:rsid w:val="00C042FA"/>
    <w:rsid w:val="00C04996"/>
    <w:rsid w:val="00C04B6F"/>
    <w:rsid w:val="00C04E3C"/>
    <w:rsid w:val="00C04F52"/>
    <w:rsid w:val="00C05400"/>
    <w:rsid w:val="00C05787"/>
    <w:rsid w:val="00C058F0"/>
    <w:rsid w:val="00C05912"/>
    <w:rsid w:val="00C05DC6"/>
    <w:rsid w:val="00C06CE8"/>
    <w:rsid w:val="00C070C0"/>
    <w:rsid w:val="00C071D8"/>
    <w:rsid w:val="00C0738D"/>
    <w:rsid w:val="00C07D6E"/>
    <w:rsid w:val="00C1051C"/>
    <w:rsid w:val="00C108D7"/>
    <w:rsid w:val="00C1114C"/>
    <w:rsid w:val="00C11905"/>
    <w:rsid w:val="00C11BDF"/>
    <w:rsid w:val="00C11FF5"/>
    <w:rsid w:val="00C1236A"/>
    <w:rsid w:val="00C12451"/>
    <w:rsid w:val="00C1304E"/>
    <w:rsid w:val="00C13059"/>
    <w:rsid w:val="00C13345"/>
    <w:rsid w:val="00C134E5"/>
    <w:rsid w:val="00C1364C"/>
    <w:rsid w:val="00C13B2D"/>
    <w:rsid w:val="00C13EB5"/>
    <w:rsid w:val="00C14873"/>
    <w:rsid w:val="00C14C0C"/>
    <w:rsid w:val="00C14E48"/>
    <w:rsid w:val="00C15462"/>
    <w:rsid w:val="00C156D4"/>
    <w:rsid w:val="00C1570D"/>
    <w:rsid w:val="00C15AE4"/>
    <w:rsid w:val="00C15E13"/>
    <w:rsid w:val="00C161E8"/>
    <w:rsid w:val="00C163B3"/>
    <w:rsid w:val="00C167A3"/>
    <w:rsid w:val="00C16B26"/>
    <w:rsid w:val="00C17098"/>
    <w:rsid w:val="00C17266"/>
    <w:rsid w:val="00C1743F"/>
    <w:rsid w:val="00C17490"/>
    <w:rsid w:val="00C1772A"/>
    <w:rsid w:val="00C17816"/>
    <w:rsid w:val="00C17B66"/>
    <w:rsid w:val="00C17BF1"/>
    <w:rsid w:val="00C17C04"/>
    <w:rsid w:val="00C17FCC"/>
    <w:rsid w:val="00C201B2"/>
    <w:rsid w:val="00C20484"/>
    <w:rsid w:val="00C20591"/>
    <w:rsid w:val="00C209AB"/>
    <w:rsid w:val="00C21206"/>
    <w:rsid w:val="00C2125A"/>
    <w:rsid w:val="00C217C1"/>
    <w:rsid w:val="00C2181C"/>
    <w:rsid w:val="00C2185C"/>
    <w:rsid w:val="00C21CEC"/>
    <w:rsid w:val="00C22B9A"/>
    <w:rsid w:val="00C23307"/>
    <w:rsid w:val="00C23693"/>
    <w:rsid w:val="00C238C1"/>
    <w:rsid w:val="00C23D52"/>
    <w:rsid w:val="00C2401F"/>
    <w:rsid w:val="00C245C2"/>
    <w:rsid w:val="00C2489F"/>
    <w:rsid w:val="00C2537D"/>
    <w:rsid w:val="00C25A7E"/>
    <w:rsid w:val="00C25B88"/>
    <w:rsid w:val="00C26184"/>
    <w:rsid w:val="00C26275"/>
    <w:rsid w:val="00C264CF"/>
    <w:rsid w:val="00C2657D"/>
    <w:rsid w:val="00C266FC"/>
    <w:rsid w:val="00C2677B"/>
    <w:rsid w:val="00C269B3"/>
    <w:rsid w:val="00C26BA1"/>
    <w:rsid w:val="00C26BFB"/>
    <w:rsid w:val="00C27120"/>
    <w:rsid w:val="00C2742B"/>
    <w:rsid w:val="00C2751A"/>
    <w:rsid w:val="00C277BB"/>
    <w:rsid w:val="00C279C3"/>
    <w:rsid w:val="00C27FA7"/>
    <w:rsid w:val="00C3026F"/>
    <w:rsid w:val="00C30517"/>
    <w:rsid w:val="00C307B1"/>
    <w:rsid w:val="00C308C7"/>
    <w:rsid w:val="00C3110D"/>
    <w:rsid w:val="00C31123"/>
    <w:rsid w:val="00C31466"/>
    <w:rsid w:val="00C314D4"/>
    <w:rsid w:val="00C318F1"/>
    <w:rsid w:val="00C31E3C"/>
    <w:rsid w:val="00C3231C"/>
    <w:rsid w:val="00C32D83"/>
    <w:rsid w:val="00C331B8"/>
    <w:rsid w:val="00C331E3"/>
    <w:rsid w:val="00C33331"/>
    <w:rsid w:val="00C335DA"/>
    <w:rsid w:val="00C338A7"/>
    <w:rsid w:val="00C33CEE"/>
    <w:rsid w:val="00C33D4B"/>
    <w:rsid w:val="00C34548"/>
    <w:rsid w:val="00C346F0"/>
    <w:rsid w:val="00C349F0"/>
    <w:rsid w:val="00C34AF5"/>
    <w:rsid w:val="00C34E15"/>
    <w:rsid w:val="00C355D4"/>
    <w:rsid w:val="00C35810"/>
    <w:rsid w:val="00C35C11"/>
    <w:rsid w:val="00C35E27"/>
    <w:rsid w:val="00C35FC1"/>
    <w:rsid w:val="00C362D1"/>
    <w:rsid w:val="00C362D4"/>
    <w:rsid w:val="00C3634E"/>
    <w:rsid w:val="00C365DC"/>
    <w:rsid w:val="00C36612"/>
    <w:rsid w:val="00C36897"/>
    <w:rsid w:val="00C36E80"/>
    <w:rsid w:val="00C36EE1"/>
    <w:rsid w:val="00C3738A"/>
    <w:rsid w:val="00C37413"/>
    <w:rsid w:val="00C375DF"/>
    <w:rsid w:val="00C37676"/>
    <w:rsid w:val="00C37703"/>
    <w:rsid w:val="00C378DF"/>
    <w:rsid w:val="00C379D7"/>
    <w:rsid w:val="00C37F45"/>
    <w:rsid w:val="00C40562"/>
    <w:rsid w:val="00C4115A"/>
    <w:rsid w:val="00C4133F"/>
    <w:rsid w:val="00C415C9"/>
    <w:rsid w:val="00C416E1"/>
    <w:rsid w:val="00C41790"/>
    <w:rsid w:val="00C41979"/>
    <w:rsid w:val="00C422B5"/>
    <w:rsid w:val="00C42E4E"/>
    <w:rsid w:val="00C43121"/>
    <w:rsid w:val="00C4317A"/>
    <w:rsid w:val="00C431DD"/>
    <w:rsid w:val="00C43386"/>
    <w:rsid w:val="00C4344B"/>
    <w:rsid w:val="00C43F3B"/>
    <w:rsid w:val="00C44081"/>
    <w:rsid w:val="00C4426A"/>
    <w:rsid w:val="00C442F4"/>
    <w:rsid w:val="00C445C5"/>
    <w:rsid w:val="00C44B00"/>
    <w:rsid w:val="00C44B55"/>
    <w:rsid w:val="00C44BDC"/>
    <w:rsid w:val="00C4519D"/>
    <w:rsid w:val="00C45550"/>
    <w:rsid w:val="00C455BE"/>
    <w:rsid w:val="00C455F2"/>
    <w:rsid w:val="00C45622"/>
    <w:rsid w:val="00C4595D"/>
    <w:rsid w:val="00C459BE"/>
    <w:rsid w:val="00C45D8E"/>
    <w:rsid w:val="00C464BE"/>
    <w:rsid w:val="00C46A8A"/>
    <w:rsid w:val="00C46EDF"/>
    <w:rsid w:val="00C470ED"/>
    <w:rsid w:val="00C47308"/>
    <w:rsid w:val="00C47321"/>
    <w:rsid w:val="00C478EC"/>
    <w:rsid w:val="00C47A3C"/>
    <w:rsid w:val="00C47A8E"/>
    <w:rsid w:val="00C47BF8"/>
    <w:rsid w:val="00C47F13"/>
    <w:rsid w:val="00C50301"/>
    <w:rsid w:val="00C50497"/>
    <w:rsid w:val="00C5056C"/>
    <w:rsid w:val="00C50D6F"/>
    <w:rsid w:val="00C517B5"/>
    <w:rsid w:val="00C51B1C"/>
    <w:rsid w:val="00C521F1"/>
    <w:rsid w:val="00C528EB"/>
    <w:rsid w:val="00C529F8"/>
    <w:rsid w:val="00C5311D"/>
    <w:rsid w:val="00C539DB"/>
    <w:rsid w:val="00C53BE6"/>
    <w:rsid w:val="00C53C64"/>
    <w:rsid w:val="00C53DCE"/>
    <w:rsid w:val="00C54123"/>
    <w:rsid w:val="00C54246"/>
    <w:rsid w:val="00C54796"/>
    <w:rsid w:val="00C54BA0"/>
    <w:rsid w:val="00C54BDC"/>
    <w:rsid w:val="00C54C4B"/>
    <w:rsid w:val="00C54DFC"/>
    <w:rsid w:val="00C54ECC"/>
    <w:rsid w:val="00C552DF"/>
    <w:rsid w:val="00C554CE"/>
    <w:rsid w:val="00C55707"/>
    <w:rsid w:val="00C55846"/>
    <w:rsid w:val="00C55A05"/>
    <w:rsid w:val="00C5600E"/>
    <w:rsid w:val="00C56B07"/>
    <w:rsid w:val="00C57300"/>
    <w:rsid w:val="00C573C6"/>
    <w:rsid w:val="00C575AB"/>
    <w:rsid w:val="00C578C3"/>
    <w:rsid w:val="00C5794E"/>
    <w:rsid w:val="00C57DD0"/>
    <w:rsid w:val="00C6022C"/>
    <w:rsid w:val="00C6049D"/>
    <w:rsid w:val="00C60557"/>
    <w:rsid w:val="00C605C8"/>
    <w:rsid w:val="00C60651"/>
    <w:rsid w:val="00C6091C"/>
    <w:rsid w:val="00C60A76"/>
    <w:rsid w:val="00C60CA5"/>
    <w:rsid w:val="00C60D63"/>
    <w:rsid w:val="00C620C2"/>
    <w:rsid w:val="00C62285"/>
    <w:rsid w:val="00C6249F"/>
    <w:rsid w:val="00C62807"/>
    <w:rsid w:val="00C628A0"/>
    <w:rsid w:val="00C6294E"/>
    <w:rsid w:val="00C62B3C"/>
    <w:rsid w:val="00C6334D"/>
    <w:rsid w:val="00C63AC5"/>
    <w:rsid w:val="00C63F65"/>
    <w:rsid w:val="00C64E4E"/>
    <w:rsid w:val="00C64E77"/>
    <w:rsid w:val="00C655F2"/>
    <w:rsid w:val="00C656A9"/>
    <w:rsid w:val="00C65AD3"/>
    <w:rsid w:val="00C65B61"/>
    <w:rsid w:val="00C65D13"/>
    <w:rsid w:val="00C662F0"/>
    <w:rsid w:val="00C6631F"/>
    <w:rsid w:val="00C66555"/>
    <w:rsid w:val="00C66926"/>
    <w:rsid w:val="00C66C3C"/>
    <w:rsid w:val="00C670DA"/>
    <w:rsid w:val="00C67210"/>
    <w:rsid w:val="00C67B70"/>
    <w:rsid w:val="00C702C5"/>
    <w:rsid w:val="00C708FF"/>
    <w:rsid w:val="00C70986"/>
    <w:rsid w:val="00C70E53"/>
    <w:rsid w:val="00C71068"/>
    <w:rsid w:val="00C71130"/>
    <w:rsid w:val="00C71758"/>
    <w:rsid w:val="00C71784"/>
    <w:rsid w:val="00C725CB"/>
    <w:rsid w:val="00C72755"/>
    <w:rsid w:val="00C72979"/>
    <w:rsid w:val="00C72A48"/>
    <w:rsid w:val="00C730F3"/>
    <w:rsid w:val="00C7374A"/>
    <w:rsid w:val="00C73784"/>
    <w:rsid w:val="00C73791"/>
    <w:rsid w:val="00C73A70"/>
    <w:rsid w:val="00C7422D"/>
    <w:rsid w:val="00C74256"/>
    <w:rsid w:val="00C742BA"/>
    <w:rsid w:val="00C742DD"/>
    <w:rsid w:val="00C74455"/>
    <w:rsid w:val="00C744D9"/>
    <w:rsid w:val="00C7468B"/>
    <w:rsid w:val="00C74739"/>
    <w:rsid w:val="00C75BF6"/>
    <w:rsid w:val="00C76048"/>
    <w:rsid w:val="00C76464"/>
    <w:rsid w:val="00C76637"/>
    <w:rsid w:val="00C76744"/>
    <w:rsid w:val="00C767C6"/>
    <w:rsid w:val="00C770E0"/>
    <w:rsid w:val="00C774D1"/>
    <w:rsid w:val="00C77EB2"/>
    <w:rsid w:val="00C77FF6"/>
    <w:rsid w:val="00C8002E"/>
    <w:rsid w:val="00C80117"/>
    <w:rsid w:val="00C80431"/>
    <w:rsid w:val="00C80981"/>
    <w:rsid w:val="00C80AF5"/>
    <w:rsid w:val="00C80BC0"/>
    <w:rsid w:val="00C80F60"/>
    <w:rsid w:val="00C81391"/>
    <w:rsid w:val="00C81529"/>
    <w:rsid w:val="00C81B80"/>
    <w:rsid w:val="00C81BA6"/>
    <w:rsid w:val="00C81D09"/>
    <w:rsid w:val="00C81E2E"/>
    <w:rsid w:val="00C822DF"/>
    <w:rsid w:val="00C825BF"/>
    <w:rsid w:val="00C825C1"/>
    <w:rsid w:val="00C82621"/>
    <w:rsid w:val="00C83494"/>
    <w:rsid w:val="00C8377C"/>
    <w:rsid w:val="00C83A16"/>
    <w:rsid w:val="00C83C14"/>
    <w:rsid w:val="00C83DEC"/>
    <w:rsid w:val="00C83E51"/>
    <w:rsid w:val="00C84A36"/>
    <w:rsid w:val="00C84CC1"/>
    <w:rsid w:val="00C84D36"/>
    <w:rsid w:val="00C84F99"/>
    <w:rsid w:val="00C8527A"/>
    <w:rsid w:val="00C85FCE"/>
    <w:rsid w:val="00C8640C"/>
    <w:rsid w:val="00C86551"/>
    <w:rsid w:val="00C866FD"/>
    <w:rsid w:val="00C86709"/>
    <w:rsid w:val="00C87045"/>
    <w:rsid w:val="00C877CD"/>
    <w:rsid w:val="00C87984"/>
    <w:rsid w:val="00C87C4A"/>
    <w:rsid w:val="00C87E49"/>
    <w:rsid w:val="00C87FCF"/>
    <w:rsid w:val="00C87FEE"/>
    <w:rsid w:val="00C902C6"/>
    <w:rsid w:val="00C902E9"/>
    <w:rsid w:val="00C908B7"/>
    <w:rsid w:val="00C90B70"/>
    <w:rsid w:val="00C918CB"/>
    <w:rsid w:val="00C91D37"/>
    <w:rsid w:val="00C91D81"/>
    <w:rsid w:val="00C928DA"/>
    <w:rsid w:val="00C928ED"/>
    <w:rsid w:val="00C928F9"/>
    <w:rsid w:val="00C9296A"/>
    <w:rsid w:val="00C92A42"/>
    <w:rsid w:val="00C92B55"/>
    <w:rsid w:val="00C92DE1"/>
    <w:rsid w:val="00C92DEE"/>
    <w:rsid w:val="00C92E32"/>
    <w:rsid w:val="00C92F17"/>
    <w:rsid w:val="00C931A6"/>
    <w:rsid w:val="00C93380"/>
    <w:rsid w:val="00C93A1E"/>
    <w:rsid w:val="00C93E6F"/>
    <w:rsid w:val="00C93EF3"/>
    <w:rsid w:val="00C940F9"/>
    <w:rsid w:val="00C9459B"/>
    <w:rsid w:val="00C9473B"/>
    <w:rsid w:val="00C94E01"/>
    <w:rsid w:val="00C94E54"/>
    <w:rsid w:val="00C95014"/>
    <w:rsid w:val="00C9575C"/>
    <w:rsid w:val="00C964C8"/>
    <w:rsid w:val="00C96ACF"/>
    <w:rsid w:val="00C96C1F"/>
    <w:rsid w:val="00C97052"/>
    <w:rsid w:val="00C974DC"/>
    <w:rsid w:val="00C97552"/>
    <w:rsid w:val="00C979E5"/>
    <w:rsid w:val="00C97B5E"/>
    <w:rsid w:val="00C97CF0"/>
    <w:rsid w:val="00C97DF9"/>
    <w:rsid w:val="00CA0065"/>
    <w:rsid w:val="00CA03B9"/>
    <w:rsid w:val="00CA067E"/>
    <w:rsid w:val="00CA0ACA"/>
    <w:rsid w:val="00CA0BA0"/>
    <w:rsid w:val="00CA0CDB"/>
    <w:rsid w:val="00CA0E85"/>
    <w:rsid w:val="00CA0EB4"/>
    <w:rsid w:val="00CA1023"/>
    <w:rsid w:val="00CA184B"/>
    <w:rsid w:val="00CA18F2"/>
    <w:rsid w:val="00CA1FB8"/>
    <w:rsid w:val="00CA20B4"/>
    <w:rsid w:val="00CA20DA"/>
    <w:rsid w:val="00CA214B"/>
    <w:rsid w:val="00CA2269"/>
    <w:rsid w:val="00CA2392"/>
    <w:rsid w:val="00CA252D"/>
    <w:rsid w:val="00CA27FB"/>
    <w:rsid w:val="00CA2AD7"/>
    <w:rsid w:val="00CA2C6D"/>
    <w:rsid w:val="00CA30B4"/>
    <w:rsid w:val="00CA315B"/>
    <w:rsid w:val="00CA33E9"/>
    <w:rsid w:val="00CA34E1"/>
    <w:rsid w:val="00CA4060"/>
    <w:rsid w:val="00CA4084"/>
    <w:rsid w:val="00CA40F6"/>
    <w:rsid w:val="00CA426D"/>
    <w:rsid w:val="00CA4288"/>
    <w:rsid w:val="00CA43A4"/>
    <w:rsid w:val="00CA440A"/>
    <w:rsid w:val="00CA4486"/>
    <w:rsid w:val="00CA477E"/>
    <w:rsid w:val="00CA4827"/>
    <w:rsid w:val="00CA4871"/>
    <w:rsid w:val="00CA4AF6"/>
    <w:rsid w:val="00CA59E0"/>
    <w:rsid w:val="00CA62CC"/>
    <w:rsid w:val="00CA646D"/>
    <w:rsid w:val="00CA6722"/>
    <w:rsid w:val="00CA69B6"/>
    <w:rsid w:val="00CA6AE0"/>
    <w:rsid w:val="00CA6BDD"/>
    <w:rsid w:val="00CA6D4E"/>
    <w:rsid w:val="00CA6D80"/>
    <w:rsid w:val="00CA73CC"/>
    <w:rsid w:val="00CA78EE"/>
    <w:rsid w:val="00CA7B4B"/>
    <w:rsid w:val="00CA7F06"/>
    <w:rsid w:val="00CB00C5"/>
    <w:rsid w:val="00CB0631"/>
    <w:rsid w:val="00CB084F"/>
    <w:rsid w:val="00CB0B53"/>
    <w:rsid w:val="00CB0C47"/>
    <w:rsid w:val="00CB0DB7"/>
    <w:rsid w:val="00CB0E5F"/>
    <w:rsid w:val="00CB1053"/>
    <w:rsid w:val="00CB17F7"/>
    <w:rsid w:val="00CB1B4D"/>
    <w:rsid w:val="00CB1DE5"/>
    <w:rsid w:val="00CB2F46"/>
    <w:rsid w:val="00CB3057"/>
    <w:rsid w:val="00CB36A8"/>
    <w:rsid w:val="00CB387C"/>
    <w:rsid w:val="00CB39A6"/>
    <w:rsid w:val="00CB3FCD"/>
    <w:rsid w:val="00CB401E"/>
    <w:rsid w:val="00CB463B"/>
    <w:rsid w:val="00CB469A"/>
    <w:rsid w:val="00CB4F25"/>
    <w:rsid w:val="00CB5244"/>
    <w:rsid w:val="00CB5383"/>
    <w:rsid w:val="00CB5791"/>
    <w:rsid w:val="00CB5B7C"/>
    <w:rsid w:val="00CB6018"/>
    <w:rsid w:val="00CB66C2"/>
    <w:rsid w:val="00CB7018"/>
    <w:rsid w:val="00CB765F"/>
    <w:rsid w:val="00CB7A4E"/>
    <w:rsid w:val="00CB7B59"/>
    <w:rsid w:val="00CB7EE1"/>
    <w:rsid w:val="00CB7EFA"/>
    <w:rsid w:val="00CB7FA9"/>
    <w:rsid w:val="00CC0123"/>
    <w:rsid w:val="00CC053D"/>
    <w:rsid w:val="00CC0BB0"/>
    <w:rsid w:val="00CC139A"/>
    <w:rsid w:val="00CC16F1"/>
    <w:rsid w:val="00CC1C3E"/>
    <w:rsid w:val="00CC1E7A"/>
    <w:rsid w:val="00CC1E95"/>
    <w:rsid w:val="00CC1FAE"/>
    <w:rsid w:val="00CC2910"/>
    <w:rsid w:val="00CC2956"/>
    <w:rsid w:val="00CC3513"/>
    <w:rsid w:val="00CC35F6"/>
    <w:rsid w:val="00CC377D"/>
    <w:rsid w:val="00CC39FD"/>
    <w:rsid w:val="00CC48BD"/>
    <w:rsid w:val="00CC4A44"/>
    <w:rsid w:val="00CC4C77"/>
    <w:rsid w:val="00CC4F23"/>
    <w:rsid w:val="00CC4F64"/>
    <w:rsid w:val="00CC4F93"/>
    <w:rsid w:val="00CC5048"/>
    <w:rsid w:val="00CC50E3"/>
    <w:rsid w:val="00CC52BE"/>
    <w:rsid w:val="00CC5620"/>
    <w:rsid w:val="00CC58F9"/>
    <w:rsid w:val="00CC597A"/>
    <w:rsid w:val="00CC5B78"/>
    <w:rsid w:val="00CC5CC5"/>
    <w:rsid w:val="00CC7253"/>
    <w:rsid w:val="00CC75B6"/>
    <w:rsid w:val="00CC7B4C"/>
    <w:rsid w:val="00CC7B5B"/>
    <w:rsid w:val="00CC7CAB"/>
    <w:rsid w:val="00CC7F4F"/>
    <w:rsid w:val="00CC7FBA"/>
    <w:rsid w:val="00CD038C"/>
    <w:rsid w:val="00CD058C"/>
    <w:rsid w:val="00CD0792"/>
    <w:rsid w:val="00CD0ABE"/>
    <w:rsid w:val="00CD0BBD"/>
    <w:rsid w:val="00CD13EF"/>
    <w:rsid w:val="00CD180D"/>
    <w:rsid w:val="00CD1B31"/>
    <w:rsid w:val="00CD1CE4"/>
    <w:rsid w:val="00CD1EFE"/>
    <w:rsid w:val="00CD1F5A"/>
    <w:rsid w:val="00CD2303"/>
    <w:rsid w:val="00CD252A"/>
    <w:rsid w:val="00CD258C"/>
    <w:rsid w:val="00CD30BA"/>
    <w:rsid w:val="00CD3262"/>
    <w:rsid w:val="00CD3B06"/>
    <w:rsid w:val="00CD3B98"/>
    <w:rsid w:val="00CD4216"/>
    <w:rsid w:val="00CD42A7"/>
    <w:rsid w:val="00CD42D4"/>
    <w:rsid w:val="00CD438D"/>
    <w:rsid w:val="00CD43AD"/>
    <w:rsid w:val="00CD4ADB"/>
    <w:rsid w:val="00CD4D37"/>
    <w:rsid w:val="00CD525F"/>
    <w:rsid w:val="00CD530A"/>
    <w:rsid w:val="00CD628B"/>
    <w:rsid w:val="00CD6341"/>
    <w:rsid w:val="00CD637C"/>
    <w:rsid w:val="00CD68E3"/>
    <w:rsid w:val="00CD6964"/>
    <w:rsid w:val="00CD6F49"/>
    <w:rsid w:val="00CD71E6"/>
    <w:rsid w:val="00CD72E6"/>
    <w:rsid w:val="00CD733F"/>
    <w:rsid w:val="00CD74BA"/>
    <w:rsid w:val="00CD7585"/>
    <w:rsid w:val="00CD763E"/>
    <w:rsid w:val="00CD7A1C"/>
    <w:rsid w:val="00CD7BBE"/>
    <w:rsid w:val="00CE03E4"/>
    <w:rsid w:val="00CE0942"/>
    <w:rsid w:val="00CE0BEF"/>
    <w:rsid w:val="00CE0FEE"/>
    <w:rsid w:val="00CE123F"/>
    <w:rsid w:val="00CE1E6E"/>
    <w:rsid w:val="00CE26D9"/>
    <w:rsid w:val="00CE298A"/>
    <w:rsid w:val="00CE2A73"/>
    <w:rsid w:val="00CE2B1B"/>
    <w:rsid w:val="00CE2CA5"/>
    <w:rsid w:val="00CE2DB5"/>
    <w:rsid w:val="00CE3112"/>
    <w:rsid w:val="00CE35CD"/>
    <w:rsid w:val="00CE3762"/>
    <w:rsid w:val="00CE4012"/>
    <w:rsid w:val="00CE454F"/>
    <w:rsid w:val="00CE464C"/>
    <w:rsid w:val="00CE4706"/>
    <w:rsid w:val="00CE4904"/>
    <w:rsid w:val="00CE4B5C"/>
    <w:rsid w:val="00CE4D67"/>
    <w:rsid w:val="00CE5093"/>
    <w:rsid w:val="00CE511A"/>
    <w:rsid w:val="00CE5315"/>
    <w:rsid w:val="00CE5830"/>
    <w:rsid w:val="00CE5B12"/>
    <w:rsid w:val="00CE5B22"/>
    <w:rsid w:val="00CE5CA5"/>
    <w:rsid w:val="00CE5D54"/>
    <w:rsid w:val="00CE5DE4"/>
    <w:rsid w:val="00CE5E0F"/>
    <w:rsid w:val="00CE66CF"/>
    <w:rsid w:val="00CE674D"/>
    <w:rsid w:val="00CE6956"/>
    <w:rsid w:val="00CE78C9"/>
    <w:rsid w:val="00CE7CA5"/>
    <w:rsid w:val="00CE7CF9"/>
    <w:rsid w:val="00CE7DC1"/>
    <w:rsid w:val="00CE7E5B"/>
    <w:rsid w:val="00CF094A"/>
    <w:rsid w:val="00CF0A48"/>
    <w:rsid w:val="00CF0B90"/>
    <w:rsid w:val="00CF10FF"/>
    <w:rsid w:val="00CF135C"/>
    <w:rsid w:val="00CF14E5"/>
    <w:rsid w:val="00CF1D81"/>
    <w:rsid w:val="00CF2150"/>
    <w:rsid w:val="00CF227F"/>
    <w:rsid w:val="00CF2330"/>
    <w:rsid w:val="00CF251E"/>
    <w:rsid w:val="00CF2536"/>
    <w:rsid w:val="00CF2543"/>
    <w:rsid w:val="00CF2A9F"/>
    <w:rsid w:val="00CF2B3B"/>
    <w:rsid w:val="00CF2B69"/>
    <w:rsid w:val="00CF2DC9"/>
    <w:rsid w:val="00CF2EC7"/>
    <w:rsid w:val="00CF302C"/>
    <w:rsid w:val="00CF36B3"/>
    <w:rsid w:val="00CF39D6"/>
    <w:rsid w:val="00CF3B53"/>
    <w:rsid w:val="00CF3DDF"/>
    <w:rsid w:val="00CF3E4E"/>
    <w:rsid w:val="00CF3E83"/>
    <w:rsid w:val="00CF42DF"/>
    <w:rsid w:val="00CF456A"/>
    <w:rsid w:val="00CF484A"/>
    <w:rsid w:val="00CF4968"/>
    <w:rsid w:val="00CF4D16"/>
    <w:rsid w:val="00CF4ED2"/>
    <w:rsid w:val="00CF525E"/>
    <w:rsid w:val="00CF5420"/>
    <w:rsid w:val="00CF57E4"/>
    <w:rsid w:val="00CF5DE1"/>
    <w:rsid w:val="00CF636B"/>
    <w:rsid w:val="00CF654D"/>
    <w:rsid w:val="00CF6A11"/>
    <w:rsid w:val="00CF6CB9"/>
    <w:rsid w:val="00CF6DD0"/>
    <w:rsid w:val="00CF7061"/>
    <w:rsid w:val="00CF7134"/>
    <w:rsid w:val="00CF7219"/>
    <w:rsid w:val="00CF75DF"/>
    <w:rsid w:val="00CF78FE"/>
    <w:rsid w:val="00CF7B41"/>
    <w:rsid w:val="00CF7CB6"/>
    <w:rsid w:val="00CF7E44"/>
    <w:rsid w:val="00CF7FB4"/>
    <w:rsid w:val="00D009F0"/>
    <w:rsid w:val="00D00C1C"/>
    <w:rsid w:val="00D00E65"/>
    <w:rsid w:val="00D00EB2"/>
    <w:rsid w:val="00D010BF"/>
    <w:rsid w:val="00D011BD"/>
    <w:rsid w:val="00D0125C"/>
    <w:rsid w:val="00D01B48"/>
    <w:rsid w:val="00D01BB7"/>
    <w:rsid w:val="00D01D5F"/>
    <w:rsid w:val="00D01E29"/>
    <w:rsid w:val="00D0203C"/>
    <w:rsid w:val="00D0224A"/>
    <w:rsid w:val="00D023A7"/>
    <w:rsid w:val="00D023D9"/>
    <w:rsid w:val="00D0270C"/>
    <w:rsid w:val="00D03411"/>
    <w:rsid w:val="00D034AC"/>
    <w:rsid w:val="00D03566"/>
    <w:rsid w:val="00D03577"/>
    <w:rsid w:val="00D03768"/>
    <w:rsid w:val="00D037C1"/>
    <w:rsid w:val="00D03C20"/>
    <w:rsid w:val="00D03D70"/>
    <w:rsid w:val="00D0407C"/>
    <w:rsid w:val="00D043F3"/>
    <w:rsid w:val="00D043F7"/>
    <w:rsid w:val="00D043FB"/>
    <w:rsid w:val="00D04643"/>
    <w:rsid w:val="00D04E88"/>
    <w:rsid w:val="00D0598C"/>
    <w:rsid w:val="00D059FE"/>
    <w:rsid w:val="00D05A41"/>
    <w:rsid w:val="00D070C6"/>
    <w:rsid w:val="00D074F2"/>
    <w:rsid w:val="00D079D4"/>
    <w:rsid w:val="00D10089"/>
    <w:rsid w:val="00D10156"/>
    <w:rsid w:val="00D10658"/>
    <w:rsid w:val="00D1069C"/>
    <w:rsid w:val="00D10AA4"/>
    <w:rsid w:val="00D10B5A"/>
    <w:rsid w:val="00D11422"/>
    <w:rsid w:val="00D117CF"/>
    <w:rsid w:val="00D119D8"/>
    <w:rsid w:val="00D11E68"/>
    <w:rsid w:val="00D125EE"/>
    <w:rsid w:val="00D126C3"/>
    <w:rsid w:val="00D12913"/>
    <w:rsid w:val="00D12A8A"/>
    <w:rsid w:val="00D12C33"/>
    <w:rsid w:val="00D12CDD"/>
    <w:rsid w:val="00D12D58"/>
    <w:rsid w:val="00D13225"/>
    <w:rsid w:val="00D136B3"/>
    <w:rsid w:val="00D137C8"/>
    <w:rsid w:val="00D13C91"/>
    <w:rsid w:val="00D13DE8"/>
    <w:rsid w:val="00D13E39"/>
    <w:rsid w:val="00D1408B"/>
    <w:rsid w:val="00D14178"/>
    <w:rsid w:val="00D14517"/>
    <w:rsid w:val="00D148DA"/>
    <w:rsid w:val="00D14A43"/>
    <w:rsid w:val="00D14DAD"/>
    <w:rsid w:val="00D14F83"/>
    <w:rsid w:val="00D150A2"/>
    <w:rsid w:val="00D15170"/>
    <w:rsid w:val="00D152FB"/>
    <w:rsid w:val="00D15308"/>
    <w:rsid w:val="00D15680"/>
    <w:rsid w:val="00D16618"/>
    <w:rsid w:val="00D168B6"/>
    <w:rsid w:val="00D16A3A"/>
    <w:rsid w:val="00D16C3B"/>
    <w:rsid w:val="00D16F12"/>
    <w:rsid w:val="00D170F5"/>
    <w:rsid w:val="00D17116"/>
    <w:rsid w:val="00D1730B"/>
    <w:rsid w:val="00D173BC"/>
    <w:rsid w:val="00D176AC"/>
    <w:rsid w:val="00D17948"/>
    <w:rsid w:val="00D17952"/>
    <w:rsid w:val="00D17EBD"/>
    <w:rsid w:val="00D20698"/>
    <w:rsid w:val="00D20AEE"/>
    <w:rsid w:val="00D20D63"/>
    <w:rsid w:val="00D20ED5"/>
    <w:rsid w:val="00D21518"/>
    <w:rsid w:val="00D219BA"/>
    <w:rsid w:val="00D21C25"/>
    <w:rsid w:val="00D21E66"/>
    <w:rsid w:val="00D22285"/>
    <w:rsid w:val="00D22476"/>
    <w:rsid w:val="00D23036"/>
    <w:rsid w:val="00D23158"/>
    <w:rsid w:val="00D2344A"/>
    <w:rsid w:val="00D23DF3"/>
    <w:rsid w:val="00D23E8A"/>
    <w:rsid w:val="00D23FFF"/>
    <w:rsid w:val="00D24740"/>
    <w:rsid w:val="00D249F0"/>
    <w:rsid w:val="00D24C95"/>
    <w:rsid w:val="00D24CD5"/>
    <w:rsid w:val="00D25159"/>
    <w:rsid w:val="00D2539B"/>
    <w:rsid w:val="00D25427"/>
    <w:rsid w:val="00D2579A"/>
    <w:rsid w:val="00D25B12"/>
    <w:rsid w:val="00D25BE8"/>
    <w:rsid w:val="00D261A2"/>
    <w:rsid w:val="00D2677C"/>
    <w:rsid w:val="00D26BB1"/>
    <w:rsid w:val="00D275D1"/>
    <w:rsid w:val="00D27638"/>
    <w:rsid w:val="00D3005D"/>
    <w:rsid w:val="00D304F6"/>
    <w:rsid w:val="00D307C4"/>
    <w:rsid w:val="00D30A95"/>
    <w:rsid w:val="00D30CAA"/>
    <w:rsid w:val="00D30E58"/>
    <w:rsid w:val="00D31025"/>
    <w:rsid w:val="00D311AB"/>
    <w:rsid w:val="00D314C5"/>
    <w:rsid w:val="00D3162B"/>
    <w:rsid w:val="00D31C18"/>
    <w:rsid w:val="00D31E61"/>
    <w:rsid w:val="00D321C5"/>
    <w:rsid w:val="00D321FB"/>
    <w:rsid w:val="00D3224C"/>
    <w:rsid w:val="00D32520"/>
    <w:rsid w:val="00D32585"/>
    <w:rsid w:val="00D325A8"/>
    <w:rsid w:val="00D32B4C"/>
    <w:rsid w:val="00D32D96"/>
    <w:rsid w:val="00D332E4"/>
    <w:rsid w:val="00D33304"/>
    <w:rsid w:val="00D333B0"/>
    <w:rsid w:val="00D33C5C"/>
    <w:rsid w:val="00D33CFB"/>
    <w:rsid w:val="00D34318"/>
    <w:rsid w:val="00D34615"/>
    <w:rsid w:val="00D34E07"/>
    <w:rsid w:val="00D3516B"/>
    <w:rsid w:val="00D35448"/>
    <w:rsid w:val="00D354E2"/>
    <w:rsid w:val="00D359BD"/>
    <w:rsid w:val="00D35F32"/>
    <w:rsid w:val="00D360B5"/>
    <w:rsid w:val="00D36332"/>
    <w:rsid w:val="00D36BC9"/>
    <w:rsid w:val="00D36E22"/>
    <w:rsid w:val="00D37C41"/>
    <w:rsid w:val="00D37CC8"/>
    <w:rsid w:val="00D37DEA"/>
    <w:rsid w:val="00D37E7B"/>
    <w:rsid w:val="00D37F02"/>
    <w:rsid w:val="00D4006D"/>
    <w:rsid w:val="00D401F1"/>
    <w:rsid w:val="00D401F9"/>
    <w:rsid w:val="00D406CF"/>
    <w:rsid w:val="00D40C00"/>
    <w:rsid w:val="00D40FCA"/>
    <w:rsid w:val="00D41E50"/>
    <w:rsid w:val="00D42661"/>
    <w:rsid w:val="00D426FD"/>
    <w:rsid w:val="00D428A0"/>
    <w:rsid w:val="00D42A60"/>
    <w:rsid w:val="00D42BC5"/>
    <w:rsid w:val="00D43881"/>
    <w:rsid w:val="00D43C19"/>
    <w:rsid w:val="00D442AD"/>
    <w:rsid w:val="00D443D1"/>
    <w:rsid w:val="00D4693F"/>
    <w:rsid w:val="00D46FC5"/>
    <w:rsid w:val="00D47116"/>
    <w:rsid w:val="00D4751B"/>
    <w:rsid w:val="00D4765C"/>
    <w:rsid w:val="00D47C55"/>
    <w:rsid w:val="00D47D17"/>
    <w:rsid w:val="00D47D21"/>
    <w:rsid w:val="00D502D7"/>
    <w:rsid w:val="00D5051A"/>
    <w:rsid w:val="00D5065D"/>
    <w:rsid w:val="00D50B9D"/>
    <w:rsid w:val="00D50D56"/>
    <w:rsid w:val="00D50F79"/>
    <w:rsid w:val="00D51463"/>
    <w:rsid w:val="00D5167D"/>
    <w:rsid w:val="00D51E4B"/>
    <w:rsid w:val="00D5279E"/>
    <w:rsid w:val="00D52C6C"/>
    <w:rsid w:val="00D52E79"/>
    <w:rsid w:val="00D533B2"/>
    <w:rsid w:val="00D53456"/>
    <w:rsid w:val="00D5351D"/>
    <w:rsid w:val="00D53842"/>
    <w:rsid w:val="00D53BF4"/>
    <w:rsid w:val="00D53C4C"/>
    <w:rsid w:val="00D53DC4"/>
    <w:rsid w:val="00D53F20"/>
    <w:rsid w:val="00D54AB1"/>
    <w:rsid w:val="00D554CC"/>
    <w:rsid w:val="00D5591C"/>
    <w:rsid w:val="00D55933"/>
    <w:rsid w:val="00D55A10"/>
    <w:rsid w:val="00D55A2F"/>
    <w:rsid w:val="00D5618A"/>
    <w:rsid w:val="00D56365"/>
    <w:rsid w:val="00D5681A"/>
    <w:rsid w:val="00D56AB6"/>
    <w:rsid w:val="00D56E5E"/>
    <w:rsid w:val="00D57065"/>
    <w:rsid w:val="00D57444"/>
    <w:rsid w:val="00D575DB"/>
    <w:rsid w:val="00D57786"/>
    <w:rsid w:val="00D5784B"/>
    <w:rsid w:val="00D57916"/>
    <w:rsid w:val="00D57924"/>
    <w:rsid w:val="00D57AF9"/>
    <w:rsid w:val="00D57DD4"/>
    <w:rsid w:val="00D57E2B"/>
    <w:rsid w:val="00D57EA7"/>
    <w:rsid w:val="00D57F68"/>
    <w:rsid w:val="00D60191"/>
    <w:rsid w:val="00D602E8"/>
    <w:rsid w:val="00D605E6"/>
    <w:rsid w:val="00D60BA8"/>
    <w:rsid w:val="00D60C15"/>
    <w:rsid w:val="00D60D68"/>
    <w:rsid w:val="00D60FF9"/>
    <w:rsid w:val="00D61784"/>
    <w:rsid w:val="00D61C17"/>
    <w:rsid w:val="00D62567"/>
    <w:rsid w:val="00D62702"/>
    <w:rsid w:val="00D6278B"/>
    <w:rsid w:val="00D62A91"/>
    <w:rsid w:val="00D63359"/>
    <w:rsid w:val="00D634A7"/>
    <w:rsid w:val="00D635D0"/>
    <w:rsid w:val="00D63A84"/>
    <w:rsid w:val="00D63BFA"/>
    <w:rsid w:val="00D63EFB"/>
    <w:rsid w:val="00D6450C"/>
    <w:rsid w:val="00D646CB"/>
    <w:rsid w:val="00D64915"/>
    <w:rsid w:val="00D649ED"/>
    <w:rsid w:val="00D64B5D"/>
    <w:rsid w:val="00D658AF"/>
    <w:rsid w:val="00D65946"/>
    <w:rsid w:val="00D659CA"/>
    <w:rsid w:val="00D65E88"/>
    <w:rsid w:val="00D667B9"/>
    <w:rsid w:val="00D66AEE"/>
    <w:rsid w:val="00D66B4D"/>
    <w:rsid w:val="00D67290"/>
    <w:rsid w:val="00D673A5"/>
    <w:rsid w:val="00D67757"/>
    <w:rsid w:val="00D67A07"/>
    <w:rsid w:val="00D67BDE"/>
    <w:rsid w:val="00D67FE9"/>
    <w:rsid w:val="00D70561"/>
    <w:rsid w:val="00D7069B"/>
    <w:rsid w:val="00D70ABA"/>
    <w:rsid w:val="00D70E5F"/>
    <w:rsid w:val="00D70E90"/>
    <w:rsid w:val="00D70F59"/>
    <w:rsid w:val="00D70FC2"/>
    <w:rsid w:val="00D7100A"/>
    <w:rsid w:val="00D7117D"/>
    <w:rsid w:val="00D71F58"/>
    <w:rsid w:val="00D72B74"/>
    <w:rsid w:val="00D72CB0"/>
    <w:rsid w:val="00D72DEC"/>
    <w:rsid w:val="00D7341B"/>
    <w:rsid w:val="00D737AB"/>
    <w:rsid w:val="00D73E63"/>
    <w:rsid w:val="00D742D0"/>
    <w:rsid w:val="00D747A0"/>
    <w:rsid w:val="00D74DB7"/>
    <w:rsid w:val="00D7510A"/>
    <w:rsid w:val="00D752EB"/>
    <w:rsid w:val="00D75455"/>
    <w:rsid w:val="00D755B4"/>
    <w:rsid w:val="00D75BAF"/>
    <w:rsid w:val="00D75DF3"/>
    <w:rsid w:val="00D75F33"/>
    <w:rsid w:val="00D75FC3"/>
    <w:rsid w:val="00D76046"/>
    <w:rsid w:val="00D76592"/>
    <w:rsid w:val="00D76618"/>
    <w:rsid w:val="00D76658"/>
    <w:rsid w:val="00D7675A"/>
    <w:rsid w:val="00D772E8"/>
    <w:rsid w:val="00D778C5"/>
    <w:rsid w:val="00D77918"/>
    <w:rsid w:val="00D77EF4"/>
    <w:rsid w:val="00D80285"/>
    <w:rsid w:val="00D80306"/>
    <w:rsid w:val="00D80375"/>
    <w:rsid w:val="00D8116D"/>
    <w:rsid w:val="00D812F2"/>
    <w:rsid w:val="00D815F3"/>
    <w:rsid w:val="00D817F0"/>
    <w:rsid w:val="00D81B8A"/>
    <w:rsid w:val="00D81D86"/>
    <w:rsid w:val="00D81DB5"/>
    <w:rsid w:val="00D81F09"/>
    <w:rsid w:val="00D82063"/>
    <w:rsid w:val="00D8226F"/>
    <w:rsid w:val="00D8254C"/>
    <w:rsid w:val="00D827D0"/>
    <w:rsid w:val="00D82A0E"/>
    <w:rsid w:val="00D82CAF"/>
    <w:rsid w:val="00D82DDD"/>
    <w:rsid w:val="00D8305C"/>
    <w:rsid w:val="00D83760"/>
    <w:rsid w:val="00D83978"/>
    <w:rsid w:val="00D83DE9"/>
    <w:rsid w:val="00D83E57"/>
    <w:rsid w:val="00D83EB5"/>
    <w:rsid w:val="00D8450D"/>
    <w:rsid w:val="00D84629"/>
    <w:rsid w:val="00D84777"/>
    <w:rsid w:val="00D84EAE"/>
    <w:rsid w:val="00D855B1"/>
    <w:rsid w:val="00D85789"/>
    <w:rsid w:val="00D85960"/>
    <w:rsid w:val="00D85B95"/>
    <w:rsid w:val="00D85EE0"/>
    <w:rsid w:val="00D85FC8"/>
    <w:rsid w:val="00D8617F"/>
    <w:rsid w:val="00D86547"/>
    <w:rsid w:val="00D86773"/>
    <w:rsid w:val="00D86DA4"/>
    <w:rsid w:val="00D86DB1"/>
    <w:rsid w:val="00D873BC"/>
    <w:rsid w:val="00D87A40"/>
    <w:rsid w:val="00D87AFC"/>
    <w:rsid w:val="00D87D7C"/>
    <w:rsid w:val="00D87DBB"/>
    <w:rsid w:val="00D90725"/>
    <w:rsid w:val="00D90C93"/>
    <w:rsid w:val="00D90CDC"/>
    <w:rsid w:val="00D91405"/>
    <w:rsid w:val="00D91573"/>
    <w:rsid w:val="00D9164B"/>
    <w:rsid w:val="00D91AE9"/>
    <w:rsid w:val="00D91EFB"/>
    <w:rsid w:val="00D9267F"/>
    <w:rsid w:val="00D92B73"/>
    <w:rsid w:val="00D92C3C"/>
    <w:rsid w:val="00D92ECC"/>
    <w:rsid w:val="00D93030"/>
    <w:rsid w:val="00D93130"/>
    <w:rsid w:val="00D9334F"/>
    <w:rsid w:val="00D93806"/>
    <w:rsid w:val="00D93F31"/>
    <w:rsid w:val="00D9420C"/>
    <w:rsid w:val="00D942AD"/>
    <w:rsid w:val="00D94314"/>
    <w:rsid w:val="00D94557"/>
    <w:rsid w:val="00D9467D"/>
    <w:rsid w:val="00D94863"/>
    <w:rsid w:val="00D94E73"/>
    <w:rsid w:val="00D95810"/>
    <w:rsid w:val="00D95940"/>
    <w:rsid w:val="00D95AF9"/>
    <w:rsid w:val="00D95B4B"/>
    <w:rsid w:val="00D95BD6"/>
    <w:rsid w:val="00D95C08"/>
    <w:rsid w:val="00D95CEF"/>
    <w:rsid w:val="00D96176"/>
    <w:rsid w:val="00D963B5"/>
    <w:rsid w:val="00D964AE"/>
    <w:rsid w:val="00D9747E"/>
    <w:rsid w:val="00D97A16"/>
    <w:rsid w:val="00DA0090"/>
    <w:rsid w:val="00DA0438"/>
    <w:rsid w:val="00DA08AE"/>
    <w:rsid w:val="00DA09C9"/>
    <w:rsid w:val="00DA0A7E"/>
    <w:rsid w:val="00DA0C01"/>
    <w:rsid w:val="00DA0E18"/>
    <w:rsid w:val="00DA1822"/>
    <w:rsid w:val="00DA1EDB"/>
    <w:rsid w:val="00DA21B2"/>
    <w:rsid w:val="00DA233B"/>
    <w:rsid w:val="00DA2713"/>
    <w:rsid w:val="00DA2E7D"/>
    <w:rsid w:val="00DA30E9"/>
    <w:rsid w:val="00DA329F"/>
    <w:rsid w:val="00DA33BB"/>
    <w:rsid w:val="00DA3562"/>
    <w:rsid w:val="00DA39FD"/>
    <w:rsid w:val="00DA3D60"/>
    <w:rsid w:val="00DA4C30"/>
    <w:rsid w:val="00DA4C88"/>
    <w:rsid w:val="00DA4D43"/>
    <w:rsid w:val="00DA4DDB"/>
    <w:rsid w:val="00DA4FF0"/>
    <w:rsid w:val="00DA5113"/>
    <w:rsid w:val="00DA53FE"/>
    <w:rsid w:val="00DA5E54"/>
    <w:rsid w:val="00DA635B"/>
    <w:rsid w:val="00DA6670"/>
    <w:rsid w:val="00DA6A47"/>
    <w:rsid w:val="00DA73B1"/>
    <w:rsid w:val="00DA747C"/>
    <w:rsid w:val="00DA7925"/>
    <w:rsid w:val="00DA7E19"/>
    <w:rsid w:val="00DA7FC5"/>
    <w:rsid w:val="00DB021E"/>
    <w:rsid w:val="00DB075E"/>
    <w:rsid w:val="00DB0F3C"/>
    <w:rsid w:val="00DB1296"/>
    <w:rsid w:val="00DB13C7"/>
    <w:rsid w:val="00DB18E5"/>
    <w:rsid w:val="00DB1A41"/>
    <w:rsid w:val="00DB1E30"/>
    <w:rsid w:val="00DB1EBB"/>
    <w:rsid w:val="00DB2186"/>
    <w:rsid w:val="00DB24C1"/>
    <w:rsid w:val="00DB2B0A"/>
    <w:rsid w:val="00DB2B8E"/>
    <w:rsid w:val="00DB2BC0"/>
    <w:rsid w:val="00DB3BDC"/>
    <w:rsid w:val="00DB3FEA"/>
    <w:rsid w:val="00DB4009"/>
    <w:rsid w:val="00DB427F"/>
    <w:rsid w:val="00DB4495"/>
    <w:rsid w:val="00DB46B3"/>
    <w:rsid w:val="00DB4905"/>
    <w:rsid w:val="00DB4F90"/>
    <w:rsid w:val="00DB5171"/>
    <w:rsid w:val="00DB576D"/>
    <w:rsid w:val="00DB5E1F"/>
    <w:rsid w:val="00DB5F96"/>
    <w:rsid w:val="00DB6020"/>
    <w:rsid w:val="00DB618C"/>
    <w:rsid w:val="00DB680C"/>
    <w:rsid w:val="00DB6A2A"/>
    <w:rsid w:val="00DB6AD7"/>
    <w:rsid w:val="00DB7094"/>
    <w:rsid w:val="00DB71B1"/>
    <w:rsid w:val="00DB72ED"/>
    <w:rsid w:val="00DB73D0"/>
    <w:rsid w:val="00DB763C"/>
    <w:rsid w:val="00DB780A"/>
    <w:rsid w:val="00DB7AC1"/>
    <w:rsid w:val="00DB7DE9"/>
    <w:rsid w:val="00DC0583"/>
    <w:rsid w:val="00DC0764"/>
    <w:rsid w:val="00DC0CF6"/>
    <w:rsid w:val="00DC13AD"/>
    <w:rsid w:val="00DC1477"/>
    <w:rsid w:val="00DC14EA"/>
    <w:rsid w:val="00DC19D8"/>
    <w:rsid w:val="00DC1AB5"/>
    <w:rsid w:val="00DC1DE2"/>
    <w:rsid w:val="00DC1EAE"/>
    <w:rsid w:val="00DC20D0"/>
    <w:rsid w:val="00DC2182"/>
    <w:rsid w:val="00DC2242"/>
    <w:rsid w:val="00DC22CB"/>
    <w:rsid w:val="00DC249B"/>
    <w:rsid w:val="00DC2613"/>
    <w:rsid w:val="00DC2D2E"/>
    <w:rsid w:val="00DC2D82"/>
    <w:rsid w:val="00DC30A7"/>
    <w:rsid w:val="00DC318A"/>
    <w:rsid w:val="00DC3C46"/>
    <w:rsid w:val="00DC3D16"/>
    <w:rsid w:val="00DC3F7C"/>
    <w:rsid w:val="00DC3F83"/>
    <w:rsid w:val="00DC445F"/>
    <w:rsid w:val="00DC4512"/>
    <w:rsid w:val="00DC464E"/>
    <w:rsid w:val="00DC4E5D"/>
    <w:rsid w:val="00DC535F"/>
    <w:rsid w:val="00DC5644"/>
    <w:rsid w:val="00DC5705"/>
    <w:rsid w:val="00DC5D45"/>
    <w:rsid w:val="00DC5D4A"/>
    <w:rsid w:val="00DC5D94"/>
    <w:rsid w:val="00DC5E5B"/>
    <w:rsid w:val="00DC5F49"/>
    <w:rsid w:val="00DC6618"/>
    <w:rsid w:val="00DC6918"/>
    <w:rsid w:val="00DC7655"/>
    <w:rsid w:val="00DC791A"/>
    <w:rsid w:val="00DD03C7"/>
    <w:rsid w:val="00DD0782"/>
    <w:rsid w:val="00DD11EF"/>
    <w:rsid w:val="00DD135A"/>
    <w:rsid w:val="00DD17F9"/>
    <w:rsid w:val="00DD18A3"/>
    <w:rsid w:val="00DD1D39"/>
    <w:rsid w:val="00DD2584"/>
    <w:rsid w:val="00DD267B"/>
    <w:rsid w:val="00DD3161"/>
    <w:rsid w:val="00DD3691"/>
    <w:rsid w:val="00DD3DAF"/>
    <w:rsid w:val="00DD464C"/>
    <w:rsid w:val="00DD46D7"/>
    <w:rsid w:val="00DD4803"/>
    <w:rsid w:val="00DD488A"/>
    <w:rsid w:val="00DD4956"/>
    <w:rsid w:val="00DD4B55"/>
    <w:rsid w:val="00DD4F25"/>
    <w:rsid w:val="00DD5220"/>
    <w:rsid w:val="00DD599D"/>
    <w:rsid w:val="00DD5B4E"/>
    <w:rsid w:val="00DD5E26"/>
    <w:rsid w:val="00DD60BB"/>
    <w:rsid w:val="00DD65C6"/>
    <w:rsid w:val="00DD6613"/>
    <w:rsid w:val="00DD6BCF"/>
    <w:rsid w:val="00DD727C"/>
    <w:rsid w:val="00DD7BD7"/>
    <w:rsid w:val="00DD7DB3"/>
    <w:rsid w:val="00DD7E62"/>
    <w:rsid w:val="00DE050B"/>
    <w:rsid w:val="00DE07C7"/>
    <w:rsid w:val="00DE0AE2"/>
    <w:rsid w:val="00DE0D86"/>
    <w:rsid w:val="00DE1E90"/>
    <w:rsid w:val="00DE21BF"/>
    <w:rsid w:val="00DE24E6"/>
    <w:rsid w:val="00DE295A"/>
    <w:rsid w:val="00DE2F1F"/>
    <w:rsid w:val="00DE3CB4"/>
    <w:rsid w:val="00DE3E1F"/>
    <w:rsid w:val="00DE3F82"/>
    <w:rsid w:val="00DE41EE"/>
    <w:rsid w:val="00DE440E"/>
    <w:rsid w:val="00DE48AF"/>
    <w:rsid w:val="00DE495C"/>
    <w:rsid w:val="00DE4D3A"/>
    <w:rsid w:val="00DE4DE9"/>
    <w:rsid w:val="00DE51C5"/>
    <w:rsid w:val="00DE536E"/>
    <w:rsid w:val="00DE541C"/>
    <w:rsid w:val="00DE547C"/>
    <w:rsid w:val="00DE6066"/>
    <w:rsid w:val="00DE60CB"/>
    <w:rsid w:val="00DE68BE"/>
    <w:rsid w:val="00DE6DA4"/>
    <w:rsid w:val="00DE6E66"/>
    <w:rsid w:val="00DE6F67"/>
    <w:rsid w:val="00DE73F2"/>
    <w:rsid w:val="00DE745C"/>
    <w:rsid w:val="00DE7A19"/>
    <w:rsid w:val="00DE7FFE"/>
    <w:rsid w:val="00DF07AD"/>
    <w:rsid w:val="00DF08AA"/>
    <w:rsid w:val="00DF08E6"/>
    <w:rsid w:val="00DF0ACB"/>
    <w:rsid w:val="00DF0BD5"/>
    <w:rsid w:val="00DF1257"/>
    <w:rsid w:val="00DF1903"/>
    <w:rsid w:val="00DF1C63"/>
    <w:rsid w:val="00DF1CCC"/>
    <w:rsid w:val="00DF1F06"/>
    <w:rsid w:val="00DF281D"/>
    <w:rsid w:val="00DF28E7"/>
    <w:rsid w:val="00DF2A3F"/>
    <w:rsid w:val="00DF2E40"/>
    <w:rsid w:val="00DF2E9A"/>
    <w:rsid w:val="00DF3149"/>
    <w:rsid w:val="00DF3301"/>
    <w:rsid w:val="00DF3364"/>
    <w:rsid w:val="00DF376C"/>
    <w:rsid w:val="00DF3BD4"/>
    <w:rsid w:val="00DF4430"/>
    <w:rsid w:val="00DF460F"/>
    <w:rsid w:val="00DF4899"/>
    <w:rsid w:val="00DF4A7D"/>
    <w:rsid w:val="00DF4CD3"/>
    <w:rsid w:val="00DF4CE0"/>
    <w:rsid w:val="00DF4D88"/>
    <w:rsid w:val="00DF4F22"/>
    <w:rsid w:val="00DF53F4"/>
    <w:rsid w:val="00DF565D"/>
    <w:rsid w:val="00DF5724"/>
    <w:rsid w:val="00DF5AD3"/>
    <w:rsid w:val="00DF5F63"/>
    <w:rsid w:val="00DF6345"/>
    <w:rsid w:val="00DF651B"/>
    <w:rsid w:val="00DF683B"/>
    <w:rsid w:val="00DF691A"/>
    <w:rsid w:val="00DF6927"/>
    <w:rsid w:val="00DF69C9"/>
    <w:rsid w:val="00DF6B5D"/>
    <w:rsid w:val="00DF6BF5"/>
    <w:rsid w:val="00DF6DCB"/>
    <w:rsid w:val="00DF7097"/>
    <w:rsid w:val="00DF74B9"/>
    <w:rsid w:val="00DF7535"/>
    <w:rsid w:val="00DF7766"/>
    <w:rsid w:val="00DF7B53"/>
    <w:rsid w:val="00DF7FDC"/>
    <w:rsid w:val="00E0003E"/>
    <w:rsid w:val="00E00115"/>
    <w:rsid w:val="00E00DB9"/>
    <w:rsid w:val="00E018E4"/>
    <w:rsid w:val="00E01969"/>
    <w:rsid w:val="00E01E95"/>
    <w:rsid w:val="00E01F6E"/>
    <w:rsid w:val="00E027C5"/>
    <w:rsid w:val="00E0299B"/>
    <w:rsid w:val="00E02DF1"/>
    <w:rsid w:val="00E031F0"/>
    <w:rsid w:val="00E0397B"/>
    <w:rsid w:val="00E03C5F"/>
    <w:rsid w:val="00E03F3C"/>
    <w:rsid w:val="00E04550"/>
    <w:rsid w:val="00E0496D"/>
    <w:rsid w:val="00E04AFC"/>
    <w:rsid w:val="00E04BBA"/>
    <w:rsid w:val="00E04BEE"/>
    <w:rsid w:val="00E04EF2"/>
    <w:rsid w:val="00E04FE2"/>
    <w:rsid w:val="00E055BB"/>
    <w:rsid w:val="00E060C8"/>
    <w:rsid w:val="00E06247"/>
    <w:rsid w:val="00E06C8D"/>
    <w:rsid w:val="00E07C5F"/>
    <w:rsid w:val="00E1017F"/>
    <w:rsid w:val="00E101A3"/>
    <w:rsid w:val="00E10792"/>
    <w:rsid w:val="00E10963"/>
    <w:rsid w:val="00E1096A"/>
    <w:rsid w:val="00E10BF1"/>
    <w:rsid w:val="00E10D2D"/>
    <w:rsid w:val="00E110DF"/>
    <w:rsid w:val="00E11164"/>
    <w:rsid w:val="00E112FC"/>
    <w:rsid w:val="00E1168E"/>
    <w:rsid w:val="00E11988"/>
    <w:rsid w:val="00E11C46"/>
    <w:rsid w:val="00E11C7E"/>
    <w:rsid w:val="00E11CC9"/>
    <w:rsid w:val="00E11DAA"/>
    <w:rsid w:val="00E11F9B"/>
    <w:rsid w:val="00E124F1"/>
    <w:rsid w:val="00E12568"/>
    <w:rsid w:val="00E12658"/>
    <w:rsid w:val="00E1278E"/>
    <w:rsid w:val="00E12C03"/>
    <w:rsid w:val="00E12C2F"/>
    <w:rsid w:val="00E12CD8"/>
    <w:rsid w:val="00E12CFB"/>
    <w:rsid w:val="00E12D51"/>
    <w:rsid w:val="00E13028"/>
    <w:rsid w:val="00E1331B"/>
    <w:rsid w:val="00E13AAF"/>
    <w:rsid w:val="00E13C45"/>
    <w:rsid w:val="00E14154"/>
    <w:rsid w:val="00E141E2"/>
    <w:rsid w:val="00E1426E"/>
    <w:rsid w:val="00E142A5"/>
    <w:rsid w:val="00E14474"/>
    <w:rsid w:val="00E1465E"/>
    <w:rsid w:val="00E14901"/>
    <w:rsid w:val="00E14ADB"/>
    <w:rsid w:val="00E14BAC"/>
    <w:rsid w:val="00E152F1"/>
    <w:rsid w:val="00E158AB"/>
    <w:rsid w:val="00E15946"/>
    <w:rsid w:val="00E15A01"/>
    <w:rsid w:val="00E15A24"/>
    <w:rsid w:val="00E15B3B"/>
    <w:rsid w:val="00E15DA9"/>
    <w:rsid w:val="00E15F76"/>
    <w:rsid w:val="00E16056"/>
    <w:rsid w:val="00E160C3"/>
    <w:rsid w:val="00E16121"/>
    <w:rsid w:val="00E162BF"/>
    <w:rsid w:val="00E169F5"/>
    <w:rsid w:val="00E16B1C"/>
    <w:rsid w:val="00E16B9A"/>
    <w:rsid w:val="00E17006"/>
    <w:rsid w:val="00E17067"/>
    <w:rsid w:val="00E1760B"/>
    <w:rsid w:val="00E17839"/>
    <w:rsid w:val="00E178D8"/>
    <w:rsid w:val="00E17A75"/>
    <w:rsid w:val="00E20191"/>
    <w:rsid w:val="00E202A2"/>
    <w:rsid w:val="00E20542"/>
    <w:rsid w:val="00E2095D"/>
    <w:rsid w:val="00E210DB"/>
    <w:rsid w:val="00E213E4"/>
    <w:rsid w:val="00E2158E"/>
    <w:rsid w:val="00E21D07"/>
    <w:rsid w:val="00E21ED4"/>
    <w:rsid w:val="00E22331"/>
    <w:rsid w:val="00E22667"/>
    <w:rsid w:val="00E22966"/>
    <w:rsid w:val="00E22BBC"/>
    <w:rsid w:val="00E22FFA"/>
    <w:rsid w:val="00E23039"/>
    <w:rsid w:val="00E2333B"/>
    <w:rsid w:val="00E236D2"/>
    <w:rsid w:val="00E23B32"/>
    <w:rsid w:val="00E23DB6"/>
    <w:rsid w:val="00E23DE5"/>
    <w:rsid w:val="00E23DEB"/>
    <w:rsid w:val="00E245AD"/>
    <w:rsid w:val="00E24AA4"/>
    <w:rsid w:val="00E24B99"/>
    <w:rsid w:val="00E25486"/>
    <w:rsid w:val="00E2554E"/>
    <w:rsid w:val="00E256C1"/>
    <w:rsid w:val="00E2579F"/>
    <w:rsid w:val="00E25847"/>
    <w:rsid w:val="00E25AF5"/>
    <w:rsid w:val="00E25B4F"/>
    <w:rsid w:val="00E25C6D"/>
    <w:rsid w:val="00E25C7B"/>
    <w:rsid w:val="00E25EE9"/>
    <w:rsid w:val="00E260A5"/>
    <w:rsid w:val="00E26224"/>
    <w:rsid w:val="00E2632C"/>
    <w:rsid w:val="00E263E6"/>
    <w:rsid w:val="00E2646C"/>
    <w:rsid w:val="00E2648C"/>
    <w:rsid w:val="00E266E8"/>
    <w:rsid w:val="00E269E2"/>
    <w:rsid w:val="00E26AC7"/>
    <w:rsid w:val="00E26BB3"/>
    <w:rsid w:val="00E26C44"/>
    <w:rsid w:val="00E26FF0"/>
    <w:rsid w:val="00E2717C"/>
    <w:rsid w:val="00E27303"/>
    <w:rsid w:val="00E27537"/>
    <w:rsid w:val="00E275AB"/>
    <w:rsid w:val="00E27873"/>
    <w:rsid w:val="00E2792D"/>
    <w:rsid w:val="00E27C80"/>
    <w:rsid w:val="00E27F8A"/>
    <w:rsid w:val="00E30414"/>
    <w:rsid w:val="00E30620"/>
    <w:rsid w:val="00E306C3"/>
    <w:rsid w:val="00E307EF"/>
    <w:rsid w:val="00E30949"/>
    <w:rsid w:val="00E30CE3"/>
    <w:rsid w:val="00E30D4D"/>
    <w:rsid w:val="00E31293"/>
    <w:rsid w:val="00E314B7"/>
    <w:rsid w:val="00E315B5"/>
    <w:rsid w:val="00E316CF"/>
    <w:rsid w:val="00E31A01"/>
    <w:rsid w:val="00E32208"/>
    <w:rsid w:val="00E3268D"/>
    <w:rsid w:val="00E3280E"/>
    <w:rsid w:val="00E33294"/>
    <w:rsid w:val="00E3340C"/>
    <w:rsid w:val="00E337C4"/>
    <w:rsid w:val="00E33A41"/>
    <w:rsid w:val="00E33D47"/>
    <w:rsid w:val="00E341C7"/>
    <w:rsid w:val="00E345B8"/>
    <w:rsid w:val="00E34768"/>
    <w:rsid w:val="00E35095"/>
    <w:rsid w:val="00E355ED"/>
    <w:rsid w:val="00E357F7"/>
    <w:rsid w:val="00E35D42"/>
    <w:rsid w:val="00E36067"/>
    <w:rsid w:val="00E36100"/>
    <w:rsid w:val="00E36224"/>
    <w:rsid w:val="00E363CC"/>
    <w:rsid w:val="00E36684"/>
    <w:rsid w:val="00E36AD8"/>
    <w:rsid w:val="00E37133"/>
    <w:rsid w:val="00E37204"/>
    <w:rsid w:val="00E3727E"/>
    <w:rsid w:val="00E37586"/>
    <w:rsid w:val="00E375F1"/>
    <w:rsid w:val="00E378E8"/>
    <w:rsid w:val="00E37900"/>
    <w:rsid w:val="00E379D5"/>
    <w:rsid w:val="00E40099"/>
    <w:rsid w:val="00E404DF"/>
    <w:rsid w:val="00E4054A"/>
    <w:rsid w:val="00E40769"/>
    <w:rsid w:val="00E40A1E"/>
    <w:rsid w:val="00E40C2E"/>
    <w:rsid w:val="00E40F5F"/>
    <w:rsid w:val="00E41644"/>
    <w:rsid w:val="00E418F4"/>
    <w:rsid w:val="00E41B36"/>
    <w:rsid w:val="00E41E1F"/>
    <w:rsid w:val="00E4313B"/>
    <w:rsid w:val="00E431A1"/>
    <w:rsid w:val="00E434BC"/>
    <w:rsid w:val="00E43803"/>
    <w:rsid w:val="00E43E44"/>
    <w:rsid w:val="00E44472"/>
    <w:rsid w:val="00E44815"/>
    <w:rsid w:val="00E44A92"/>
    <w:rsid w:val="00E44E92"/>
    <w:rsid w:val="00E44FD2"/>
    <w:rsid w:val="00E44FE3"/>
    <w:rsid w:val="00E455F8"/>
    <w:rsid w:val="00E458B0"/>
    <w:rsid w:val="00E45E76"/>
    <w:rsid w:val="00E45EA1"/>
    <w:rsid w:val="00E4639A"/>
    <w:rsid w:val="00E468C2"/>
    <w:rsid w:val="00E46CD6"/>
    <w:rsid w:val="00E46E67"/>
    <w:rsid w:val="00E472FC"/>
    <w:rsid w:val="00E4754D"/>
    <w:rsid w:val="00E475AA"/>
    <w:rsid w:val="00E477ED"/>
    <w:rsid w:val="00E479A1"/>
    <w:rsid w:val="00E47C46"/>
    <w:rsid w:val="00E50055"/>
    <w:rsid w:val="00E5072B"/>
    <w:rsid w:val="00E51243"/>
    <w:rsid w:val="00E512AC"/>
    <w:rsid w:val="00E51416"/>
    <w:rsid w:val="00E51817"/>
    <w:rsid w:val="00E51CB2"/>
    <w:rsid w:val="00E51D34"/>
    <w:rsid w:val="00E51D52"/>
    <w:rsid w:val="00E52688"/>
    <w:rsid w:val="00E5286F"/>
    <w:rsid w:val="00E52966"/>
    <w:rsid w:val="00E52CC4"/>
    <w:rsid w:val="00E5353C"/>
    <w:rsid w:val="00E537C2"/>
    <w:rsid w:val="00E537F0"/>
    <w:rsid w:val="00E53903"/>
    <w:rsid w:val="00E53A3D"/>
    <w:rsid w:val="00E541E2"/>
    <w:rsid w:val="00E54792"/>
    <w:rsid w:val="00E547B5"/>
    <w:rsid w:val="00E54B09"/>
    <w:rsid w:val="00E54DC7"/>
    <w:rsid w:val="00E55933"/>
    <w:rsid w:val="00E55994"/>
    <w:rsid w:val="00E55B30"/>
    <w:rsid w:val="00E55D99"/>
    <w:rsid w:val="00E56940"/>
    <w:rsid w:val="00E56E02"/>
    <w:rsid w:val="00E57023"/>
    <w:rsid w:val="00E572B8"/>
    <w:rsid w:val="00E57A97"/>
    <w:rsid w:val="00E57F0C"/>
    <w:rsid w:val="00E60100"/>
    <w:rsid w:val="00E601F1"/>
    <w:rsid w:val="00E60919"/>
    <w:rsid w:val="00E60CB3"/>
    <w:rsid w:val="00E60DAD"/>
    <w:rsid w:val="00E60F12"/>
    <w:rsid w:val="00E61325"/>
    <w:rsid w:val="00E6176A"/>
    <w:rsid w:val="00E617E0"/>
    <w:rsid w:val="00E62544"/>
    <w:rsid w:val="00E62CE3"/>
    <w:rsid w:val="00E62F2B"/>
    <w:rsid w:val="00E634E9"/>
    <w:rsid w:val="00E639F4"/>
    <w:rsid w:val="00E63B79"/>
    <w:rsid w:val="00E63EA3"/>
    <w:rsid w:val="00E640C6"/>
    <w:rsid w:val="00E641CA"/>
    <w:rsid w:val="00E645CF"/>
    <w:rsid w:val="00E64786"/>
    <w:rsid w:val="00E65046"/>
    <w:rsid w:val="00E652FB"/>
    <w:rsid w:val="00E653AA"/>
    <w:rsid w:val="00E6595E"/>
    <w:rsid w:val="00E659A7"/>
    <w:rsid w:val="00E659D1"/>
    <w:rsid w:val="00E65AFA"/>
    <w:rsid w:val="00E65EA1"/>
    <w:rsid w:val="00E65F44"/>
    <w:rsid w:val="00E66235"/>
    <w:rsid w:val="00E66589"/>
    <w:rsid w:val="00E66B92"/>
    <w:rsid w:val="00E66C20"/>
    <w:rsid w:val="00E66D6F"/>
    <w:rsid w:val="00E66EEA"/>
    <w:rsid w:val="00E67019"/>
    <w:rsid w:val="00E672BA"/>
    <w:rsid w:val="00E67782"/>
    <w:rsid w:val="00E677F9"/>
    <w:rsid w:val="00E67972"/>
    <w:rsid w:val="00E67D4B"/>
    <w:rsid w:val="00E70075"/>
    <w:rsid w:val="00E71316"/>
    <w:rsid w:val="00E71C46"/>
    <w:rsid w:val="00E728CB"/>
    <w:rsid w:val="00E72C7A"/>
    <w:rsid w:val="00E72CB9"/>
    <w:rsid w:val="00E72F3C"/>
    <w:rsid w:val="00E73729"/>
    <w:rsid w:val="00E73802"/>
    <w:rsid w:val="00E73885"/>
    <w:rsid w:val="00E7399B"/>
    <w:rsid w:val="00E73B98"/>
    <w:rsid w:val="00E73FA8"/>
    <w:rsid w:val="00E74213"/>
    <w:rsid w:val="00E74407"/>
    <w:rsid w:val="00E7473C"/>
    <w:rsid w:val="00E74C54"/>
    <w:rsid w:val="00E74E76"/>
    <w:rsid w:val="00E754C2"/>
    <w:rsid w:val="00E756CF"/>
    <w:rsid w:val="00E759BF"/>
    <w:rsid w:val="00E75A75"/>
    <w:rsid w:val="00E75DC0"/>
    <w:rsid w:val="00E75ED2"/>
    <w:rsid w:val="00E75FF7"/>
    <w:rsid w:val="00E76970"/>
    <w:rsid w:val="00E770BD"/>
    <w:rsid w:val="00E776C9"/>
    <w:rsid w:val="00E77901"/>
    <w:rsid w:val="00E77D09"/>
    <w:rsid w:val="00E802E3"/>
    <w:rsid w:val="00E8085C"/>
    <w:rsid w:val="00E80ADF"/>
    <w:rsid w:val="00E80ECE"/>
    <w:rsid w:val="00E80F1E"/>
    <w:rsid w:val="00E81DB4"/>
    <w:rsid w:val="00E825BD"/>
    <w:rsid w:val="00E827C0"/>
    <w:rsid w:val="00E827C7"/>
    <w:rsid w:val="00E8280C"/>
    <w:rsid w:val="00E82869"/>
    <w:rsid w:val="00E82CFE"/>
    <w:rsid w:val="00E8331B"/>
    <w:rsid w:val="00E83387"/>
    <w:rsid w:val="00E83468"/>
    <w:rsid w:val="00E83E45"/>
    <w:rsid w:val="00E83E4C"/>
    <w:rsid w:val="00E83F50"/>
    <w:rsid w:val="00E8458B"/>
    <w:rsid w:val="00E8470B"/>
    <w:rsid w:val="00E84B09"/>
    <w:rsid w:val="00E84D88"/>
    <w:rsid w:val="00E84EFA"/>
    <w:rsid w:val="00E84FE4"/>
    <w:rsid w:val="00E851C9"/>
    <w:rsid w:val="00E85515"/>
    <w:rsid w:val="00E85827"/>
    <w:rsid w:val="00E860C8"/>
    <w:rsid w:val="00E863D5"/>
    <w:rsid w:val="00E864C1"/>
    <w:rsid w:val="00E8664C"/>
    <w:rsid w:val="00E86883"/>
    <w:rsid w:val="00E86C43"/>
    <w:rsid w:val="00E86EA9"/>
    <w:rsid w:val="00E877C8"/>
    <w:rsid w:val="00E879A8"/>
    <w:rsid w:val="00E87CA2"/>
    <w:rsid w:val="00E903F2"/>
    <w:rsid w:val="00E905B5"/>
    <w:rsid w:val="00E907E1"/>
    <w:rsid w:val="00E909F6"/>
    <w:rsid w:val="00E90EB2"/>
    <w:rsid w:val="00E916BA"/>
    <w:rsid w:val="00E918EE"/>
    <w:rsid w:val="00E91933"/>
    <w:rsid w:val="00E91AB8"/>
    <w:rsid w:val="00E92079"/>
    <w:rsid w:val="00E92107"/>
    <w:rsid w:val="00E921FB"/>
    <w:rsid w:val="00E92645"/>
    <w:rsid w:val="00E926B8"/>
    <w:rsid w:val="00E9274F"/>
    <w:rsid w:val="00E928B2"/>
    <w:rsid w:val="00E928F9"/>
    <w:rsid w:val="00E92A81"/>
    <w:rsid w:val="00E92B27"/>
    <w:rsid w:val="00E93204"/>
    <w:rsid w:val="00E933B1"/>
    <w:rsid w:val="00E935EA"/>
    <w:rsid w:val="00E93948"/>
    <w:rsid w:val="00E93FE3"/>
    <w:rsid w:val="00E944CA"/>
    <w:rsid w:val="00E94837"/>
    <w:rsid w:val="00E94AE6"/>
    <w:rsid w:val="00E94E7B"/>
    <w:rsid w:val="00E95322"/>
    <w:rsid w:val="00E95BD0"/>
    <w:rsid w:val="00E95CE5"/>
    <w:rsid w:val="00E96324"/>
    <w:rsid w:val="00E96337"/>
    <w:rsid w:val="00E9641F"/>
    <w:rsid w:val="00E969B1"/>
    <w:rsid w:val="00E97074"/>
    <w:rsid w:val="00E97482"/>
    <w:rsid w:val="00E97541"/>
    <w:rsid w:val="00E975C3"/>
    <w:rsid w:val="00E976AC"/>
    <w:rsid w:val="00E97A6B"/>
    <w:rsid w:val="00E97EEE"/>
    <w:rsid w:val="00EA03FD"/>
    <w:rsid w:val="00EA070D"/>
    <w:rsid w:val="00EA075A"/>
    <w:rsid w:val="00EA096F"/>
    <w:rsid w:val="00EA0F15"/>
    <w:rsid w:val="00EA103D"/>
    <w:rsid w:val="00EA1410"/>
    <w:rsid w:val="00EA1848"/>
    <w:rsid w:val="00EA18EE"/>
    <w:rsid w:val="00EA1B45"/>
    <w:rsid w:val="00EA1FBA"/>
    <w:rsid w:val="00EA20FF"/>
    <w:rsid w:val="00EA241A"/>
    <w:rsid w:val="00EA25F7"/>
    <w:rsid w:val="00EA2BE5"/>
    <w:rsid w:val="00EA300D"/>
    <w:rsid w:val="00EA32D8"/>
    <w:rsid w:val="00EA38E3"/>
    <w:rsid w:val="00EA3932"/>
    <w:rsid w:val="00EA3ED0"/>
    <w:rsid w:val="00EA40C5"/>
    <w:rsid w:val="00EA4964"/>
    <w:rsid w:val="00EA4B33"/>
    <w:rsid w:val="00EA4C5F"/>
    <w:rsid w:val="00EA5012"/>
    <w:rsid w:val="00EA503B"/>
    <w:rsid w:val="00EA5204"/>
    <w:rsid w:val="00EA528B"/>
    <w:rsid w:val="00EA582B"/>
    <w:rsid w:val="00EA5852"/>
    <w:rsid w:val="00EA59BF"/>
    <w:rsid w:val="00EA5CE5"/>
    <w:rsid w:val="00EA5DB6"/>
    <w:rsid w:val="00EA5DD2"/>
    <w:rsid w:val="00EA6470"/>
    <w:rsid w:val="00EA6C7D"/>
    <w:rsid w:val="00EA6CCE"/>
    <w:rsid w:val="00EA6DF4"/>
    <w:rsid w:val="00EA6E37"/>
    <w:rsid w:val="00EA76CC"/>
    <w:rsid w:val="00EA79EE"/>
    <w:rsid w:val="00EA7B01"/>
    <w:rsid w:val="00EA7BEE"/>
    <w:rsid w:val="00EA7DF5"/>
    <w:rsid w:val="00EB0138"/>
    <w:rsid w:val="00EB0AAE"/>
    <w:rsid w:val="00EB0B76"/>
    <w:rsid w:val="00EB0BB7"/>
    <w:rsid w:val="00EB0E72"/>
    <w:rsid w:val="00EB1162"/>
    <w:rsid w:val="00EB12CF"/>
    <w:rsid w:val="00EB13A5"/>
    <w:rsid w:val="00EB141C"/>
    <w:rsid w:val="00EB15F1"/>
    <w:rsid w:val="00EB1907"/>
    <w:rsid w:val="00EB1B81"/>
    <w:rsid w:val="00EB1C3A"/>
    <w:rsid w:val="00EB275A"/>
    <w:rsid w:val="00EB2944"/>
    <w:rsid w:val="00EB2AB8"/>
    <w:rsid w:val="00EB2B26"/>
    <w:rsid w:val="00EB336E"/>
    <w:rsid w:val="00EB35CB"/>
    <w:rsid w:val="00EB3844"/>
    <w:rsid w:val="00EB3D3F"/>
    <w:rsid w:val="00EB43A8"/>
    <w:rsid w:val="00EB494E"/>
    <w:rsid w:val="00EB4AA0"/>
    <w:rsid w:val="00EB4FD7"/>
    <w:rsid w:val="00EB5685"/>
    <w:rsid w:val="00EB56BB"/>
    <w:rsid w:val="00EB580A"/>
    <w:rsid w:val="00EB6552"/>
    <w:rsid w:val="00EB6B7C"/>
    <w:rsid w:val="00EB72BD"/>
    <w:rsid w:val="00EC04A0"/>
    <w:rsid w:val="00EC0779"/>
    <w:rsid w:val="00EC1349"/>
    <w:rsid w:val="00EC1599"/>
    <w:rsid w:val="00EC18E6"/>
    <w:rsid w:val="00EC1984"/>
    <w:rsid w:val="00EC1BA4"/>
    <w:rsid w:val="00EC234C"/>
    <w:rsid w:val="00EC2A2C"/>
    <w:rsid w:val="00EC2DBE"/>
    <w:rsid w:val="00EC3668"/>
    <w:rsid w:val="00EC39F4"/>
    <w:rsid w:val="00EC3B7A"/>
    <w:rsid w:val="00EC4571"/>
    <w:rsid w:val="00EC47BC"/>
    <w:rsid w:val="00EC49F4"/>
    <w:rsid w:val="00EC4E77"/>
    <w:rsid w:val="00EC59F2"/>
    <w:rsid w:val="00EC5CB0"/>
    <w:rsid w:val="00EC5EBB"/>
    <w:rsid w:val="00EC5FB7"/>
    <w:rsid w:val="00EC6317"/>
    <w:rsid w:val="00EC6BE7"/>
    <w:rsid w:val="00EC6D45"/>
    <w:rsid w:val="00EC6FFD"/>
    <w:rsid w:val="00ED007C"/>
    <w:rsid w:val="00ED0381"/>
    <w:rsid w:val="00ED0720"/>
    <w:rsid w:val="00ED0766"/>
    <w:rsid w:val="00ED07CC"/>
    <w:rsid w:val="00ED0959"/>
    <w:rsid w:val="00ED09ED"/>
    <w:rsid w:val="00ED0A4A"/>
    <w:rsid w:val="00ED144E"/>
    <w:rsid w:val="00ED1A18"/>
    <w:rsid w:val="00ED1AF8"/>
    <w:rsid w:val="00ED1E5C"/>
    <w:rsid w:val="00ED20D5"/>
    <w:rsid w:val="00ED2179"/>
    <w:rsid w:val="00ED3211"/>
    <w:rsid w:val="00ED3529"/>
    <w:rsid w:val="00ED362C"/>
    <w:rsid w:val="00ED3649"/>
    <w:rsid w:val="00ED400B"/>
    <w:rsid w:val="00ED42B3"/>
    <w:rsid w:val="00ED4719"/>
    <w:rsid w:val="00ED47A5"/>
    <w:rsid w:val="00ED48E5"/>
    <w:rsid w:val="00ED4D17"/>
    <w:rsid w:val="00ED502F"/>
    <w:rsid w:val="00ED5914"/>
    <w:rsid w:val="00ED5EC8"/>
    <w:rsid w:val="00ED5F45"/>
    <w:rsid w:val="00ED63C9"/>
    <w:rsid w:val="00ED6488"/>
    <w:rsid w:val="00ED667E"/>
    <w:rsid w:val="00ED6DB3"/>
    <w:rsid w:val="00ED6E5C"/>
    <w:rsid w:val="00ED6E9E"/>
    <w:rsid w:val="00ED7C94"/>
    <w:rsid w:val="00ED7DBA"/>
    <w:rsid w:val="00ED7ED8"/>
    <w:rsid w:val="00ED7FA3"/>
    <w:rsid w:val="00EE05F4"/>
    <w:rsid w:val="00EE0C43"/>
    <w:rsid w:val="00EE0C9B"/>
    <w:rsid w:val="00EE0DF8"/>
    <w:rsid w:val="00EE0F8B"/>
    <w:rsid w:val="00EE148C"/>
    <w:rsid w:val="00EE1600"/>
    <w:rsid w:val="00EE1640"/>
    <w:rsid w:val="00EE1A29"/>
    <w:rsid w:val="00EE1AC8"/>
    <w:rsid w:val="00EE2503"/>
    <w:rsid w:val="00EE30C3"/>
    <w:rsid w:val="00EE30E2"/>
    <w:rsid w:val="00EE32E6"/>
    <w:rsid w:val="00EE3323"/>
    <w:rsid w:val="00EE335F"/>
    <w:rsid w:val="00EE34A4"/>
    <w:rsid w:val="00EE37EA"/>
    <w:rsid w:val="00EE4839"/>
    <w:rsid w:val="00EE4868"/>
    <w:rsid w:val="00EE4D6C"/>
    <w:rsid w:val="00EE50FC"/>
    <w:rsid w:val="00EE5137"/>
    <w:rsid w:val="00EE51DC"/>
    <w:rsid w:val="00EE586A"/>
    <w:rsid w:val="00EE5A91"/>
    <w:rsid w:val="00EE5D80"/>
    <w:rsid w:val="00EE623D"/>
    <w:rsid w:val="00EE6A08"/>
    <w:rsid w:val="00EE6C9A"/>
    <w:rsid w:val="00EE6CD3"/>
    <w:rsid w:val="00EE6F47"/>
    <w:rsid w:val="00EE713A"/>
    <w:rsid w:val="00EE72E9"/>
    <w:rsid w:val="00EE79EE"/>
    <w:rsid w:val="00EF01CA"/>
    <w:rsid w:val="00EF043E"/>
    <w:rsid w:val="00EF163E"/>
    <w:rsid w:val="00EF2052"/>
    <w:rsid w:val="00EF20D7"/>
    <w:rsid w:val="00EF20DA"/>
    <w:rsid w:val="00EF2CA1"/>
    <w:rsid w:val="00EF2D1A"/>
    <w:rsid w:val="00EF334A"/>
    <w:rsid w:val="00EF3419"/>
    <w:rsid w:val="00EF3EC9"/>
    <w:rsid w:val="00EF3FFA"/>
    <w:rsid w:val="00EF43D2"/>
    <w:rsid w:val="00EF4632"/>
    <w:rsid w:val="00EF47D4"/>
    <w:rsid w:val="00EF4C88"/>
    <w:rsid w:val="00EF4C8A"/>
    <w:rsid w:val="00EF4D11"/>
    <w:rsid w:val="00EF4D14"/>
    <w:rsid w:val="00EF5870"/>
    <w:rsid w:val="00EF5876"/>
    <w:rsid w:val="00EF593A"/>
    <w:rsid w:val="00EF5EF1"/>
    <w:rsid w:val="00EF5F4D"/>
    <w:rsid w:val="00EF5F7D"/>
    <w:rsid w:val="00EF615B"/>
    <w:rsid w:val="00EF6210"/>
    <w:rsid w:val="00EF6530"/>
    <w:rsid w:val="00EF686A"/>
    <w:rsid w:val="00EF6DAE"/>
    <w:rsid w:val="00EF6E85"/>
    <w:rsid w:val="00EF72B2"/>
    <w:rsid w:val="00EF76EF"/>
    <w:rsid w:val="00EF7A9D"/>
    <w:rsid w:val="00EF7B90"/>
    <w:rsid w:val="00F0019B"/>
    <w:rsid w:val="00F002D7"/>
    <w:rsid w:val="00F0049A"/>
    <w:rsid w:val="00F00560"/>
    <w:rsid w:val="00F00F9E"/>
    <w:rsid w:val="00F0119C"/>
    <w:rsid w:val="00F012E7"/>
    <w:rsid w:val="00F0136B"/>
    <w:rsid w:val="00F014A8"/>
    <w:rsid w:val="00F015FA"/>
    <w:rsid w:val="00F01695"/>
    <w:rsid w:val="00F016BC"/>
    <w:rsid w:val="00F018E8"/>
    <w:rsid w:val="00F0232D"/>
    <w:rsid w:val="00F02457"/>
    <w:rsid w:val="00F024B3"/>
    <w:rsid w:val="00F025C6"/>
    <w:rsid w:val="00F02734"/>
    <w:rsid w:val="00F027E1"/>
    <w:rsid w:val="00F028DD"/>
    <w:rsid w:val="00F02950"/>
    <w:rsid w:val="00F02BDB"/>
    <w:rsid w:val="00F02FB7"/>
    <w:rsid w:val="00F03215"/>
    <w:rsid w:val="00F042CB"/>
    <w:rsid w:val="00F0441B"/>
    <w:rsid w:val="00F0519E"/>
    <w:rsid w:val="00F05352"/>
    <w:rsid w:val="00F0563D"/>
    <w:rsid w:val="00F05A8D"/>
    <w:rsid w:val="00F05CB5"/>
    <w:rsid w:val="00F068ED"/>
    <w:rsid w:val="00F06C08"/>
    <w:rsid w:val="00F06CB2"/>
    <w:rsid w:val="00F06DB4"/>
    <w:rsid w:val="00F06F5C"/>
    <w:rsid w:val="00F070FE"/>
    <w:rsid w:val="00F0711A"/>
    <w:rsid w:val="00F07623"/>
    <w:rsid w:val="00F07978"/>
    <w:rsid w:val="00F07A81"/>
    <w:rsid w:val="00F07E89"/>
    <w:rsid w:val="00F101A6"/>
    <w:rsid w:val="00F102D3"/>
    <w:rsid w:val="00F10EE4"/>
    <w:rsid w:val="00F10FA5"/>
    <w:rsid w:val="00F11165"/>
    <w:rsid w:val="00F11471"/>
    <w:rsid w:val="00F117B6"/>
    <w:rsid w:val="00F11801"/>
    <w:rsid w:val="00F11A9A"/>
    <w:rsid w:val="00F11B18"/>
    <w:rsid w:val="00F11BAC"/>
    <w:rsid w:val="00F11D25"/>
    <w:rsid w:val="00F11FA2"/>
    <w:rsid w:val="00F1232B"/>
    <w:rsid w:val="00F123C9"/>
    <w:rsid w:val="00F12AD7"/>
    <w:rsid w:val="00F13022"/>
    <w:rsid w:val="00F132A6"/>
    <w:rsid w:val="00F1361F"/>
    <w:rsid w:val="00F13E2B"/>
    <w:rsid w:val="00F13FA6"/>
    <w:rsid w:val="00F1430D"/>
    <w:rsid w:val="00F158AD"/>
    <w:rsid w:val="00F15F63"/>
    <w:rsid w:val="00F161C3"/>
    <w:rsid w:val="00F1650A"/>
    <w:rsid w:val="00F167D4"/>
    <w:rsid w:val="00F16CAB"/>
    <w:rsid w:val="00F1788A"/>
    <w:rsid w:val="00F17AA6"/>
    <w:rsid w:val="00F17D75"/>
    <w:rsid w:val="00F17E9C"/>
    <w:rsid w:val="00F17F33"/>
    <w:rsid w:val="00F20849"/>
    <w:rsid w:val="00F20D53"/>
    <w:rsid w:val="00F211C1"/>
    <w:rsid w:val="00F21C0C"/>
    <w:rsid w:val="00F2217D"/>
    <w:rsid w:val="00F2223E"/>
    <w:rsid w:val="00F223C4"/>
    <w:rsid w:val="00F22466"/>
    <w:rsid w:val="00F227BE"/>
    <w:rsid w:val="00F22B25"/>
    <w:rsid w:val="00F22DD8"/>
    <w:rsid w:val="00F22E6A"/>
    <w:rsid w:val="00F23C71"/>
    <w:rsid w:val="00F23E4E"/>
    <w:rsid w:val="00F23F2C"/>
    <w:rsid w:val="00F243FA"/>
    <w:rsid w:val="00F24536"/>
    <w:rsid w:val="00F24648"/>
    <w:rsid w:val="00F247BE"/>
    <w:rsid w:val="00F249F8"/>
    <w:rsid w:val="00F25584"/>
    <w:rsid w:val="00F26431"/>
    <w:rsid w:val="00F269E9"/>
    <w:rsid w:val="00F26B95"/>
    <w:rsid w:val="00F270B0"/>
    <w:rsid w:val="00F270EA"/>
    <w:rsid w:val="00F2711B"/>
    <w:rsid w:val="00F27B01"/>
    <w:rsid w:val="00F27FAA"/>
    <w:rsid w:val="00F30280"/>
    <w:rsid w:val="00F3087E"/>
    <w:rsid w:val="00F3122A"/>
    <w:rsid w:val="00F31293"/>
    <w:rsid w:val="00F3136B"/>
    <w:rsid w:val="00F314F1"/>
    <w:rsid w:val="00F3197E"/>
    <w:rsid w:val="00F31C53"/>
    <w:rsid w:val="00F31E8E"/>
    <w:rsid w:val="00F3238E"/>
    <w:rsid w:val="00F3272F"/>
    <w:rsid w:val="00F327EA"/>
    <w:rsid w:val="00F32968"/>
    <w:rsid w:val="00F32C83"/>
    <w:rsid w:val="00F336E7"/>
    <w:rsid w:val="00F338EA"/>
    <w:rsid w:val="00F339B1"/>
    <w:rsid w:val="00F3402F"/>
    <w:rsid w:val="00F3403C"/>
    <w:rsid w:val="00F3415E"/>
    <w:rsid w:val="00F34179"/>
    <w:rsid w:val="00F34716"/>
    <w:rsid w:val="00F34B31"/>
    <w:rsid w:val="00F3565C"/>
    <w:rsid w:val="00F3567F"/>
    <w:rsid w:val="00F358AA"/>
    <w:rsid w:val="00F359F2"/>
    <w:rsid w:val="00F35A7D"/>
    <w:rsid w:val="00F35AD7"/>
    <w:rsid w:val="00F35B47"/>
    <w:rsid w:val="00F35D57"/>
    <w:rsid w:val="00F36A35"/>
    <w:rsid w:val="00F36D88"/>
    <w:rsid w:val="00F36DDA"/>
    <w:rsid w:val="00F36E23"/>
    <w:rsid w:val="00F36E59"/>
    <w:rsid w:val="00F37275"/>
    <w:rsid w:val="00F377FF"/>
    <w:rsid w:val="00F37F6B"/>
    <w:rsid w:val="00F40022"/>
    <w:rsid w:val="00F403AA"/>
    <w:rsid w:val="00F40960"/>
    <w:rsid w:val="00F40C1D"/>
    <w:rsid w:val="00F40E00"/>
    <w:rsid w:val="00F40EED"/>
    <w:rsid w:val="00F40F85"/>
    <w:rsid w:val="00F4118B"/>
    <w:rsid w:val="00F415B6"/>
    <w:rsid w:val="00F415D4"/>
    <w:rsid w:val="00F4192A"/>
    <w:rsid w:val="00F419C0"/>
    <w:rsid w:val="00F41A42"/>
    <w:rsid w:val="00F420B2"/>
    <w:rsid w:val="00F42160"/>
    <w:rsid w:val="00F422E0"/>
    <w:rsid w:val="00F423E4"/>
    <w:rsid w:val="00F4277D"/>
    <w:rsid w:val="00F42842"/>
    <w:rsid w:val="00F42D8C"/>
    <w:rsid w:val="00F42F10"/>
    <w:rsid w:val="00F43453"/>
    <w:rsid w:val="00F43902"/>
    <w:rsid w:val="00F43A14"/>
    <w:rsid w:val="00F43BC8"/>
    <w:rsid w:val="00F4468F"/>
    <w:rsid w:val="00F44B9A"/>
    <w:rsid w:val="00F44BF1"/>
    <w:rsid w:val="00F45B60"/>
    <w:rsid w:val="00F46241"/>
    <w:rsid w:val="00F46A51"/>
    <w:rsid w:val="00F46D2B"/>
    <w:rsid w:val="00F46E40"/>
    <w:rsid w:val="00F47052"/>
    <w:rsid w:val="00F4713C"/>
    <w:rsid w:val="00F47311"/>
    <w:rsid w:val="00F4760A"/>
    <w:rsid w:val="00F47CE4"/>
    <w:rsid w:val="00F47E10"/>
    <w:rsid w:val="00F5017D"/>
    <w:rsid w:val="00F50189"/>
    <w:rsid w:val="00F504E1"/>
    <w:rsid w:val="00F505A5"/>
    <w:rsid w:val="00F50756"/>
    <w:rsid w:val="00F508E3"/>
    <w:rsid w:val="00F5097E"/>
    <w:rsid w:val="00F50C5A"/>
    <w:rsid w:val="00F50CD7"/>
    <w:rsid w:val="00F51648"/>
    <w:rsid w:val="00F51A0E"/>
    <w:rsid w:val="00F51FC2"/>
    <w:rsid w:val="00F52182"/>
    <w:rsid w:val="00F52469"/>
    <w:rsid w:val="00F526C2"/>
    <w:rsid w:val="00F52876"/>
    <w:rsid w:val="00F52B41"/>
    <w:rsid w:val="00F52B8E"/>
    <w:rsid w:val="00F53198"/>
    <w:rsid w:val="00F53219"/>
    <w:rsid w:val="00F534F5"/>
    <w:rsid w:val="00F537B6"/>
    <w:rsid w:val="00F539EA"/>
    <w:rsid w:val="00F53BE0"/>
    <w:rsid w:val="00F53CFD"/>
    <w:rsid w:val="00F541C7"/>
    <w:rsid w:val="00F544AE"/>
    <w:rsid w:val="00F54AF5"/>
    <w:rsid w:val="00F55236"/>
    <w:rsid w:val="00F557E3"/>
    <w:rsid w:val="00F55896"/>
    <w:rsid w:val="00F55EC4"/>
    <w:rsid w:val="00F564B2"/>
    <w:rsid w:val="00F567C1"/>
    <w:rsid w:val="00F5693F"/>
    <w:rsid w:val="00F56AF7"/>
    <w:rsid w:val="00F56AF9"/>
    <w:rsid w:val="00F56D21"/>
    <w:rsid w:val="00F56EA3"/>
    <w:rsid w:val="00F571F2"/>
    <w:rsid w:val="00F576F8"/>
    <w:rsid w:val="00F5778A"/>
    <w:rsid w:val="00F57D07"/>
    <w:rsid w:val="00F57FAF"/>
    <w:rsid w:val="00F600DF"/>
    <w:rsid w:val="00F6039A"/>
    <w:rsid w:val="00F609E8"/>
    <w:rsid w:val="00F60CFE"/>
    <w:rsid w:val="00F61020"/>
    <w:rsid w:val="00F61268"/>
    <w:rsid w:val="00F61296"/>
    <w:rsid w:val="00F6152F"/>
    <w:rsid w:val="00F6173F"/>
    <w:rsid w:val="00F61888"/>
    <w:rsid w:val="00F6191B"/>
    <w:rsid w:val="00F61E78"/>
    <w:rsid w:val="00F62096"/>
    <w:rsid w:val="00F622A1"/>
    <w:rsid w:val="00F62534"/>
    <w:rsid w:val="00F62BC8"/>
    <w:rsid w:val="00F62FE8"/>
    <w:rsid w:val="00F634B1"/>
    <w:rsid w:val="00F635C5"/>
    <w:rsid w:val="00F636D4"/>
    <w:rsid w:val="00F63768"/>
    <w:rsid w:val="00F638C9"/>
    <w:rsid w:val="00F63EC1"/>
    <w:rsid w:val="00F642A5"/>
    <w:rsid w:val="00F642CE"/>
    <w:rsid w:val="00F6452C"/>
    <w:rsid w:val="00F645D2"/>
    <w:rsid w:val="00F64CCE"/>
    <w:rsid w:val="00F64F96"/>
    <w:rsid w:val="00F6542A"/>
    <w:rsid w:val="00F654F9"/>
    <w:rsid w:val="00F65870"/>
    <w:rsid w:val="00F658DE"/>
    <w:rsid w:val="00F661CB"/>
    <w:rsid w:val="00F66268"/>
    <w:rsid w:val="00F66297"/>
    <w:rsid w:val="00F6645C"/>
    <w:rsid w:val="00F66D59"/>
    <w:rsid w:val="00F66F2E"/>
    <w:rsid w:val="00F672CB"/>
    <w:rsid w:val="00F67396"/>
    <w:rsid w:val="00F67902"/>
    <w:rsid w:val="00F6791A"/>
    <w:rsid w:val="00F67A46"/>
    <w:rsid w:val="00F702AC"/>
    <w:rsid w:val="00F70416"/>
    <w:rsid w:val="00F7088A"/>
    <w:rsid w:val="00F710DB"/>
    <w:rsid w:val="00F711E0"/>
    <w:rsid w:val="00F71A3B"/>
    <w:rsid w:val="00F71CC1"/>
    <w:rsid w:val="00F72AFF"/>
    <w:rsid w:val="00F73368"/>
    <w:rsid w:val="00F734B9"/>
    <w:rsid w:val="00F736E3"/>
    <w:rsid w:val="00F7379F"/>
    <w:rsid w:val="00F73941"/>
    <w:rsid w:val="00F74453"/>
    <w:rsid w:val="00F74656"/>
    <w:rsid w:val="00F74681"/>
    <w:rsid w:val="00F76362"/>
    <w:rsid w:val="00F7670C"/>
    <w:rsid w:val="00F767E8"/>
    <w:rsid w:val="00F768B7"/>
    <w:rsid w:val="00F76ED4"/>
    <w:rsid w:val="00F77204"/>
    <w:rsid w:val="00F7740F"/>
    <w:rsid w:val="00F77624"/>
    <w:rsid w:val="00F7777B"/>
    <w:rsid w:val="00F77A96"/>
    <w:rsid w:val="00F77B02"/>
    <w:rsid w:val="00F80023"/>
    <w:rsid w:val="00F803C7"/>
    <w:rsid w:val="00F80FD4"/>
    <w:rsid w:val="00F81E27"/>
    <w:rsid w:val="00F8236F"/>
    <w:rsid w:val="00F82816"/>
    <w:rsid w:val="00F829F0"/>
    <w:rsid w:val="00F82A7C"/>
    <w:rsid w:val="00F836D6"/>
    <w:rsid w:val="00F836F1"/>
    <w:rsid w:val="00F84897"/>
    <w:rsid w:val="00F84C73"/>
    <w:rsid w:val="00F84F3D"/>
    <w:rsid w:val="00F85212"/>
    <w:rsid w:val="00F854A5"/>
    <w:rsid w:val="00F85B74"/>
    <w:rsid w:val="00F85D64"/>
    <w:rsid w:val="00F8653D"/>
    <w:rsid w:val="00F86724"/>
    <w:rsid w:val="00F868A9"/>
    <w:rsid w:val="00F86A3F"/>
    <w:rsid w:val="00F87036"/>
    <w:rsid w:val="00F870FD"/>
    <w:rsid w:val="00F87464"/>
    <w:rsid w:val="00F877E8"/>
    <w:rsid w:val="00F87836"/>
    <w:rsid w:val="00F8787A"/>
    <w:rsid w:val="00F87F4D"/>
    <w:rsid w:val="00F90409"/>
    <w:rsid w:val="00F906F7"/>
    <w:rsid w:val="00F907A5"/>
    <w:rsid w:val="00F90829"/>
    <w:rsid w:val="00F908C6"/>
    <w:rsid w:val="00F909CC"/>
    <w:rsid w:val="00F90C56"/>
    <w:rsid w:val="00F90D61"/>
    <w:rsid w:val="00F90DDD"/>
    <w:rsid w:val="00F91003"/>
    <w:rsid w:val="00F91255"/>
    <w:rsid w:val="00F91297"/>
    <w:rsid w:val="00F9133B"/>
    <w:rsid w:val="00F915A1"/>
    <w:rsid w:val="00F9162C"/>
    <w:rsid w:val="00F91A34"/>
    <w:rsid w:val="00F91E57"/>
    <w:rsid w:val="00F9220C"/>
    <w:rsid w:val="00F923BD"/>
    <w:rsid w:val="00F9270F"/>
    <w:rsid w:val="00F93031"/>
    <w:rsid w:val="00F93393"/>
    <w:rsid w:val="00F9342A"/>
    <w:rsid w:val="00F934CC"/>
    <w:rsid w:val="00F9362B"/>
    <w:rsid w:val="00F93805"/>
    <w:rsid w:val="00F93810"/>
    <w:rsid w:val="00F9383E"/>
    <w:rsid w:val="00F939F2"/>
    <w:rsid w:val="00F945E7"/>
    <w:rsid w:val="00F951AA"/>
    <w:rsid w:val="00F95CA6"/>
    <w:rsid w:val="00F95D24"/>
    <w:rsid w:val="00F95FC6"/>
    <w:rsid w:val="00F9636F"/>
    <w:rsid w:val="00F9665F"/>
    <w:rsid w:val="00F969FE"/>
    <w:rsid w:val="00F96B92"/>
    <w:rsid w:val="00F971BD"/>
    <w:rsid w:val="00F971CA"/>
    <w:rsid w:val="00F9761D"/>
    <w:rsid w:val="00F97730"/>
    <w:rsid w:val="00FA07BC"/>
    <w:rsid w:val="00FA0D03"/>
    <w:rsid w:val="00FA0E37"/>
    <w:rsid w:val="00FA0F94"/>
    <w:rsid w:val="00FA0FAC"/>
    <w:rsid w:val="00FA1181"/>
    <w:rsid w:val="00FA130E"/>
    <w:rsid w:val="00FA1AAC"/>
    <w:rsid w:val="00FA1C4F"/>
    <w:rsid w:val="00FA1C78"/>
    <w:rsid w:val="00FA1F01"/>
    <w:rsid w:val="00FA1F5C"/>
    <w:rsid w:val="00FA2341"/>
    <w:rsid w:val="00FA2880"/>
    <w:rsid w:val="00FA314C"/>
    <w:rsid w:val="00FA337B"/>
    <w:rsid w:val="00FA343A"/>
    <w:rsid w:val="00FA35D1"/>
    <w:rsid w:val="00FA3F41"/>
    <w:rsid w:val="00FA3F94"/>
    <w:rsid w:val="00FA4730"/>
    <w:rsid w:val="00FA47CC"/>
    <w:rsid w:val="00FA4BAB"/>
    <w:rsid w:val="00FA4D88"/>
    <w:rsid w:val="00FA4F8B"/>
    <w:rsid w:val="00FA5553"/>
    <w:rsid w:val="00FA5775"/>
    <w:rsid w:val="00FA5DB7"/>
    <w:rsid w:val="00FA65BC"/>
    <w:rsid w:val="00FA6986"/>
    <w:rsid w:val="00FA6C69"/>
    <w:rsid w:val="00FA728B"/>
    <w:rsid w:val="00FA747A"/>
    <w:rsid w:val="00FA7D92"/>
    <w:rsid w:val="00FA7EB7"/>
    <w:rsid w:val="00FB0101"/>
    <w:rsid w:val="00FB0245"/>
    <w:rsid w:val="00FB036B"/>
    <w:rsid w:val="00FB052D"/>
    <w:rsid w:val="00FB06C6"/>
    <w:rsid w:val="00FB0708"/>
    <w:rsid w:val="00FB079F"/>
    <w:rsid w:val="00FB0848"/>
    <w:rsid w:val="00FB08ED"/>
    <w:rsid w:val="00FB0AA2"/>
    <w:rsid w:val="00FB0CE0"/>
    <w:rsid w:val="00FB125A"/>
    <w:rsid w:val="00FB1694"/>
    <w:rsid w:val="00FB1B58"/>
    <w:rsid w:val="00FB1E4E"/>
    <w:rsid w:val="00FB25D8"/>
    <w:rsid w:val="00FB2637"/>
    <w:rsid w:val="00FB29F9"/>
    <w:rsid w:val="00FB2A2D"/>
    <w:rsid w:val="00FB30B4"/>
    <w:rsid w:val="00FB32A4"/>
    <w:rsid w:val="00FB32DE"/>
    <w:rsid w:val="00FB3BE5"/>
    <w:rsid w:val="00FB3C3A"/>
    <w:rsid w:val="00FB40A1"/>
    <w:rsid w:val="00FB4440"/>
    <w:rsid w:val="00FB44E9"/>
    <w:rsid w:val="00FB4758"/>
    <w:rsid w:val="00FB53C6"/>
    <w:rsid w:val="00FB5894"/>
    <w:rsid w:val="00FB594D"/>
    <w:rsid w:val="00FB5CEF"/>
    <w:rsid w:val="00FB5E6B"/>
    <w:rsid w:val="00FB60E3"/>
    <w:rsid w:val="00FB689A"/>
    <w:rsid w:val="00FB6B13"/>
    <w:rsid w:val="00FB6D50"/>
    <w:rsid w:val="00FB7069"/>
    <w:rsid w:val="00FB77A0"/>
    <w:rsid w:val="00FB7B1F"/>
    <w:rsid w:val="00FB7E26"/>
    <w:rsid w:val="00FB7EA9"/>
    <w:rsid w:val="00FB7FBC"/>
    <w:rsid w:val="00FC0234"/>
    <w:rsid w:val="00FC04BC"/>
    <w:rsid w:val="00FC04E4"/>
    <w:rsid w:val="00FC065C"/>
    <w:rsid w:val="00FC1460"/>
    <w:rsid w:val="00FC15F4"/>
    <w:rsid w:val="00FC1695"/>
    <w:rsid w:val="00FC19B4"/>
    <w:rsid w:val="00FC1A8A"/>
    <w:rsid w:val="00FC1D01"/>
    <w:rsid w:val="00FC29D1"/>
    <w:rsid w:val="00FC2A81"/>
    <w:rsid w:val="00FC2D90"/>
    <w:rsid w:val="00FC3049"/>
    <w:rsid w:val="00FC3A15"/>
    <w:rsid w:val="00FC3E2A"/>
    <w:rsid w:val="00FC3E44"/>
    <w:rsid w:val="00FC3E4C"/>
    <w:rsid w:val="00FC49BB"/>
    <w:rsid w:val="00FC4EFD"/>
    <w:rsid w:val="00FC4F14"/>
    <w:rsid w:val="00FC5EA0"/>
    <w:rsid w:val="00FC660B"/>
    <w:rsid w:val="00FC676B"/>
    <w:rsid w:val="00FC6965"/>
    <w:rsid w:val="00FC6CF5"/>
    <w:rsid w:val="00FC6F15"/>
    <w:rsid w:val="00FC6FA8"/>
    <w:rsid w:val="00FC704C"/>
    <w:rsid w:val="00FC7114"/>
    <w:rsid w:val="00FC7273"/>
    <w:rsid w:val="00FC7296"/>
    <w:rsid w:val="00FC74A4"/>
    <w:rsid w:val="00FC79AE"/>
    <w:rsid w:val="00FC7BE9"/>
    <w:rsid w:val="00FC7F25"/>
    <w:rsid w:val="00FD025D"/>
    <w:rsid w:val="00FD042F"/>
    <w:rsid w:val="00FD04E6"/>
    <w:rsid w:val="00FD0BBD"/>
    <w:rsid w:val="00FD0FA2"/>
    <w:rsid w:val="00FD1A1D"/>
    <w:rsid w:val="00FD1D52"/>
    <w:rsid w:val="00FD2459"/>
    <w:rsid w:val="00FD272F"/>
    <w:rsid w:val="00FD27AE"/>
    <w:rsid w:val="00FD2C97"/>
    <w:rsid w:val="00FD314C"/>
    <w:rsid w:val="00FD3168"/>
    <w:rsid w:val="00FD32DD"/>
    <w:rsid w:val="00FD38BF"/>
    <w:rsid w:val="00FD3BAC"/>
    <w:rsid w:val="00FD3CEB"/>
    <w:rsid w:val="00FD3DF3"/>
    <w:rsid w:val="00FD3F76"/>
    <w:rsid w:val="00FD4087"/>
    <w:rsid w:val="00FD44E4"/>
    <w:rsid w:val="00FD4561"/>
    <w:rsid w:val="00FD4926"/>
    <w:rsid w:val="00FD5129"/>
    <w:rsid w:val="00FD521B"/>
    <w:rsid w:val="00FD52A4"/>
    <w:rsid w:val="00FD55AE"/>
    <w:rsid w:val="00FD5878"/>
    <w:rsid w:val="00FD58E9"/>
    <w:rsid w:val="00FD5A28"/>
    <w:rsid w:val="00FD5B11"/>
    <w:rsid w:val="00FD5CEC"/>
    <w:rsid w:val="00FD5DC1"/>
    <w:rsid w:val="00FD60AB"/>
    <w:rsid w:val="00FD616B"/>
    <w:rsid w:val="00FD655F"/>
    <w:rsid w:val="00FD65F4"/>
    <w:rsid w:val="00FD69FE"/>
    <w:rsid w:val="00FD7899"/>
    <w:rsid w:val="00FD7A10"/>
    <w:rsid w:val="00FD7AD2"/>
    <w:rsid w:val="00FD7EA5"/>
    <w:rsid w:val="00FE006F"/>
    <w:rsid w:val="00FE01F6"/>
    <w:rsid w:val="00FE05A0"/>
    <w:rsid w:val="00FE0D32"/>
    <w:rsid w:val="00FE10D1"/>
    <w:rsid w:val="00FE14FC"/>
    <w:rsid w:val="00FE1824"/>
    <w:rsid w:val="00FE18EE"/>
    <w:rsid w:val="00FE1B5D"/>
    <w:rsid w:val="00FE1D8D"/>
    <w:rsid w:val="00FE367F"/>
    <w:rsid w:val="00FE38A0"/>
    <w:rsid w:val="00FE3A0F"/>
    <w:rsid w:val="00FE3CC3"/>
    <w:rsid w:val="00FE3D71"/>
    <w:rsid w:val="00FE3FAF"/>
    <w:rsid w:val="00FE40CB"/>
    <w:rsid w:val="00FE43B7"/>
    <w:rsid w:val="00FE4682"/>
    <w:rsid w:val="00FE4810"/>
    <w:rsid w:val="00FE4BB5"/>
    <w:rsid w:val="00FE4DD5"/>
    <w:rsid w:val="00FE4E35"/>
    <w:rsid w:val="00FE5521"/>
    <w:rsid w:val="00FE55C2"/>
    <w:rsid w:val="00FE5799"/>
    <w:rsid w:val="00FE5B83"/>
    <w:rsid w:val="00FE5F3B"/>
    <w:rsid w:val="00FE61A9"/>
    <w:rsid w:val="00FE6489"/>
    <w:rsid w:val="00FE6774"/>
    <w:rsid w:val="00FE6785"/>
    <w:rsid w:val="00FE7DD2"/>
    <w:rsid w:val="00FE7E2E"/>
    <w:rsid w:val="00FF01B6"/>
    <w:rsid w:val="00FF03E9"/>
    <w:rsid w:val="00FF06F4"/>
    <w:rsid w:val="00FF072C"/>
    <w:rsid w:val="00FF0B23"/>
    <w:rsid w:val="00FF0C91"/>
    <w:rsid w:val="00FF121C"/>
    <w:rsid w:val="00FF1AD0"/>
    <w:rsid w:val="00FF27FC"/>
    <w:rsid w:val="00FF29DC"/>
    <w:rsid w:val="00FF2B85"/>
    <w:rsid w:val="00FF2BD2"/>
    <w:rsid w:val="00FF32E6"/>
    <w:rsid w:val="00FF340D"/>
    <w:rsid w:val="00FF355E"/>
    <w:rsid w:val="00FF3663"/>
    <w:rsid w:val="00FF3B44"/>
    <w:rsid w:val="00FF48FB"/>
    <w:rsid w:val="00FF4FA6"/>
    <w:rsid w:val="00FF4FE8"/>
    <w:rsid w:val="00FF539B"/>
    <w:rsid w:val="00FF5741"/>
    <w:rsid w:val="00FF58F8"/>
    <w:rsid w:val="00FF5CE6"/>
    <w:rsid w:val="00FF5E92"/>
    <w:rsid w:val="00FF6B85"/>
    <w:rsid w:val="00FF6DE8"/>
    <w:rsid w:val="00FF6F5C"/>
    <w:rsid w:val="00FF7120"/>
    <w:rsid w:val="00FF7458"/>
    <w:rsid w:val="00FF7828"/>
    <w:rsid w:val="00FF7B41"/>
    <w:rsid w:val="00FF7D62"/>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5777" strokecolor="red">
      <v:stroke dashstyle="1 1" color="red" weight="1.25pt"/>
    </o:shapedefaults>
    <o:shapelayout v:ext="edit">
      <o:idmap v:ext="edit" data="1"/>
    </o:shapelayout>
  </w:shapeDefaults>
  <w:decimalSymbol w:val="."/>
  <w:listSeparator w:val=","/>
  <w14:docId w14:val="52C9BA63"/>
  <w15:chartTrackingRefBased/>
  <w15:docId w15:val="{E8364124-9868-4B56-BACD-93290957E7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7">
    <w:lsdException w:name="Normal" w:uiPriority="0"/>
    <w:lsdException w:name="heading 1" w:uiPriority="1" w:qFormat="1"/>
    <w:lsdException w:name="heading 2" w:uiPriority="1" w:qFormat="1"/>
    <w:lsdException w:name="heading 3" w:uiPriority="9" w:qFormat="1"/>
    <w:lsdException w:name="heading 4" w:uiPriority="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98" w:unhideWhenUsed="1"/>
    <w:lsdException w:name="footer" w:semiHidden="1" w:uiPriority="98"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semiHidden="1" w:uiPriority="34" w:qFormat="1"/>
    <w:lsdException w:name="Quote" w:semiHidden="1" w:uiPriority="73" w:qFormat="1"/>
    <w:lsdException w:name="Intense Quote" w:semiHidden="1"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1" w:uiPriority="65" w:qFormat="1"/>
    <w:lsdException w:name="Intense Emphasis" w:semiHidden="1" w:uiPriority="66" w:qFormat="1"/>
    <w:lsdException w:name="Subtle Reference" w:semiHidden="1" w:uiPriority="67" w:qFormat="1"/>
    <w:lsdException w:name="Intense Reference" w:semiHidden="1" w:uiPriority="68" w:qFormat="1"/>
    <w:lsdException w:name="Book Title" w:semiHidden="1"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rsid w:val="00B72353"/>
  </w:style>
  <w:style w:type="paragraph" w:styleId="Heading1">
    <w:name w:val="heading 1"/>
    <w:next w:val="DHHSbody"/>
    <w:link w:val="Heading1Char"/>
    <w:uiPriority w:val="1"/>
    <w:qFormat/>
    <w:rsid w:val="007D6BCA"/>
    <w:pPr>
      <w:keepNext/>
      <w:keepLines/>
      <w:spacing w:before="520" w:after="440" w:line="440" w:lineRule="atLeast"/>
      <w:outlineLvl w:val="0"/>
    </w:pPr>
    <w:rPr>
      <w:rFonts w:ascii="Arial" w:hAnsi="Arial"/>
      <w:bCs/>
      <w:color w:val="AF272F"/>
      <w:sz w:val="44"/>
      <w:szCs w:val="44"/>
      <w:lang w:eastAsia="en-US"/>
    </w:rPr>
  </w:style>
  <w:style w:type="paragraph" w:styleId="Heading2">
    <w:name w:val="heading 2"/>
    <w:next w:val="DHHSbody"/>
    <w:link w:val="Heading2Char"/>
    <w:uiPriority w:val="1"/>
    <w:qFormat/>
    <w:rsid w:val="007D6BCA"/>
    <w:pPr>
      <w:keepNext/>
      <w:keepLines/>
      <w:spacing w:before="240" w:after="90" w:line="320" w:lineRule="atLeast"/>
      <w:outlineLvl w:val="1"/>
    </w:pPr>
    <w:rPr>
      <w:rFonts w:ascii="Arial" w:hAnsi="Arial"/>
      <w:b/>
      <w:color w:val="AF272F"/>
      <w:sz w:val="28"/>
      <w:szCs w:val="28"/>
      <w:lang w:eastAsia="en-US"/>
    </w:rPr>
  </w:style>
  <w:style w:type="paragraph" w:styleId="Heading3">
    <w:name w:val="heading 3"/>
    <w:next w:val="DHHSbody"/>
    <w:link w:val="Heading3Char"/>
    <w:uiPriority w:val="9"/>
    <w:qFormat/>
    <w:rsid w:val="00FB594D"/>
    <w:pPr>
      <w:keepNext/>
      <w:keepLines/>
      <w:spacing w:before="280" w:after="120" w:line="280" w:lineRule="atLeast"/>
      <w:outlineLvl w:val="2"/>
    </w:pPr>
    <w:rPr>
      <w:rFonts w:ascii="Arial" w:eastAsia="MS Gothic" w:hAnsi="Arial"/>
      <w:b/>
      <w:bCs/>
      <w:sz w:val="24"/>
      <w:szCs w:val="26"/>
      <w:lang w:eastAsia="en-US"/>
    </w:rPr>
  </w:style>
  <w:style w:type="paragraph" w:styleId="Heading4">
    <w:name w:val="heading 4"/>
    <w:next w:val="DHHSbody"/>
    <w:link w:val="Heading4Char"/>
    <w:uiPriority w:val="1"/>
    <w:qFormat/>
    <w:rsid w:val="00EE6CD3"/>
    <w:pPr>
      <w:keepNext/>
      <w:keepLines/>
      <w:spacing w:before="240" w:after="120" w:line="240" w:lineRule="atLeast"/>
      <w:outlineLvl w:val="3"/>
    </w:pPr>
    <w:rPr>
      <w:rFonts w:ascii="Arial" w:eastAsia="MS Mincho" w:hAnsi="Arial"/>
      <w:b/>
      <w:bCs/>
      <w:lang w:eastAsia="en-US"/>
    </w:rPr>
  </w:style>
  <w:style w:type="paragraph" w:styleId="Heading5">
    <w:name w:val="heading 5"/>
    <w:next w:val="DHHSbody"/>
    <w:link w:val="Heading5Char"/>
    <w:uiPriority w:val="9"/>
    <w:qFormat/>
    <w:rsid w:val="0064412C"/>
    <w:pPr>
      <w:keepNext/>
      <w:keepLines/>
      <w:suppressAutoHyphens/>
      <w:spacing w:before="240" w:after="120" w:line="240" w:lineRule="atLeast"/>
      <w:outlineLvl w:val="4"/>
    </w:pPr>
    <w:rPr>
      <w:rFonts w:ascii="Arial" w:eastAsia="MS Mincho" w:hAnsi="Arial"/>
      <w:b/>
      <w:bCs/>
      <w:color w:val="AF272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7D6BCA"/>
    <w:rPr>
      <w:rFonts w:ascii="Arial" w:hAnsi="Arial"/>
      <w:bCs/>
      <w:color w:val="AF272F"/>
      <w:sz w:val="44"/>
      <w:szCs w:val="44"/>
      <w:lang w:eastAsia="en-US"/>
    </w:rPr>
  </w:style>
  <w:style w:type="character" w:customStyle="1" w:styleId="Heading2Char">
    <w:name w:val="Heading 2 Char"/>
    <w:link w:val="Heading2"/>
    <w:uiPriority w:val="1"/>
    <w:rsid w:val="007D6BCA"/>
    <w:rPr>
      <w:rFonts w:ascii="Arial" w:hAnsi="Arial"/>
      <w:b/>
      <w:color w:val="AF272F"/>
      <w:sz w:val="28"/>
      <w:szCs w:val="28"/>
      <w:lang w:eastAsia="en-US"/>
    </w:rPr>
  </w:style>
  <w:style w:type="character" w:customStyle="1" w:styleId="Heading3Char">
    <w:name w:val="Heading 3 Char"/>
    <w:link w:val="Heading3"/>
    <w:uiPriority w:val="9"/>
    <w:rsid w:val="00FB594D"/>
    <w:rPr>
      <w:rFonts w:ascii="Arial" w:eastAsia="MS Gothic" w:hAnsi="Arial" w:cs="Times New Roman"/>
      <w:b/>
      <w:bCs/>
      <w:sz w:val="24"/>
      <w:szCs w:val="26"/>
    </w:rPr>
  </w:style>
  <w:style w:type="character" w:customStyle="1" w:styleId="Heading4Char">
    <w:name w:val="Heading 4 Char"/>
    <w:link w:val="Heading4"/>
    <w:uiPriority w:val="1"/>
    <w:rsid w:val="00EE6CD3"/>
    <w:rPr>
      <w:rFonts w:ascii="Arial" w:eastAsia="MS Mincho" w:hAnsi="Arial" w:cs="Times New Roman"/>
      <w:b/>
      <w:bCs/>
    </w:rPr>
  </w:style>
  <w:style w:type="paragraph" w:styleId="Header">
    <w:name w:val="header"/>
    <w:basedOn w:val="DHHSheader"/>
    <w:uiPriority w:val="98"/>
    <w:rsid w:val="004E380D"/>
  </w:style>
  <w:style w:type="paragraph" w:styleId="Footer">
    <w:name w:val="footer"/>
    <w:basedOn w:val="DHHSfooter"/>
    <w:uiPriority w:val="98"/>
    <w:rsid w:val="0031753A"/>
  </w:style>
  <w:style w:type="character" w:styleId="FollowedHyperlink">
    <w:name w:val="FollowedHyperlink"/>
    <w:uiPriority w:val="99"/>
    <w:rsid w:val="00E91933"/>
    <w:rPr>
      <w:color w:val="6633CC"/>
      <w:u w:val="dotted"/>
    </w:rPr>
  </w:style>
  <w:style w:type="paragraph" w:customStyle="1" w:styleId="DHHStabletext6pt">
    <w:name w:val="DHHS table text + 6pt"/>
    <w:basedOn w:val="DHHStabletext"/>
    <w:rsid w:val="00E91933"/>
    <w:pPr>
      <w:spacing w:after="120"/>
    </w:pPr>
  </w:style>
  <w:style w:type="paragraph" w:styleId="Subtitle">
    <w:name w:val="Subtitle"/>
    <w:basedOn w:val="Normal"/>
    <w:next w:val="Normal"/>
    <w:link w:val="SubtitleChar"/>
    <w:uiPriority w:val="11"/>
    <w:semiHidden/>
    <w:qFormat/>
    <w:rsid w:val="00E71C46"/>
    <w:pPr>
      <w:spacing w:after="60"/>
      <w:jc w:val="center"/>
    </w:pPr>
    <w:rPr>
      <w:rFonts w:ascii="Calibri Light" w:hAnsi="Calibri Light"/>
      <w:sz w:val="24"/>
      <w:szCs w:val="24"/>
    </w:rPr>
  </w:style>
  <w:style w:type="paragraph" w:styleId="EndnoteText">
    <w:name w:val="endnote text"/>
    <w:basedOn w:val="Normal"/>
    <w:semiHidden/>
    <w:rsid w:val="00EA6F2B"/>
    <w:rPr>
      <w:sz w:val="24"/>
      <w:szCs w:val="24"/>
    </w:rPr>
  </w:style>
  <w:style w:type="character" w:styleId="EndnoteReference">
    <w:name w:val="endnote reference"/>
    <w:aliases w:val="Endnote Text Char"/>
    <w:semiHidden/>
    <w:rsid w:val="00923608"/>
    <w:rPr>
      <w:rFonts w:ascii="Arial" w:hAnsi="Arial"/>
      <w:sz w:val="20"/>
      <w:vertAlign w:val="superscript"/>
    </w:rPr>
  </w:style>
  <w:style w:type="table" w:styleId="TableGrid">
    <w:name w:val="Table Grid"/>
    <w:basedOn w:val="TableNormal"/>
    <w:uiPriority w:val="59"/>
    <w:rsid w:val="00CD058C"/>
    <w:rPr>
      <w:rFonts w:ascii="Arial" w:hAnsi="Arial"/>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semiHidden/>
    <w:rsid w:val="00DA7946"/>
  </w:style>
  <w:style w:type="paragraph" w:customStyle="1" w:styleId="DHHSreportsubtitle">
    <w:name w:val="DHHS report subtitle"/>
    <w:basedOn w:val="Normal"/>
    <w:uiPriority w:val="4"/>
    <w:rsid w:val="00630937"/>
    <w:pPr>
      <w:spacing w:after="120" w:line="380" w:lineRule="atLeast"/>
    </w:pPr>
    <w:rPr>
      <w:rFonts w:ascii="Arial" w:hAnsi="Arial"/>
      <w:color w:val="000000"/>
      <w:sz w:val="30"/>
      <w:szCs w:val="30"/>
    </w:rPr>
  </w:style>
  <w:style w:type="character" w:styleId="FootnoteReference">
    <w:name w:val="footnote reference"/>
    <w:uiPriority w:val="99"/>
    <w:rsid w:val="00A14570"/>
    <w:rPr>
      <w:rFonts w:ascii="Arial" w:hAnsi="Arial"/>
      <w:vertAlign w:val="superscript"/>
    </w:rPr>
  </w:style>
  <w:style w:type="paragraph" w:customStyle="1" w:styleId="DHHSreportmaintitle">
    <w:name w:val="DHHS report main title"/>
    <w:uiPriority w:val="4"/>
    <w:rsid w:val="00AB50C1"/>
    <w:pPr>
      <w:keepLines/>
      <w:spacing w:after="240" w:line="580" w:lineRule="atLeast"/>
    </w:pPr>
    <w:rPr>
      <w:rFonts w:ascii="Arial" w:hAnsi="Arial"/>
      <w:color w:val="D50032"/>
      <w:sz w:val="50"/>
      <w:szCs w:val="24"/>
      <w:lang w:eastAsia="en-US"/>
    </w:rPr>
  </w:style>
  <w:style w:type="paragraph" w:styleId="FootnoteText">
    <w:name w:val="footnote text"/>
    <w:basedOn w:val="Normal"/>
    <w:link w:val="FootnoteTextChar"/>
    <w:uiPriority w:val="99"/>
    <w:qFormat/>
    <w:rsid w:val="003072C6"/>
    <w:pPr>
      <w:spacing w:before="60" w:after="60" w:line="200" w:lineRule="atLeast"/>
    </w:pPr>
    <w:rPr>
      <w:rFonts w:ascii="Arial" w:eastAsia="MS Gothic" w:hAnsi="Arial" w:cs="Arial"/>
      <w:sz w:val="16"/>
      <w:szCs w:val="16"/>
    </w:rPr>
  </w:style>
  <w:style w:type="paragraph" w:styleId="TOC1">
    <w:name w:val="toc 1"/>
    <w:basedOn w:val="Normal"/>
    <w:next w:val="Normal"/>
    <w:uiPriority w:val="39"/>
    <w:rsid w:val="00B72353"/>
    <w:pPr>
      <w:keepNext/>
      <w:keepLines/>
      <w:tabs>
        <w:tab w:val="right" w:leader="dot" w:pos="9299"/>
      </w:tabs>
      <w:spacing w:before="160" w:after="60" w:line="270" w:lineRule="atLeast"/>
    </w:pPr>
    <w:rPr>
      <w:rFonts w:ascii="Arial Bold" w:hAnsi="Arial Bold"/>
      <w:b/>
      <w:noProof/>
      <w:color w:val="AF272F"/>
    </w:rPr>
  </w:style>
  <w:style w:type="paragraph" w:styleId="TOC2">
    <w:name w:val="toc 2"/>
    <w:basedOn w:val="Normal"/>
    <w:next w:val="Normal"/>
    <w:uiPriority w:val="39"/>
    <w:rsid w:val="00B72353"/>
    <w:pPr>
      <w:keepNext/>
      <w:keepLines/>
      <w:tabs>
        <w:tab w:val="right" w:leader="dot" w:pos="9299"/>
      </w:tabs>
      <w:spacing w:after="60" w:line="270" w:lineRule="atLeast"/>
      <w:ind w:left="357"/>
    </w:pPr>
    <w:rPr>
      <w:rFonts w:ascii="Arial" w:hAnsi="Arial"/>
      <w:noProof/>
    </w:rPr>
  </w:style>
  <w:style w:type="paragraph" w:styleId="TOC3">
    <w:name w:val="toc 3"/>
    <w:basedOn w:val="Normal"/>
    <w:next w:val="Normal"/>
    <w:uiPriority w:val="39"/>
    <w:rsid w:val="00B72353"/>
    <w:pPr>
      <w:keepLines/>
      <w:tabs>
        <w:tab w:val="right" w:leader="dot" w:pos="9299"/>
      </w:tabs>
      <w:spacing w:after="60" w:line="270" w:lineRule="atLeast"/>
      <w:ind w:left="284"/>
    </w:pPr>
    <w:rPr>
      <w:rFonts w:ascii="Arial" w:hAnsi="Arial" w:cs="Arial"/>
      <w:color w:val="000000" w:themeColor="text1"/>
    </w:rPr>
  </w:style>
  <w:style w:type="paragraph" w:styleId="TOC4">
    <w:name w:val="toc 4"/>
    <w:basedOn w:val="Normal"/>
    <w:next w:val="Normal"/>
    <w:uiPriority w:val="39"/>
    <w:rsid w:val="00E969B1"/>
    <w:pPr>
      <w:keepLines/>
      <w:tabs>
        <w:tab w:val="right" w:leader="dot" w:pos="9299"/>
      </w:tabs>
      <w:spacing w:after="60" w:line="270" w:lineRule="atLeast"/>
      <w:ind w:left="567" w:right="680"/>
    </w:pPr>
    <w:rPr>
      <w:rFonts w:ascii="Arial" w:hAnsi="Arial" w:cs="Arial"/>
    </w:rPr>
  </w:style>
  <w:style w:type="paragraph" w:styleId="TOC5">
    <w:name w:val="toc 5"/>
    <w:basedOn w:val="Normal"/>
    <w:next w:val="Normal"/>
    <w:autoRedefine/>
    <w:uiPriority w:val="39"/>
    <w:rsid w:val="00862D33"/>
    <w:pPr>
      <w:ind w:left="800"/>
    </w:pPr>
  </w:style>
  <w:style w:type="paragraph" w:styleId="TOC6">
    <w:name w:val="toc 6"/>
    <w:basedOn w:val="Normal"/>
    <w:next w:val="Normal"/>
    <w:autoRedefine/>
    <w:uiPriority w:val="39"/>
    <w:rsid w:val="00862D33"/>
    <w:pPr>
      <w:ind w:left="1000"/>
    </w:pPr>
  </w:style>
  <w:style w:type="paragraph" w:styleId="TOC7">
    <w:name w:val="toc 7"/>
    <w:basedOn w:val="Normal"/>
    <w:next w:val="Normal"/>
    <w:autoRedefine/>
    <w:uiPriority w:val="39"/>
    <w:rsid w:val="00862D33"/>
    <w:pPr>
      <w:ind w:left="1200"/>
    </w:pPr>
  </w:style>
  <w:style w:type="paragraph" w:styleId="TOC8">
    <w:name w:val="toc 8"/>
    <w:basedOn w:val="Normal"/>
    <w:next w:val="Normal"/>
    <w:autoRedefine/>
    <w:uiPriority w:val="39"/>
    <w:rsid w:val="00862D33"/>
    <w:pPr>
      <w:ind w:left="1400"/>
    </w:pPr>
  </w:style>
  <w:style w:type="paragraph" w:styleId="TOC9">
    <w:name w:val="toc 9"/>
    <w:basedOn w:val="Normal"/>
    <w:next w:val="Normal"/>
    <w:autoRedefine/>
    <w:uiPriority w:val="39"/>
    <w:rsid w:val="00862D33"/>
    <w:pPr>
      <w:ind w:left="1600"/>
    </w:pPr>
  </w:style>
  <w:style w:type="paragraph" w:customStyle="1" w:styleId="DHHSreportmaintitlewhite">
    <w:name w:val="DHHS report main title white"/>
    <w:uiPriority w:val="4"/>
    <w:rsid w:val="00E91933"/>
    <w:pPr>
      <w:keepLines/>
      <w:spacing w:after="240" w:line="580" w:lineRule="atLeast"/>
    </w:pPr>
    <w:rPr>
      <w:rFonts w:ascii="Arial" w:hAnsi="Arial"/>
      <w:bCs/>
      <w:color w:val="FFFFFF"/>
      <w:sz w:val="50"/>
      <w:szCs w:val="50"/>
      <w:lang w:eastAsia="en-US"/>
    </w:rPr>
  </w:style>
  <w:style w:type="paragraph" w:customStyle="1" w:styleId="DHHSreportsubtitlewhite">
    <w:name w:val="DHHS report subtitle white"/>
    <w:uiPriority w:val="4"/>
    <w:rsid w:val="00E91933"/>
    <w:pPr>
      <w:spacing w:after="120" w:line="380" w:lineRule="atLeast"/>
    </w:pPr>
    <w:rPr>
      <w:rFonts w:ascii="Arial" w:hAnsi="Arial"/>
      <w:bCs/>
      <w:color w:val="FFFFFF"/>
      <w:sz w:val="30"/>
      <w:szCs w:val="30"/>
      <w:lang w:eastAsia="en-US"/>
    </w:rPr>
  </w:style>
  <w:style w:type="paragraph" w:customStyle="1" w:styleId="Coverinstructions">
    <w:name w:val="Cover instructions"/>
    <w:rsid w:val="001A7E04"/>
    <w:pPr>
      <w:spacing w:after="200" w:line="320" w:lineRule="atLeast"/>
    </w:pPr>
    <w:rPr>
      <w:rFonts w:ascii="Arial" w:hAnsi="Arial"/>
      <w:color w:val="FFFFFF"/>
      <w:sz w:val="24"/>
      <w:lang w:eastAsia="en-US"/>
    </w:rPr>
  </w:style>
  <w:style w:type="character" w:customStyle="1" w:styleId="Heading5Char">
    <w:name w:val="Heading 5 Char"/>
    <w:link w:val="Heading5"/>
    <w:uiPriority w:val="9"/>
    <w:rsid w:val="0064412C"/>
    <w:rPr>
      <w:rFonts w:ascii="Arial" w:eastAsia="MS Mincho" w:hAnsi="Arial"/>
      <w:b/>
      <w:bCs/>
      <w:color w:val="AF272F"/>
      <w:lang w:eastAsia="en-US"/>
    </w:rPr>
  </w:style>
  <w:style w:type="paragraph" w:styleId="DocumentMap">
    <w:name w:val="Document Map"/>
    <w:basedOn w:val="Normal"/>
    <w:link w:val="DocumentMapChar"/>
    <w:uiPriority w:val="99"/>
    <w:semiHidden/>
    <w:unhideWhenUsed/>
    <w:rsid w:val="001E0EA3"/>
    <w:rPr>
      <w:rFonts w:ascii="Lucida Grande" w:hAnsi="Lucida Grande" w:cs="Lucida Grande"/>
      <w:sz w:val="24"/>
      <w:szCs w:val="24"/>
    </w:rPr>
  </w:style>
  <w:style w:type="character" w:customStyle="1" w:styleId="DocumentMapChar">
    <w:name w:val="Document Map Char"/>
    <w:link w:val="DocumentMap"/>
    <w:uiPriority w:val="99"/>
    <w:semiHidden/>
    <w:rsid w:val="001E0EA3"/>
    <w:rPr>
      <w:rFonts w:ascii="Lucida Grande" w:hAnsi="Lucida Grande" w:cs="Lucida Grande"/>
      <w:sz w:val="24"/>
      <w:szCs w:val="24"/>
    </w:rPr>
  </w:style>
  <w:style w:type="character" w:styleId="Hyperlink">
    <w:name w:val="Hyperlink"/>
    <w:uiPriority w:val="99"/>
    <w:rsid w:val="00977C63"/>
    <w:rPr>
      <w:color w:val="3366FF"/>
      <w:u w:val="dotted"/>
    </w:rPr>
  </w:style>
  <w:style w:type="paragraph" w:customStyle="1" w:styleId="DHHSbody">
    <w:name w:val="DHHS body"/>
    <w:link w:val="DHHSbodyChar"/>
    <w:qFormat/>
    <w:rsid w:val="00E30414"/>
    <w:pPr>
      <w:spacing w:after="120" w:line="270" w:lineRule="atLeast"/>
    </w:pPr>
    <w:rPr>
      <w:rFonts w:ascii="Arial" w:eastAsia="Times" w:hAnsi="Arial"/>
      <w:lang w:eastAsia="en-US"/>
    </w:rPr>
  </w:style>
  <w:style w:type="paragraph" w:customStyle="1" w:styleId="DHHSbullet1">
    <w:name w:val="DHHS bullet 1"/>
    <w:basedOn w:val="DHHSbody"/>
    <w:uiPriority w:val="99"/>
    <w:qFormat/>
    <w:rsid w:val="00CF7CB6"/>
    <w:pPr>
      <w:numPr>
        <w:numId w:val="1"/>
      </w:numPr>
      <w:spacing w:after="40"/>
    </w:pPr>
  </w:style>
  <w:style w:type="paragraph" w:customStyle="1" w:styleId="DHHSnumberloweralpha">
    <w:name w:val="DHHS number lower alpha"/>
    <w:basedOn w:val="DHHSbody"/>
    <w:uiPriority w:val="3"/>
    <w:rsid w:val="00CF7CB6"/>
    <w:pPr>
      <w:numPr>
        <w:ilvl w:val="2"/>
        <w:numId w:val="2"/>
      </w:numPr>
    </w:pPr>
  </w:style>
  <w:style w:type="paragraph" w:customStyle="1" w:styleId="DHHSnumberloweralphaindent">
    <w:name w:val="DHHS number lower alpha indent"/>
    <w:basedOn w:val="DHHSbody"/>
    <w:uiPriority w:val="3"/>
    <w:rsid w:val="00CF7CB6"/>
    <w:pPr>
      <w:numPr>
        <w:ilvl w:val="3"/>
        <w:numId w:val="2"/>
      </w:numPr>
    </w:pPr>
  </w:style>
  <w:style w:type="paragraph" w:customStyle="1" w:styleId="DHHStablefigurenote">
    <w:name w:val="DHHS table/figure note"/>
    <w:uiPriority w:val="4"/>
    <w:rsid w:val="002E1D7C"/>
    <w:pPr>
      <w:spacing w:before="60" w:after="60" w:line="240" w:lineRule="exact"/>
    </w:pPr>
    <w:rPr>
      <w:rFonts w:ascii="Arial" w:hAnsi="Arial"/>
      <w:i/>
      <w:sz w:val="18"/>
      <w:lang w:eastAsia="en-US"/>
    </w:rPr>
  </w:style>
  <w:style w:type="paragraph" w:customStyle="1" w:styleId="DHHStabletext">
    <w:name w:val="DHHS table text"/>
    <w:qFormat/>
    <w:rsid w:val="00E30414"/>
    <w:pPr>
      <w:spacing w:before="80" w:after="60"/>
    </w:pPr>
    <w:rPr>
      <w:rFonts w:ascii="Arial" w:hAnsi="Arial"/>
      <w:lang w:eastAsia="en-US"/>
    </w:rPr>
  </w:style>
  <w:style w:type="paragraph" w:customStyle="1" w:styleId="DHHStablecaption">
    <w:name w:val="DHHS table caption"/>
    <w:next w:val="DHHSbody"/>
    <w:uiPriority w:val="3"/>
    <w:qFormat/>
    <w:rsid w:val="004E21E2"/>
    <w:pPr>
      <w:keepNext/>
      <w:keepLines/>
      <w:spacing w:before="240" w:after="120" w:line="240" w:lineRule="atLeast"/>
    </w:pPr>
    <w:rPr>
      <w:rFonts w:ascii="Arial" w:hAnsi="Arial"/>
      <w:b/>
      <w:lang w:eastAsia="en-US"/>
    </w:rPr>
  </w:style>
  <w:style w:type="paragraph" w:customStyle="1" w:styleId="DHHSfigurecaption">
    <w:name w:val="DHHS figure caption"/>
    <w:next w:val="DHHSbody"/>
    <w:rsid w:val="00E91933"/>
    <w:pPr>
      <w:keepNext/>
      <w:keepLines/>
      <w:spacing w:before="240" w:after="120"/>
    </w:pPr>
    <w:rPr>
      <w:rFonts w:ascii="Arial" w:hAnsi="Arial"/>
      <w:b/>
      <w:lang w:eastAsia="en-US"/>
    </w:rPr>
  </w:style>
  <w:style w:type="paragraph" w:customStyle="1" w:styleId="DHHSfooter">
    <w:name w:val="DHHS footer"/>
    <w:uiPriority w:val="11"/>
    <w:rsid w:val="00E969B1"/>
    <w:pPr>
      <w:tabs>
        <w:tab w:val="right" w:pos="9299"/>
      </w:tabs>
    </w:pPr>
    <w:rPr>
      <w:rFonts w:ascii="Arial" w:hAnsi="Arial" w:cs="Arial"/>
      <w:sz w:val="18"/>
      <w:szCs w:val="18"/>
      <w:lang w:eastAsia="en-US"/>
    </w:rPr>
  </w:style>
  <w:style w:type="paragraph" w:customStyle="1" w:styleId="DHHSbullet2">
    <w:name w:val="DHHS bullet 2"/>
    <w:basedOn w:val="DHHSbody"/>
    <w:uiPriority w:val="99"/>
    <w:qFormat/>
    <w:rsid w:val="00CF7CB6"/>
    <w:pPr>
      <w:numPr>
        <w:ilvl w:val="2"/>
        <w:numId w:val="1"/>
      </w:numPr>
      <w:spacing w:after="40"/>
    </w:pPr>
  </w:style>
  <w:style w:type="paragraph" w:customStyle="1" w:styleId="DHHSheader">
    <w:name w:val="DHHS header"/>
    <w:basedOn w:val="DHHSfooter"/>
    <w:uiPriority w:val="11"/>
    <w:rsid w:val="00E969B1"/>
  </w:style>
  <w:style w:type="character" w:styleId="Strong">
    <w:name w:val="Strong"/>
    <w:uiPriority w:val="22"/>
    <w:qFormat/>
    <w:rsid w:val="00DC19D8"/>
    <w:rPr>
      <w:b/>
      <w:bCs/>
    </w:rPr>
  </w:style>
  <w:style w:type="paragraph" w:customStyle="1" w:styleId="DHHSnumberdigit">
    <w:name w:val="DHHS number digit"/>
    <w:basedOn w:val="DHHSbody"/>
    <w:uiPriority w:val="2"/>
    <w:rsid w:val="00CF7CB6"/>
    <w:pPr>
      <w:numPr>
        <w:numId w:val="2"/>
      </w:numPr>
    </w:pPr>
  </w:style>
  <w:style w:type="paragraph" w:customStyle="1" w:styleId="DHHStablecolhead">
    <w:name w:val="DHHS table col head"/>
    <w:uiPriority w:val="3"/>
    <w:qFormat/>
    <w:rsid w:val="00F768B7"/>
    <w:pPr>
      <w:spacing w:before="80" w:after="60"/>
    </w:pPr>
    <w:rPr>
      <w:rFonts w:ascii="Arial" w:hAnsi="Arial"/>
      <w:b/>
      <w:color w:val="AF272F"/>
      <w:lang w:eastAsia="en-US"/>
    </w:rPr>
  </w:style>
  <w:style w:type="paragraph" w:customStyle="1" w:styleId="DHHSbodyaftertablefigure">
    <w:name w:val="DHHS body after table/figure"/>
    <w:basedOn w:val="DHHSbody"/>
    <w:next w:val="DHHSbody"/>
    <w:rsid w:val="00876275"/>
    <w:pPr>
      <w:spacing w:before="240"/>
    </w:pPr>
  </w:style>
  <w:style w:type="paragraph" w:customStyle="1" w:styleId="DHHSbullet1lastline">
    <w:name w:val="DHHS bullet 1 last line"/>
    <w:basedOn w:val="DHHSbullet1"/>
    <w:uiPriority w:val="99"/>
    <w:qFormat/>
    <w:rsid w:val="00CF7CB6"/>
    <w:pPr>
      <w:numPr>
        <w:ilvl w:val="1"/>
      </w:numPr>
      <w:spacing w:after="120"/>
    </w:pPr>
  </w:style>
  <w:style w:type="paragraph" w:customStyle="1" w:styleId="DHHSbullet2lastline">
    <w:name w:val="DHHS bullet 2 last line"/>
    <w:basedOn w:val="DHHSbullet2"/>
    <w:uiPriority w:val="99"/>
    <w:qFormat/>
    <w:rsid w:val="00CF7CB6"/>
    <w:pPr>
      <w:numPr>
        <w:ilvl w:val="3"/>
      </w:numPr>
      <w:spacing w:after="120"/>
    </w:pPr>
  </w:style>
  <w:style w:type="paragraph" w:customStyle="1" w:styleId="DHHStablebullet">
    <w:name w:val="DHHS table bullet"/>
    <w:basedOn w:val="DHHStabletext"/>
    <w:uiPriority w:val="99"/>
    <w:qFormat/>
    <w:rsid w:val="00CF7CB6"/>
    <w:pPr>
      <w:numPr>
        <w:ilvl w:val="6"/>
        <w:numId w:val="1"/>
      </w:numPr>
    </w:pPr>
  </w:style>
  <w:style w:type="paragraph" w:customStyle="1" w:styleId="DHHSTOCheadingreport">
    <w:name w:val="DHHS TOC heading report"/>
    <w:basedOn w:val="Heading1"/>
    <w:link w:val="DHHSTOCheadingreportChar"/>
    <w:uiPriority w:val="5"/>
    <w:rsid w:val="00AB50C1"/>
    <w:pPr>
      <w:spacing w:before="0"/>
      <w:outlineLvl w:val="9"/>
    </w:pPr>
  </w:style>
  <w:style w:type="character" w:customStyle="1" w:styleId="DHHSTOCheadingreportChar">
    <w:name w:val="DHHS TOC heading report Char"/>
    <w:link w:val="DHHSTOCheadingreport"/>
    <w:uiPriority w:val="5"/>
    <w:rsid w:val="00AB50C1"/>
    <w:rPr>
      <w:rFonts w:ascii="Arial" w:hAnsi="Arial"/>
      <w:bCs/>
      <w:color w:val="D50032"/>
      <w:sz w:val="44"/>
      <w:szCs w:val="44"/>
      <w:lang w:eastAsia="en-US"/>
    </w:rPr>
  </w:style>
  <w:style w:type="paragraph" w:customStyle="1" w:styleId="DHHSaccessibilitypara">
    <w:name w:val="DHHS accessibility para"/>
    <w:uiPriority w:val="8"/>
    <w:rsid w:val="00B0300B"/>
    <w:pPr>
      <w:spacing w:after="300" w:line="300" w:lineRule="atLeast"/>
    </w:pPr>
    <w:rPr>
      <w:rFonts w:ascii="Arial" w:eastAsia="Times" w:hAnsi="Arial"/>
      <w:sz w:val="24"/>
      <w:szCs w:val="19"/>
      <w:lang w:eastAsia="en-US"/>
    </w:rPr>
  </w:style>
  <w:style w:type="paragraph" w:customStyle="1" w:styleId="DHHSbodynospace">
    <w:name w:val="DHHS body no space"/>
    <w:basedOn w:val="DHHSbody"/>
    <w:uiPriority w:val="3"/>
    <w:qFormat/>
    <w:rsid w:val="00CA6D4E"/>
    <w:pPr>
      <w:spacing w:after="0"/>
    </w:pPr>
  </w:style>
  <w:style w:type="paragraph" w:customStyle="1" w:styleId="DHHSquote">
    <w:name w:val="DHHS quote"/>
    <w:basedOn w:val="DHHSbody"/>
    <w:uiPriority w:val="4"/>
    <w:rsid w:val="00E75ED2"/>
    <w:pPr>
      <w:ind w:left="397"/>
    </w:pPr>
    <w:rPr>
      <w:szCs w:val="18"/>
    </w:rPr>
  </w:style>
  <w:style w:type="numbering" w:customStyle="1" w:styleId="ZZBullets">
    <w:name w:val="ZZ Bullets"/>
    <w:rsid w:val="00CF7CB6"/>
    <w:pPr>
      <w:numPr>
        <w:numId w:val="1"/>
      </w:numPr>
    </w:pPr>
  </w:style>
  <w:style w:type="paragraph" w:customStyle="1" w:styleId="DHHSbulletindent">
    <w:name w:val="DHHS bullet indent"/>
    <w:basedOn w:val="DHHSbody"/>
    <w:uiPriority w:val="99"/>
    <w:rsid w:val="00CF7CB6"/>
    <w:pPr>
      <w:numPr>
        <w:ilvl w:val="4"/>
        <w:numId w:val="1"/>
      </w:numPr>
      <w:spacing w:after="40"/>
    </w:pPr>
  </w:style>
  <w:style w:type="paragraph" w:customStyle="1" w:styleId="DHHSbulletindentlastline">
    <w:name w:val="DHHS bullet indent last line"/>
    <w:basedOn w:val="DHHSbody"/>
    <w:uiPriority w:val="99"/>
    <w:rsid w:val="00CF7CB6"/>
    <w:pPr>
      <w:numPr>
        <w:ilvl w:val="5"/>
        <w:numId w:val="1"/>
      </w:numPr>
    </w:pPr>
  </w:style>
  <w:style w:type="numbering" w:customStyle="1" w:styleId="ZZNumbers">
    <w:name w:val="ZZ Numbers"/>
    <w:rsid w:val="00CF7CB6"/>
    <w:pPr>
      <w:numPr>
        <w:numId w:val="2"/>
      </w:numPr>
    </w:pPr>
  </w:style>
  <w:style w:type="paragraph" w:customStyle="1" w:styleId="DHHSnumberlowerroman">
    <w:name w:val="DHHS number lower roman"/>
    <w:basedOn w:val="DHHSbody"/>
    <w:uiPriority w:val="3"/>
    <w:rsid w:val="00CF7CB6"/>
    <w:pPr>
      <w:numPr>
        <w:ilvl w:val="4"/>
        <w:numId w:val="2"/>
      </w:numPr>
    </w:pPr>
  </w:style>
  <w:style w:type="paragraph" w:customStyle="1" w:styleId="DHHSnumberlowerromanindent">
    <w:name w:val="DHHS number lower roman indent"/>
    <w:basedOn w:val="DHHSbody"/>
    <w:uiPriority w:val="3"/>
    <w:rsid w:val="00CF7CB6"/>
    <w:pPr>
      <w:numPr>
        <w:ilvl w:val="5"/>
        <w:numId w:val="2"/>
      </w:numPr>
    </w:pPr>
  </w:style>
  <w:style w:type="paragraph" w:customStyle="1" w:styleId="DHHSnumberdigitindent">
    <w:name w:val="DHHS number digit indent"/>
    <w:basedOn w:val="DHHSnumberloweralphaindent"/>
    <w:uiPriority w:val="3"/>
    <w:rsid w:val="00CF7CB6"/>
    <w:pPr>
      <w:numPr>
        <w:ilvl w:val="1"/>
      </w:numPr>
    </w:pPr>
  </w:style>
  <w:style w:type="character" w:customStyle="1" w:styleId="SubtitleChar">
    <w:name w:val="Subtitle Char"/>
    <w:link w:val="Subtitle"/>
    <w:uiPriority w:val="11"/>
    <w:semiHidden/>
    <w:rsid w:val="00E71C46"/>
    <w:rPr>
      <w:rFonts w:ascii="Calibri Light" w:eastAsia="Times New Roman" w:hAnsi="Calibri Light" w:cs="Times New Roman"/>
      <w:sz w:val="24"/>
      <w:szCs w:val="24"/>
      <w:lang w:eastAsia="en-US"/>
    </w:rPr>
  </w:style>
  <w:style w:type="paragraph" w:styleId="Title">
    <w:name w:val="Title"/>
    <w:basedOn w:val="Normal"/>
    <w:next w:val="Normal"/>
    <w:link w:val="TitleChar"/>
    <w:uiPriority w:val="10"/>
    <w:semiHidden/>
    <w:qFormat/>
    <w:rsid w:val="00E71C46"/>
    <w:pPr>
      <w:spacing w:before="240" w:after="60"/>
      <w:jc w:val="center"/>
    </w:pPr>
    <w:rPr>
      <w:rFonts w:ascii="Calibri Light" w:hAnsi="Calibri Light"/>
      <w:b/>
      <w:bCs/>
      <w:kern w:val="28"/>
      <w:sz w:val="32"/>
      <w:szCs w:val="32"/>
    </w:rPr>
  </w:style>
  <w:style w:type="character" w:customStyle="1" w:styleId="TitleChar">
    <w:name w:val="Title Char"/>
    <w:link w:val="Title"/>
    <w:uiPriority w:val="10"/>
    <w:semiHidden/>
    <w:rsid w:val="00E71C46"/>
    <w:rPr>
      <w:rFonts w:ascii="Calibri Light" w:eastAsia="Times New Roman" w:hAnsi="Calibri Light" w:cs="Times New Roman"/>
      <w:b/>
      <w:bCs/>
      <w:kern w:val="28"/>
      <w:sz w:val="32"/>
      <w:szCs w:val="32"/>
      <w:lang w:eastAsia="en-US"/>
    </w:rPr>
  </w:style>
  <w:style w:type="character" w:customStyle="1" w:styleId="DHHSbodyChar">
    <w:name w:val="DHHS body Char"/>
    <w:link w:val="DHHSbody"/>
    <w:rsid w:val="00945A28"/>
    <w:rPr>
      <w:rFonts w:ascii="Arial" w:eastAsia="Times" w:hAnsi="Arial"/>
      <w:lang w:eastAsia="en-US"/>
    </w:rPr>
  </w:style>
  <w:style w:type="paragraph" w:styleId="BalloonText">
    <w:name w:val="Balloon Text"/>
    <w:basedOn w:val="Normal"/>
    <w:link w:val="BalloonTextChar"/>
    <w:uiPriority w:val="99"/>
    <w:semiHidden/>
    <w:unhideWhenUsed/>
    <w:rsid w:val="00945A28"/>
    <w:rPr>
      <w:rFonts w:ascii="Tahoma" w:hAnsi="Tahoma" w:cs="Tahoma"/>
      <w:sz w:val="16"/>
      <w:szCs w:val="16"/>
    </w:rPr>
  </w:style>
  <w:style w:type="character" w:customStyle="1" w:styleId="BalloonTextChar">
    <w:name w:val="Balloon Text Char"/>
    <w:link w:val="BalloonText"/>
    <w:uiPriority w:val="99"/>
    <w:semiHidden/>
    <w:rsid w:val="00945A28"/>
    <w:rPr>
      <w:rFonts w:ascii="Tahoma" w:hAnsi="Tahoma" w:cs="Tahoma"/>
      <w:sz w:val="16"/>
      <w:szCs w:val="16"/>
      <w:lang w:eastAsia="en-US"/>
    </w:rPr>
  </w:style>
  <w:style w:type="numbering" w:customStyle="1" w:styleId="NoList1">
    <w:name w:val="No List1"/>
    <w:next w:val="NoList"/>
    <w:uiPriority w:val="99"/>
    <w:semiHidden/>
    <w:unhideWhenUsed/>
    <w:rsid w:val="00DE68BE"/>
  </w:style>
  <w:style w:type="paragraph" w:customStyle="1" w:styleId="font5">
    <w:name w:val="font5"/>
    <w:basedOn w:val="Normal"/>
    <w:rsid w:val="00DE68BE"/>
    <w:pPr>
      <w:spacing w:before="100" w:beforeAutospacing="1" w:after="100" w:afterAutospacing="1"/>
    </w:pPr>
    <w:rPr>
      <w:rFonts w:ascii="Calibri" w:hAnsi="Calibri"/>
      <w:color w:val="000000"/>
      <w:sz w:val="26"/>
      <w:szCs w:val="26"/>
    </w:rPr>
  </w:style>
  <w:style w:type="paragraph" w:customStyle="1" w:styleId="font6">
    <w:name w:val="font6"/>
    <w:basedOn w:val="Normal"/>
    <w:rsid w:val="00DE68BE"/>
    <w:pPr>
      <w:spacing w:before="100" w:beforeAutospacing="1" w:after="100" w:afterAutospacing="1"/>
    </w:pPr>
    <w:rPr>
      <w:rFonts w:ascii="Calibri" w:hAnsi="Calibri"/>
      <w:color w:val="FF0000"/>
      <w:sz w:val="26"/>
      <w:szCs w:val="26"/>
    </w:rPr>
  </w:style>
  <w:style w:type="paragraph" w:customStyle="1" w:styleId="font7">
    <w:name w:val="font7"/>
    <w:basedOn w:val="Normal"/>
    <w:rsid w:val="00DE68BE"/>
    <w:pPr>
      <w:spacing w:before="100" w:beforeAutospacing="1" w:after="100" w:afterAutospacing="1"/>
    </w:pPr>
    <w:rPr>
      <w:rFonts w:ascii="Calibri" w:hAnsi="Calibri"/>
      <w:color w:val="000000"/>
      <w:sz w:val="26"/>
      <w:szCs w:val="26"/>
    </w:rPr>
  </w:style>
  <w:style w:type="paragraph" w:customStyle="1" w:styleId="xl65">
    <w:name w:val="xl65"/>
    <w:basedOn w:val="Normal"/>
    <w:rsid w:val="00DE68BE"/>
    <w:pPr>
      <w:spacing w:before="100" w:beforeAutospacing="1" w:after="100" w:afterAutospacing="1"/>
    </w:pPr>
    <w:rPr>
      <w:sz w:val="26"/>
      <w:szCs w:val="26"/>
    </w:rPr>
  </w:style>
  <w:style w:type="paragraph" w:customStyle="1" w:styleId="xl66">
    <w:name w:val="xl66"/>
    <w:basedOn w:val="Normal"/>
    <w:rsid w:val="00DE68BE"/>
    <w:pPr>
      <w:spacing w:before="100" w:beforeAutospacing="1" w:after="100" w:afterAutospacing="1"/>
      <w:jc w:val="center"/>
    </w:pPr>
    <w:rPr>
      <w:sz w:val="26"/>
      <w:szCs w:val="26"/>
    </w:rPr>
  </w:style>
  <w:style w:type="paragraph" w:customStyle="1" w:styleId="xl67">
    <w:name w:val="xl67"/>
    <w:basedOn w:val="Normal"/>
    <w:rsid w:val="00DE68BE"/>
    <w:pPr>
      <w:spacing w:before="100" w:beforeAutospacing="1" w:after="100" w:afterAutospacing="1"/>
    </w:pPr>
    <w:rPr>
      <w:sz w:val="26"/>
      <w:szCs w:val="26"/>
    </w:rPr>
  </w:style>
  <w:style w:type="paragraph" w:customStyle="1" w:styleId="xl68">
    <w:name w:val="xl68"/>
    <w:basedOn w:val="Normal"/>
    <w:rsid w:val="00DE68BE"/>
    <w:pPr>
      <w:spacing w:before="100" w:beforeAutospacing="1" w:after="100" w:afterAutospacing="1"/>
    </w:pPr>
    <w:rPr>
      <w:sz w:val="26"/>
      <w:szCs w:val="26"/>
    </w:rPr>
  </w:style>
  <w:style w:type="paragraph" w:customStyle="1" w:styleId="xl69">
    <w:name w:val="xl69"/>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70">
    <w:name w:val="xl70"/>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71">
    <w:name w:val="xl71"/>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72">
    <w:name w:val="xl72"/>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3">
    <w:name w:val="xl73"/>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6"/>
      <w:szCs w:val="26"/>
    </w:rPr>
  </w:style>
  <w:style w:type="paragraph" w:customStyle="1" w:styleId="xl74">
    <w:name w:val="xl74"/>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5">
    <w:name w:val="xl75"/>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6"/>
      <w:szCs w:val="26"/>
    </w:rPr>
  </w:style>
  <w:style w:type="paragraph" w:customStyle="1" w:styleId="xl76">
    <w:name w:val="xl76"/>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7">
    <w:name w:val="xl77"/>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78">
    <w:name w:val="xl78"/>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color w:val="4BACC6"/>
      <w:sz w:val="26"/>
      <w:szCs w:val="26"/>
    </w:rPr>
  </w:style>
  <w:style w:type="paragraph" w:customStyle="1" w:styleId="xl79">
    <w:name w:val="xl79"/>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sz w:val="26"/>
      <w:szCs w:val="26"/>
    </w:rPr>
  </w:style>
  <w:style w:type="paragraph" w:customStyle="1" w:styleId="xl80">
    <w:name w:val="xl80"/>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81">
    <w:name w:val="xl81"/>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82">
    <w:name w:val="xl82"/>
    <w:basedOn w:val="Normal"/>
    <w:rsid w:val="00DE68BE"/>
    <w:pPr>
      <w:pBdr>
        <w:top w:val="single" w:sz="4" w:space="0" w:color="auto"/>
        <w:left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83">
    <w:name w:val="xl83"/>
    <w:basedOn w:val="Normal"/>
    <w:rsid w:val="00DE68BE"/>
    <w:pPr>
      <w:pBdr>
        <w:top w:val="single" w:sz="4" w:space="0" w:color="auto"/>
        <w:left w:val="single" w:sz="4" w:space="0" w:color="auto"/>
        <w:right w:val="single" w:sz="4" w:space="0" w:color="auto"/>
      </w:pBdr>
      <w:spacing w:before="100" w:beforeAutospacing="1" w:after="100" w:afterAutospacing="1"/>
      <w:textAlignment w:val="center"/>
    </w:pPr>
    <w:rPr>
      <w:color w:val="000000"/>
      <w:sz w:val="26"/>
      <w:szCs w:val="26"/>
    </w:rPr>
  </w:style>
  <w:style w:type="paragraph" w:customStyle="1" w:styleId="xl84">
    <w:name w:val="xl84"/>
    <w:basedOn w:val="Normal"/>
    <w:rsid w:val="00DE68BE"/>
    <w:pPr>
      <w:pBdr>
        <w:top w:val="single" w:sz="4" w:space="0" w:color="auto"/>
        <w:left w:val="single" w:sz="4" w:space="0" w:color="auto"/>
        <w:right w:val="single" w:sz="4" w:space="0" w:color="auto"/>
      </w:pBdr>
      <w:spacing w:before="100" w:beforeAutospacing="1" w:after="100" w:afterAutospacing="1"/>
      <w:jc w:val="center"/>
    </w:pPr>
    <w:rPr>
      <w:sz w:val="26"/>
      <w:szCs w:val="26"/>
    </w:rPr>
  </w:style>
  <w:style w:type="paragraph" w:customStyle="1" w:styleId="xl85">
    <w:name w:val="xl85"/>
    <w:basedOn w:val="Normal"/>
    <w:rsid w:val="00DE68BE"/>
    <w:pPr>
      <w:pBdr>
        <w:top w:val="single" w:sz="4" w:space="0" w:color="auto"/>
        <w:left w:val="single" w:sz="4" w:space="0" w:color="auto"/>
        <w:right w:val="single" w:sz="4" w:space="0" w:color="auto"/>
      </w:pBdr>
      <w:spacing w:before="100" w:beforeAutospacing="1" w:after="100" w:afterAutospacing="1"/>
    </w:pPr>
    <w:rPr>
      <w:sz w:val="26"/>
      <w:szCs w:val="26"/>
    </w:rPr>
  </w:style>
  <w:style w:type="paragraph" w:customStyle="1" w:styleId="xl86">
    <w:name w:val="xl86"/>
    <w:basedOn w:val="Normal"/>
    <w:rsid w:val="00DE68BE"/>
    <w:pPr>
      <w:pBdr>
        <w:top w:val="single" w:sz="4" w:space="0" w:color="auto"/>
        <w:left w:val="single" w:sz="4" w:space="0" w:color="auto"/>
        <w:right w:val="single" w:sz="4" w:space="0" w:color="auto"/>
      </w:pBdr>
      <w:spacing w:before="100" w:beforeAutospacing="1" w:after="100" w:afterAutospacing="1"/>
    </w:pPr>
    <w:rPr>
      <w:sz w:val="26"/>
      <w:szCs w:val="26"/>
    </w:rPr>
  </w:style>
  <w:style w:type="paragraph" w:customStyle="1" w:styleId="xl87">
    <w:name w:val="xl87"/>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6"/>
      <w:szCs w:val="26"/>
    </w:rPr>
  </w:style>
  <w:style w:type="paragraph" w:customStyle="1" w:styleId="xl88">
    <w:name w:val="xl88"/>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6"/>
      <w:szCs w:val="26"/>
    </w:rPr>
  </w:style>
  <w:style w:type="paragraph" w:customStyle="1" w:styleId="xl89">
    <w:name w:val="xl89"/>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0">
    <w:name w:val="xl90"/>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6"/>
      <w:szCs w:val="26"/>
    </w:rPr>
  </w:style>
  <w:style w:type="paragraph" w:customStyle="1" w:styleId="xl91">
    <w:name w:val="xl91"/>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6"/>
      <w:szCs w:val="26"/>
    </w:rPr>
  </w:style>
  <w:style w:type="paragraph" w:customStyle="1" w:styleId="xl92">
    <w:name w:val="xl92"/>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6"/>
      <w:szCs w:val="26"/>
    </w:rPr>
  </w:style>
  <w:style w:type="paragraph" w:customStyle="1" w:styleId="xl93">
    <w:name w:val="xl93"/>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4">
    <w:name w:val="xl94"/>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95">
    <w:name w:val="xl95"/>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96">
    <w:name w:val="xl96"/>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7">
    <w:name w:val="xl97"/>
    <w:basedOn w:val="Normal"/>
    <w:rsid w:val="00DE68BE"/>
    <w:pPr>
      <w:pBdr>
        <w:top w:val="single" w:sz="4" w:space="0" w:color="auto"/>
        <w:left w:val="single" w:sz="4" w:space="0" w:color="auto"/>
        <w:bottom w:val="single" w:sz="4" w:space="0" w:color="auto"/>
        <w:right w:val="single" w:sz="4" w:space="0" w:color="auto"/>
      </w:pBdr>
      <w:spacing w:before="100" w:beforeAutospacing="1" w:after="100" w:afterAutospacing="1"/>
    </w:pPr>
    <w:rPr>
      <w:sz w:val="26"/>
      <w:szCs w:val="26"/>
    </w:rPr>
  </w:style>
  <w:style w:type="paragraph" w:customStyle="1" w:styleId="xl98">
    <w:name w:val="xl98"/>
    <w:basedOn w:val="Normal"/>
    <w:rsid w:val="00DE68BE"/>
    <w:pPr>
      <w:pBdr>
        <w:top w:val="single" w:sz="4" w:space="0" w:color="auto"/>
        <w:left w:val="single" w:sz="4" w:space="0" w:color="auto"/>
        <w:right w:val="single" w:sz="4" w:space="0" w:color="auto"/>
      </w:pBdr>
      <w:spacing w:before="100" w:beforeAutospacing="1" w:after="100" w:afterAutospacing="1"/>
    </w:pPr>
    <w:rPr>
      <w:sz w:val="26"/>
      <w:szCs w:val="26"/>
    </w:rPr>
  </w:style>
  <w:style w:type="paragraph" w:customStyle="1" w:styleId="xl99">
    <w:name w:val="xl99"/>
    <w:basedOn w:val="Normal"/>
    <w:rsid w:val="00DE68BE"/>
    <w:pPr>
      <w:spacing w:before="100" w:beforeAutospacing="1" w:after="100" w:afterAutospacing="1"/>
    </w:pPr>
    <w:rPr>
      <w:sz w:val="26"/>
      <w:szCs w:val="26"/>
    </w:rPr>
  </w:style>
  <w:style w:type="paragraph" w:styleId="ListParagraph">
    <w:name w:val="List Paragraph"/>
    <w:basedOn w:val="Normal"/>
    <w:link w:val="ListParagraphChar"/>
    <w:uiPriority w:val="34"/>
    <w:qFormat/>
    <w:rsid w:val="00DE68BE"/>
    <w:pPr>
      <w:ind w:left="720"/>
      <w:contextualSpacing/>
    </w:pPr>
  </w:style>
  <w:style w:type="character" w:customStyle="1" w:styleId="bold1">
    <w:name w:val="bold1"/>
    <w:rsid w:val="00DE68BE"/>
    <w:rPr>
      <w:b/>
      <w:bCs/>
    </w:rPr>
  </w:style>
  <w:style w:type="paragraph" w:styleId="Caption">
    <w:name w:val="caption"/>
    <w:basedOn w:val="Normal"/>
    <w:next w:val="Normal"/>
    <w:uiPriority w:val="35"/>
    <w:unhideWhenUsed/>
    <w:qFormat/>
    <w:rsid w:val="00DE68BE"/>
    <w:pPr>
      <w:spacing w:after="200"/>
    </w:pPr>
    <w:rPr>
      <w:b/>
      <w:bCs/>
      <w:color w:val="4F81BD"/>
      <w:sz w:val="18"/>
      <w:szCs w:val="18"/>
    </w:rPr>
  </w:style>
  <w:style w:type="character" w:customStyle="1" w:styleId="mdrpropertyvalue">
    <w:name w:val="mdrpropertyvalue"/>
    <w:rsid w:val="00DE68BE"/>
  </w:style>
  <w:style w:type="character" w:customStyle="1" w:styleId="ListParagraphChar">
    <w:name w:val="List Paragraph Char"/>
    <w:link w:val="ListParagraph"/>
    <w:uiPriority w:val="34"/>
    <w:locked/>
    <w:rsid w:val="00DF1903"/>
    <w:rPr>
      <w:rFonts w:ascii="Cambria" w:hAnsi="Cambria"/>
      <w:lang w:eastAsia="en-US"/>
    </w:rPr>
  </w:style>
  <w:style w:type="paragraph" w:customStyle="1" w:styleId="Default">
    <w:name w:val="Default"/>
    <w:rsid w:val="00AF4AE2"/>
    <w:pPr>
      <w:autoSpaceDE w:val="0"/>
      <w:autoSpaceDN w:val="0"/>
      <w:adjustRightInd w:val="0"/>
    </w:pPr>
    <w:rPr>
      <w:rFonts w:ascii="Trebuchet MS" w:hAnsi="Trebuchet MS" w:cs="Trebuchet MS"/>
      <w:color w:val="000000"/>
      <w:sz w:val="24"/>
      <w:szCs w:val="24"/>
    </w:rPr>
  </w:style>
  <w:style w:type="character" w:styleId="CommentReference">
    <w:name w:val="annotation reference"/>
    <w:uiPriority w:val="99"/>
    <w:semiHidden/>
    <w:unhideWhenUsed/>
    <w:rsid w:val="00941F64"/>
    <w:rPr>
      <w:sz w:val="16"/>
      <w:szCs w:val="16"/>
    </w:rPr>
  </w:style>
  <w:style w:type="paragraph" w:styleId="CommentText">
    <w:name w:val="annotation text"/>
    <w:basedOn w:val="Normal"/>
    <w:link w:val="CommentTextChar"/>
    <w:uiPriority w:val="99"/>
    <w:unhideWhenUsed/>
    <w:rsid w:val="00941F64"/>
  </w:style>
  <w:style w:type="character" w:customStyle="1" w:styleId="CommentTextChar">
    <w:name w:val="Comment Text Char"/>
    <w:link w:val="CommentText"/>
    <w:uiPriority w:val="99"/>
    <w:rsid w:val="00941F64"/>
    <w:rPr>
      <w:rFonts w:ascii="Cambria" w:hAnsi="Cambria"/>
      <w:lang w:eastAsia="en-US"/>
    </w:rPr>
  </w:style>
  <w:style w:type="paragraph" w:styleId="CommentSubject">
    <w:name w:val="annotation subject"/>
    <w:basedOn w:val="CommentText"/>
    <w:next w:val="CommentText"/>
    <w:link w:val="CommentSubjectChar"/>
    <w:uiPriority w:val="99"/>
    <w:semiHidden/>
    <w:unhideWhenUsed/>
    <w:rsid w:val="00941F64"/>
    <w:rPr>
      <w:b/>
      <w:bCs/>
    </w:rPr>
  </w:style>
  <w:style w:type="character" w:customStyle="1" w:styleId="CommentSubjectChar">
    <w:name w:val="Comment Subject Char"/>
    <w:link w:val="CommentSubject"/>
    <w:uiPriority w:val="99"/>
    <w:semiHidden/>
    <w:rsid w:val="00941F64"/>
    <w:rPr>
      <w:rFonts w:ascii="Cambria" w:hAnsi="Cambria"/>
      <w:b/>
      <w:bCs/>
      <w:lang w:eastAsia="en-US"/>
    </w:rPr>
  </w:style>
  <w:style w:type="character" w:customStyle="1" w:styleId="FootnoteTextChar">
    <w:name w:val="Footnote Text Char"/>
    <w:link w:val="FootnoteText"/>
    <w:uiPriority w:val="99"/>
    <w:rsid w:val="00E80ADF"/>
    <w:rPr>
      <w:rFonts w:ascii="Arial" w:eastAsia="MS Gothic" w:hAnsi="Arial" w:cs="Arial"/>
      <w:sz w:val="16"/>
      <w:szCs w:val="16"/>
      <w:lang w:eastAsia="en-US"/>
    </w:rPr>
  </w:style>
  <w:style w:type="character" w:styleId="Emphasis">
    <w:name w:val="Emphasis"/>
    <w:uiPriority w:val="20"/>
    <w:qFormat/>
    <w:rsid w:val="00D12C33"/>
    <w:rPr>
      <w:b/>
      <w:bCs/>
      <w:i w:val="0"/>
      <w:iCs w:val="0"/>
    </w:rPr>
  </w:style>
  <w:style w:type="character" w:customStyle="1" w:styleId="st1">
    <w:name w:val="st1"/>
    <w:rsid w:val="00D12C33"/>
  </w:style>
  <w:style w:type="character" w:customStyle="1" w:styleId="A2">
    <w:name w:val="A2"/>
    <w:uiPriority w:val="99"/>
    <w:rsid w:val="00876DF5"/>
    <w:rPr>
      <w:rFonts w:cs="Foco CC"/>
      <w:color w:val="000000"/>
      <w:sz w:val="18"/>
      <w:szCs w:val="18"/>
    </w:rPr>
  </w:style>
  <w:style w:type="character" w:customStyle="1" w:styleId="A5">
    <w:name w:val="A5"/>
    <w:uiPriority w:val="99"/>
    <w:rsid w:val="00A732AD"/>
    <w:rPr>
      <w:rFonts w:cs="Foco CC Light"/>
      <w:color w:val="000000"/>
      <w:sz w:val="20"/>
      <w:szCs w:val="20"/>
    </w:rPr>
  </w:style>
  <w:style w:type="paragraph" w:customStyle="1" w:styleId="DHHStabletextcentred">
    <w:name w:val="DHHS table text centred"/>
    <w:basedOn w:val="DHHStabletext"/>
    <w:rsid w:val="0064412C"/>
    <w:pPr>
      <w:spacing w:line="360" w:lineRule="auto"/>
    </w:pPr>
  </w:style>
  <w:style w:type="paragraph" w:customStyle="1" w:styleId="ARtabletextright">
    <w:name w:val="AR table text right"/>
    <w:basedOn w:val="Normal"/>
    <w:uiPriority w:val="99"/>
    <w:qFormat/>
    <w:rsid w:val="00794E61"/>
    <w:pPr>
      <w:spacing w:before="80" w:after="60"/>
      <w:jc w:val="right"/>
    </w:pPr>
    <w:rPr>
      <w:rFonts w:ascii="Arial" w:eastAsia="Times" w:hAnsi="Arial" w:cs="Arial"/>
      <w:sz w:val="18"/>
      <w:szCs w:val="18"/>
    </w:rPr>
  </w:style>
  <w:style w:type="paragraph" w:styleId="NormalWeb">
    <w:name w:val="Normal (Web)"/>
    <w:basedOn w:val="Normal"/>
    <w:uiPriority w:val="99"/>
    <w:unhideWhenUsed/>
    <w:rsid w:val="003818EB"/>
    <w:pPr>
      <w:spacing w:before="100" w:beforeAutospacing="1" w:after="100" w:afterAutospacing="1"/>
    </w:pPr>
    <w:rPr>
      <w:sz w:val="24"/>
      <w:szCs w:val="24"/>
    </w:rPr>
  </w:style>
  <w:style w:type="character" w:customStyle="1" w:styleId="ilfuvd">
    <w:name w:val="ilfuvd"/>
    <w:rsid w:val="00687D02"/>
  </w:style>
  <w:style w:type="table" w:customStyle="1" w:styleId="TableGridLight1">
    <w:name w:val="Table Grid Light1"/>
    <w:basedOn w:val="TableNormal"/>
    <w:uiPriority w:val="40"/>
    <w:rsid w:val="00CF706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xmsonormal">
    <w:name w:val="x_msonormal"/>
    <w:basedOn w:val="Normal"/>
    <w:rsid w:val="0092565D"/>
    <w:pPr>
      <w:spacing w:before="100" w:beforeAutospacing="1" w:after="100" w:afterAutospacing="1"/>
    </w:pPr>
    <w:rPr>
      <w:sz w:val="24"/>
      <w:szCs w:val="24"/>
    </w:rPr>
  </w:style>
  <w:style w:type="paragraph" w:customStyle="1" w:styleId="xdhhstablecolhead">
    <w:name w:val="x_dhhstablecolhead"/>
    <w:basedOn w:val="Normal"/>
    <w:rsid w:val="0092565D"/>
    <w:pPr>
      <w:spacing w:before="100" w:beforeAutospacing="1" w:after="100" w:afterAutospacing="1"/>
    </w:pPr>
    <w:rPr>
      <w:sz w:val="24"/>
      <w:szCs w:val="24"/>
    </w:rPr>
  </w:style>
  <w:style w:type="paragraph" w:customStyle="1" w:styleId="xdhhstabletext">
    <w:name w:val="x_dhhstabletext"/>
    <w:basedOn w:val="Normal"/>
    <w:rsid w:val="0092565D"/>
    <w:pPr>
      <w:spacing w:before="100" w:beforeAutospacing="1" w:after="100" w:afterAutospacing="1"/>
    </w:pPr>
    <w:rPr>
      <w:sz w:val="24"/>
      <w:szCs w:val="24"/>
    </w:rPr>
  </w:style>
  <w:style w:type="paragraph" w:styleId="PlainText">
    <w:name w:val="Plain Text"/>
    <w:basedOn w:val="Normal"/>
    <w:link w:val="PlainTextChar"/>
    <w:uiPriority w:val="99"/>
    <w:semiHidden/>
    <w:unhideWhenUsed/>
    <w:rsid w:val="0058190F"/>
    <w:rPr>
      <w:rFonts w:ascii="Calibri" w:eastAsia="Calibri" w:hAnsi="Calibri"/>
      <w:sz w:val="22"/>
      <w:szCs w:val="21"/>
    </w:rPr>
  </w:style>
  <w:style w:type="character" w:customStyle="1" w:styleId="PlainTextChar">
    <w:name w:val="Plain Text Char"/>
    <w:link w:val="PlainText"/>
    <w:uiPriority w:val="99"/>
    <w:semiHidden/>
    <w:rsid w:val="0058190F"/>
    <w:rPr>
      <w:rFonts w:ascii="Calibri" w:eastAsia="Calibri" w:hAnsi="Calibri"/>
      <w:sz w:val="22"/>
      <w:szCs w:val="21"/>
      <w:lang w:eastAsia="en-US"/>
    </w:rPr>
  </w:style>
  <w:style w:type="paragraph" w:customStyle="1" w:styleId="DHHStablecolumnheadblack">
    <w:name w:val="DHHS table column head black"/>
    <w:basedOn w:val="DHHStablecolhead"/>
    <w:rsid w:val="00C1114C"/>
    <w:rPr>
      <w:color w:val="000000" w:themeColor="text1"/>
    </w:rPr>
  </w:style>
  <w:style w:type="paragraph" w:customStyle="1" w:styleId="CopyrightDetails">
    <w:name w:val="Copyright Details"/>
    <w:basedOn w:val="Normal"/>
    <w:rsid w:val="00663309"/>
    <w:pPr>
      <w:spacing w:line="260" w:lineRule="exact"/>
      <w:ind w:right="3820"/>
    </w:pPr>
    <w:rPr>
      <w:rFonts w:ascii="Arial" w:hAnsi="Arial"/>
      <w:color w:val="747378"/>
      <w:sz w:val="18"/>
      <w:szCs w:val="24"/>
    </w:rPr>
  </w:style>
  <w:style w:type="character" w:customStyle="1" w:styleId="UnresolvedMention1">
    <w:name w:val="Unresolved Mention1"/>
    <w:basedOn w:val="DefaultParagraphFont"/>
    <w:uiPriority w:val="99"/>
    <w:semiHidden/>
    <w:unhideWhenUsed/>
    <w:rsid w:val="00C4317A"/>
    <w:rPr>
      <w:color w:val="605E5C"/>
      <w:shd w:val="clear" w:color="auto" w:fill="E1DFDD"/>
    </w:rPr>
  </w:style>
  <w:style w:type="character" w:customStyle="1" w:styleId="cca-citation">
    <w:name w:val="cca-citation"/>
    <w:basedOn w:val="DefaultParagraphFont"/>
    <w:rsid w:val="0048790B"/>
  </w:style>
  <w:style w:type="character" w:customStyle="1" w:styleId="UnresolvedMention2">
    <w:name w:val="Unresolved Mention2"/>
    <w:basedOn w:val="DefaultParagraphFont"/>
    <w:uiPriority w:val="99"/>
    <w:semiHidden/>
    <w:unhideWhenUsed/>
    <w:rsid w:val="00662045"/>
    <w:rPr>
      <w:color w:val="605E5C"/>
      <w:shd w:val="clear" w:color="auto" w:fill="E1DFDD"/>
    </w:rPr>
  </w:style>
  <w:style w:type="character" w:customStyle="1" w:styleId="sr-only1">
    <w:name w:val="sr-only1"/>
    <w:basedOn w:val="DefaultParagraphFont"/>
    <w:rsid w:val="00F969FE"/>
    <w:rPr>
      <w:bdr w:val="none" w:sz="0" w:space="0" w:color="auto" w:frame="1"/>
    </w:rPr>
  </w:style>
  <w:style w:type="paragraph" w:customStyle="1" w:styleId="Compact">
    <w:name w:val="Compact"/>
    <w:basedOn w:val="BodyText"/>
    <w:qFormat/>
    <w:rsid w:val="006C24CC"/>
    <w:pPr>
      <w:spacing w:before="36" w:after="36"/>
    </w:pPr>
    <w:rPr>
      <w:rFonts w:asciiTheme="minorHAnsi" w:eastAsiaTheme="minorHAnsi" w:hAnsiTheme="minorHAnsi" w:cstheme="minorBidi"/>
      <w:sz w:val="24"/>
      <w:szCs w:val="24"/>
      <w:lang w:val="en-US"/>
    </w:rPr>
  </w:style>
  <w:style w:type="paragraph" w:styleId="BodyText">
    <w:name w:val="Body Text"/>
    <w:basedOn w:val="Normal"/>
    <w:link w:val="BodyTextChar"/>
    <w:uiPriority w:val="99"/>
    <w:semiHidden/>
    <w:unhideWhenUsed/>
    <w:rsid w:val="006C24CC"/>
    <w:pPr>
      <w:spacing w:after="120"/>
    </w:pPr>
  </w:style>
  <w:style w:type="character" w:customStyle="1" w:styleId="BodyTextChar">
    <w:name w:val="Body Text Char"/>
    <w:basedOn w:val="DefaultParagraphFont"/>
    <w:link w:val="BodyText"/>
    <w:uiPriority w:val="99"/>
    <w:semiHidden/>
    <w:rsid w:val="006C24CC"/>
    <w:rPr>
      <w:rFonts w:ascii="Cambria" w:hAnsi="Cambria"/>
      <w:lang w:eastAsia="en-US"/>
    </w:rPr>
  </w:style>
  <w:style w:type="paragraph" w:customStyle="1" w:styleId="DHHStablecolumnheadwhite">
    <w:name w:val="DHHS table column head white"/>
    <w:basedOn w:val="DHHStablecolumnheadblack"/>
    <w:rsid w:val="00C1114C"/>
    <w:rPr>
      <w:color w:val="FFFFFF" w:themeColor="background1"/>
    </w:rPr>
  </w:style>
  <w:style w:type="character" w:styleId="HTMLCite">
    <w:name w:val="HTML Cite"/>
    <w:basedOn w:val="DefaultParagraphFont"/>
    <w:uiPriority w:val="99"/>
    <w:semiHidden/>
    <w:unhideWhenUsed/>
    <w:rsid w:val="00802511"/>
    <w:rPr>
      <w:i/>
      <w:iCs/>
    </w:rPr>
  </w:style>
  <w:style w:type="character" w:customStyle="1" w:styleId="cit-auth">
    <w:name w:val="cit-auth"/>
    <w:basedOn w:val="DefaultParagraphFont"/>
    <w:rsid w:val="00802511"/>
  </w:style>
  <w:style w:type="character" w:customStyle="1" w:styleId="cit-source">
    <w:name w:val="cit-source"/>
    <w:basedOn w:val="DefaultParagraphFont"/>
    <w:rsid w:val="00802511"/>
  </w:style>
  <w:style w:type="character" w:customStyle="1" w:styleId="cit-publ-loc">
    <w:name w:val="cit-publ-loc"/>
    <w:basedOn w:val="DefaultParagraphFont"/>
    <w:rsid w:val="00802511"/>
  </w:style>
  <w:style w:type="character" w:customStyle="1" w:styleId="cit-publ-name">
    <w:name w:val="cit-publ-name"/>
    <w:basedOn w:val="DefaultParagraphFont"/>
    <w:rsid w:val="00802511"/>
  </w:style>
  <w:style w:type="character" w:customStyle="1" w:styleId="cit-pub-date">
    <w:name w:val="cit-pub-date"/>
    <w:basedOn w:val="DefaultParagraphFont"/>
    <w:rsid w:val="00802511"/>
  </w:style>
  <w:style w:type="paragraph" w:customStyle="1" w:styleId="Pa9">
    <w:name w:val="Pa9"/>
    <w:basedOn w:val="Default"/>
    <w:next w:val="Default"/>
    <w:uiPriority w:val="99"/>
    <w:rsid w:val="00A45BB3"/>
    <w:pPr>
      <w:spacing w:line="221" w:lineRule="atLeast"/>
    </w:pPr>
    <w:rPr>
      <w:rFonts w:ascii="Open Sans Light" w:hAnsi="Open Sans Light" w:cs="Times New Roman"/>
      <w:color w:val="auto"/>
    </w:rPr>
  </w:style>
  <w:style w:type="character" w:customStyle="1" w:styleId="A8">
    <w:name w:val="A8"/>
    <w:uiPriority w:val="99"/>
    <w:rsid w:val="00A45BB3"/>
    <w:rPr>
      <w:rFonts w:ascii="Open Sans" w:hAnsi="Open Sans" w:cs="Open Sans"/>
      <w:color w:val="000000"/>
      <w:sz w:val="12"/>
      <w:szCs w:val="12"/>
    </w:rPr>
  </w:style>
  <w:style w:type="character" w:customStyle="1" w:styleId="mixed-citation">
    <w:name w:val="mixed-citation"/>
    <w:basedOn w:val="DefaultParagraphFont"/>
    <w:rsid w:val="008C14DD"/>
  </w:style>
  <w:style w:type="character" w:customStyle="1" w:styleId="ref-journal">
    <w:name w:val="ref-journal"/>
    <w:basedOn w:val="DefaultParagraphFont"/>
    <w:rsid w:val="008C14DD"/>
  </w:style>
  <w:style w:type="character" w:customStyle="1" w:styleId="cca-new-window">
    <w:name w:val="cca-new-window"/>
    <w:basedOn w:val="DefaultParagraphFont"/>
    <w:rsid w:val="00E44E92"/>
  </w:style>
  <w:style w:type="character" w:customStyle="1" w:styleId="UnresolvedMention3">
    <w:name w:val="Unresolved Mention3"/>
    <w:basedOn w:val="DefaultParagraphFont"/>
    <w:uiPriority w:val="99"/>
    <w:semiHidden/>
    <w:unhideWhenUsed/>
    <w:rsid w:val="00014A8F"/>
    <w:rPr>
      <w:color w:val="605E5C"/>
      <w:shd w:val="clear" w:color="auto" w:fill="E1DFDD"/>
    </w:rPr>
  </w:style>
  <w:style w:type="character" w:customStyle="1" w:styleId="citation">
    <w:name w:val="citation"/>
    <w:basedOn w:val="DefaultParagraphFont"/>
    <w:rsid w:val="003E0089"/>
  </w:style>
  <w:style w:type="character" w:customStyle="1" w:styleId="xref-sep">
    <w:name w:val="xref-sep"/>
    <w:basedOn w:val="DefaultParagraphFont"/>
    <w:rsid w:val="008444E7"/>
  </w:style>
  <w:style w:type="character" w:customStyle="1" w:styleId="groupname">
    <w:name w:val="groupname"/>
    <w:basedOn w:val="DefaultParagraphFont"/>
    <w:rsid w:val="00883852"/>
  </w:style>
  <w:style w:type="character" w:customStyle="1" w:styleId="othertitle">
    <w:name w:val="othertitle"/>
    <w:basedOn w:val="DefaultParagraphFont"/>
    <w:rsid w:val="00883852"/>
  </w:style>
  <w:style w:type="character" w:customStyle="1" w:styleId="publisherlocation">
    <w:name w:val="publisherlocation"/>
    <w:basedOn w:val="DefaultParagraphFont"/>
    <w:rsid w:val="00883852"/>
  </w:style>
  <w:style w:type="character" w:customStyle="1" w:styleId="pubyear">
    <w:name w:val="pubyear"/>
    <w:basedOn w:val="DefaultParagraphFont"/>
    <w:rsid w:val="00883852"/>
  </w:style>
  <w:style w:type="character" w:customStyle="1" w:styleId="element-citation">
    <w:name w:val="element-citation"/>
    <w:basedOn w:val="DefaultParagraphFont"/>
    <w:rsid w:val="00BD1EB3"/>
  </w:style>
  <w:style w:type="paragraph" w:styleId="HTMLPreformatted">
    <w:name w:val="HTML Preformatted"/>
    <w:basedOn w:val="Normal"/>
    <w:link w:val="HTMLPreformattedChar"/>
    <w:uiPriority w:val="99"/>
    <w:unhideWhenUsed/>
    <w:rsid w:val="00386D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386D51"/>
    <w:rPr>
      <w:rFonts w:ascii="Courier New" w:hAnsi="Courier New" w:cs="Courier New"/>
    </w:rPr>
  </w:style>
  <w:style w:type="character" w:customStyle="1" w:styleId="A3">
    <w:name w:val="A3"/>
    <w:uiPriority w:val="99"/>
    <w:rsid w:val="009264F6"/>
    <w:rPr>
      <w:rFonts w:cs="Open Sans"/>
      <w:color w:val="000000"/>
      <w:sz w:val="20"/>
      <w:szCs w:val="20"/>
    </w:rPr>
  </w:style>
  <w:style w:type="character" w:customStyle="1" w:styleId="normaltextrun">
    <w:name w:val="normaltextrun"/>
    <w:basedOn w:val="DefaultParagraphFont"/>
    <w:rsid w:val="00E306C3"/>
  </w:style>
  <w:style w:type="character" w:customStyle="1" w:styleId="UnresolvedMention4">
    <w:name w:val="Unresolved Mention4"/>
    <w:basedOn w:val="DefaultParagraphFont"/>
    <w:uiPriority w:val="99"/>
    <w:semiHidden/>
    <w:unhideWhenUsed/>
    <w:rsid w:val="000836BA"/>
    <w:rPr>
      <w:color w:val="605E5C"/>
      <w:shd w:val="clear" w:color="auto" w:fill="E1DFDD"/>
    </w:rPr>
  </w:style>
  <w:style w:type="table" w:customStyle="1" w:styleId="PlainTable21">
    <w:name w:val="Plain Table 21"/>
    <w:basedOn w:val="TableNormal"/>
    <w:uiPriority w:val="42"/>
    <w:rsid w:val="00E26C44"/>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e24kjd">
    <w:name w:val="e24kjd"/>
    <w:basedOn w:val="DefaultParagraphFont"/>
    <w:rsid w:val="00EE6F47"/>
  </w:style>
  <w:style w:type="paragraph" w:customStyle="1" w:styleId="c-article-identifiersitem">
    <w:name w:val="c-article-identifiers__item"/>
    <w:basedOn w:val="Normal"/>
    <w:rsid w:val="007951A6"/>
    <w:pPr>
      <w:pBdr>
        <w:right w:val="single" w:sz="6" w:space="9" w:color="CCCCCC"/>
      </w:pBdr>
      <w:spacing w:before="100" w:beforeAutospacing="1" w:after="100" w:afterAutospacing="1"/>
      <w:ind w:right="180"/>
    </w:pPr>
    <w:rPr>
      <w:sz w:val="24"/>
      <w:szCs w:val="24"/>
    </w:rPr>
  </w:style>
  <w:style w:type="paragraph" w:customStyle="1" w:styleId="c-navitem">
    <w:name w:val="c-nav__item"/>
    <w:basedOn w:val="Normal"/>
    <w:rsid w:val="007951A6"/>
    <w:pPr>
      <w:spacing w:before="100" w:beforeAutospacing="1" w:after="100" w:afterAutospacing="1"/>
    </w:pPr>
    <w:rPr>
      <w:sz w:val="24"/>
      <w:szCs w:val="24"/>
    </w:rPr>
  </w:style>
  <w:style w:type="character" w:customStyle="1" w:styleId="u-text-open-access">
    <w:name w:val="u-text-open-access"/>
    <w:basedOn w:val="DefaultParagraphFont"/>
    <w:rsid w:val="007951A6"/>
  </w:style>
  <w:style w:type="character" w:customStyle="1" w:styleId="openpeerreview">
    <w:name w:val="openpeerreview"/>
    <w:basedOn w:val="DefaultParagraphFont"/>
    <w:rsid w:val="007951A6"/>
  </w:style>
  <w:style w:type="paragraph" w:customStyle="1" w:styleId="author2">
    <w:name w:val="author2"/>
    <w:basedOn w:val="Normal"/>
    <w:rsid w:val="007951A6"/>
    <w:pPr>
      <w:spacing w:before="100" w:beforeAutospacing="1" w:after="100" w:afterAutospacing="1"/>
      <w:ind w:right="72"/>
      <w:textAlignment w:val="bottom"/>
    </w:pPr>
    <w:rPr>
      <w:sz w:val="24"/>
      <w:szCs w:val="24"/>
    </w:rPr>
  </w:style>
  <w:style w:type="character" w:customStyle="1" w:styleId="authorname4">
    <w:name w:val="authorname4"/>
    <w:basedOn w:val="DefaultParagraphFont"/>
    <w:rsid w:val="007951A6"/>
  </w:style>
  <w:style w:type="character" w:customStyle="1" w:styleId="u-sronly1">
    <w:name w:val="u-sronly1"/>
    <w:basedOn w:val="DefaultParagraphFont"/>
    <w:rsid w:val="007951A6"/>
    <w:rPr>
      <w:bdr w:val="none" w:sz="0" w:space="0" w:color="auto" w:frame="1"/>
    </w:rPr>
  </w:style>
  <w:style w:type="paragraph" w:customStyle="1" w:styleId="DHHStablebulletindent">
    <w:name w:val="DHHS table bullet indent"/>
    <w:basedOn w:val="DHHStablebullet"/>
    <w:rsid w:val="005865E9"/>
    <w:pPr>
      <w:numPr>
        <w:numId w:val="26"/>
      </w:numPr>
      <w:ind w:left="2098"/>
    </w:pPr>
  </w:style>
  <w:style w:type="character" w:customStyle="1" w:styleId="UnresolvedMention5">
    <w:name w:val="Unresolved Mention5"/>
    <w:basedOn w:val="DefaultParagraphFont"/>
    <w:uiPriority w:val="99"/>
    <w:semiHidden/>
    <w:unhideWhenUsed/>
    <w:rsid w:val="00932808"/>
    <w:rPr>
      <w:color w:val="605E5C"/>
      <w:shd w:val="clear" w:color="auto" w:fill="E1DFDD"/>
    </w:rPr>
  </w:style>
  <w:style w:type="character" w:styleId="UnresolvedMention">
    <w:name w:val="Unresolved Mention"/>
    <w:basedOn w:val="DefaultParagraphFont"/>
    <w:uiPriority w:val="99"/>
    <w:semiHidden/>
    <w:unhideWhenUsed/>
    <w:rsid w:val="007479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1055">
      <w:bodyDiv w:val="1"/>
      <w:marLeft w:val="0"/>
      <w:marRight w:val="0"/>
      <w:marTop w:val="0"/>
      <w:marBottom w:val="0"/>
      <w:divBdr>
        <w:top w:val="none" w:sz="0" w:space="0" w:color="auto"/>
        <w:left w:val="none" w:sz="0" w:space="0" w:color="auto"/>
        <w:bottom w:val="none" w:sz="0" w:space="0" w:color="auto"/>
        <w:right w:val="none" w:sz="0" w:space="0" w:color="auto"/>
      </w:divBdr>
    </w:div>
    <w:div w:id="25520348">
      <w:bodyDiv w:val="1"/>
      <w:marLeft w:val="0"/>
      <w:marRight w:val="0"/>
      <w:marTop w:val="0"/>
      <w:marBottom w:val="0"/>
      <w:divBdr>
        <w:top w:val="none" w:sz="0" w:space="0" w:color="auto"/>
        <w:left w:val="none" w:sz="0" w:space="0" w:color="auto"/>
        <w:bottom w:val="none" w:sz="0" w:space="0" w:color="auto"/>
        <w:right w:val="none" w:sz="0" w:space="0" w:color="auto"/>
      </w:divBdr>
    </w:div>
    <w:div w:id="28533404">
      <w:bodyDiv w:val="1"/>
      <w:marLeft w:val="0"/>
      <w:marRight w:val="0"/>
      <w:marTop w:val="0"/>
      <w:marBottom w:val="0"/>
      <w:divBdr>
        <w:top w:val="none" w:sz="0" w:space="0" w:color="auto"/>
        <w:left w:val="none" w:sz="0" w:space="0" w:color="auto"/>
        <w:bottom w:val="none" w:sz="0" w:space="0" w:color="auto"/>
        <w:right w:val="none" w:sz="0" w:space="0" w:color="auto"/>
      </w:divBdr>
    </w:div>
    <w:div w:id="46803123">
      <w:bodyDiv w:val="1"/>
      <w:marLeft w:val="0"/>
      <w:marRight w:val="0"/>
      <w:marTop w:val="0"/>
      <w:marBottom w:val="0"/>
      <w:divBdr>
        <w:top w:val="none" w:sz="0" w:space="0" w:color="auto"/>
        <w:left w:val="none" w:sz="0" w:space="0" w:color="auto"/>
        <w:bottom w:val="none" w:sz="0" w:space="0" w:color="auto"/>
        <w:right w:val="none" w:sz="0" w:space="0" w:color="auto"/>
      </w:divBdr>
    </w:div>
    <w:div w:id="55711502">
      <w:bodyDiv w:val="1"/>
      <w:marLeft w:val="0"/>
      <w:marRight w:val="0"/>
      <w:marTop w:val="0"/>
      <w:marBottom w:val="0"/>
      <w:divBdr>
        <w:top w:val="none" w:sz="0" w:space="0" w:color="auto"/>
        <w:left w:val="none" w:sz="0" w:space="0" w:color="auto"/>
        <w:bottom w:val="none" w:sz="0" w:space="0" w:color="auto"/>
        <w:right w:val="none" w:sz="0" w:space="0" w:color="auto"/>
      </w:divBdr>
    </w:div>
    <w:div w:id="65882098">
      <w:bodyDiv w:val="1"/>
      <w:marLeft w:val="0"/>
      <w:marRight w:val="0"/>
      <w:marTop w:val="0"/>
      <w:marBottom w:val="0"/>
      <w:divBdr>
        <w:top w:val="none" w:sz="0" w:space="0" w:color="auto"/>
        <w:left w:val="none" w:sz="0" w:space="0" w:color="auto"/>
        <w:bottom w:val="none" w:sz="0" w:space="0" w:color="auto"/>
        <w:right w:val="none" w:sz="0" w:space="0" w:color="auto"/>
      </w:divBdr>
    </w:div>
    <w:div w:id="94056875">
      <w:bodyDiv w:val="1"/>
      <w:marLeft w:val="0"/>
      <w:marRight w:val="0"/>
      <w:marTop w:val="0"/>
      <w:marBottom w:val="0"/>
      <w:divBdr>
        <w:top w:val="none" w:sz="0" w:space="0" w:color="auto"/>
        <w:left w:val="none" w:sz="0" w:space="0" w:color="auto"/>
        <w:bottom w:val="none" w:sz="0" w:space="0" w:color="auto"/>
        <w:right w:val="none" w:sz="0" w:space="0" w:color="auto"/>
      </w:divBdr>
    </w:div>
    <w:div w:id="151919617">
      <w:bodyDiv w:val="1"/>
      <w:marLeft w:val="0"/>
      <w:marRight w:val="0"/>
      <w:marTop w:val="0"/>
      <w:marBottom w:val="0"/>
      <w:divBdr>
        <w:top w:val="none" w:sz="0" w:space="0" w:color="auto"/>
        <w:left w:val="none" w:sz="0" w:space="0" w:color="auto"/>
        <w:bottom w:val="none" w:sz="0" w:space="0" w:color="auto"/>
        <w:right w:val="none" w:sz="0" w:space="0" w:color="auto"/>
      </w:divBdr>
      <w:divsChild>
        <w:div w:id="1242326133">
          <w:marLeft w:val="0"/>
          <w:marRight w:val="0"/>
          <w:marTop w:val="0"/>
          <w:marBottom w:val="0"/>
          <w:divBdr>
            <w:top w:val="none" w:sz="0" w:space="0" w:color="auto"/>
            <w:left w:val="none" w:sz="0" w:space="0" w:color="auto"/>
            <w:bottom w:val="none" w:sz="0" w:space="0" w:color="auto"/>
            <w:right w:val="none" w:sz="0" w:space="0" w:color="auto"/>
          </w:divBdr>
          <w:divsChild>
            <w:div w:id="562713224">
              <w:marLeft w:val="-225"/>
              <w:marRight w:val="-225"/>
              <w:marTop w:val="0"/>
              <w:marBottom w:val="0"/>
              <w:divBdr>
                <w:top w:val="none" w:sz="0" w:space="0" w:color="auto"/>
                <w:left w:val="none" w:sz="0" w:space="0" w:color="auto"/>
                <w:bottom w:val="none" w:sz="0" w:space="0" w:color="auto"/>
                <w:right w:val="none" w:sz="0" w:space="0" w:color="auto"/>
              </w:divBdr>
              <w:divsChild>
                <w:div w:id="2102676966">
                  <w:marLeft w:val="0"/>
                  <w:marRight w:val="0"/>
                  <w:marTop w:val="0"/>
                  <w:marBottom w:val="0"/>
                  <w:divBdr>
                    <w:top w:val="none" w:sz="0" w:space="0" w:color="auto"/>
                    <w:left w:val="none" w:sz="0" w:space="0" w:color="auto"/>
                    <w:bottom w:val="none" w:sz="0" w:space="0" w:color="auto"/>
                    <w:right w:val="none" w:sz="0" w:space="0" w:color="auto"/>
                  </w:divBdr>
                  <w:divsChild>
                    <w:div w:id="808285475">
                      <w:marLeft w:val="0"/>
                      <w:marRight w:val="0"/>
                      <w:marTop w:val="0"/>
                      <w:marBottom w:val="0"/>
                      <w:divBdr>
                        <w:top w:val="none" w:sz="0" w:space="0" w:color="auto"/>
                        <w:left w:val="none" w:sz="0" w:space="0" w:color="auto"/>
                        <w:bottom w:val="none" w:sz="0" w:space="0" w:color="auto"/>
                        <w:right w:val="none" w:sz="0" w:space="0" w:color="auto"/>
                      </w:divBdr>
                      <w:divsChild>
                        <w:div w:id="829756188">
                          <w:marLeft w:val="0"/>
                          <w:marRight w:val="0"/>
                          <w:marTop w:val="0"/>
                          <w:marBottom w:val="0"/>
                          <w:divBdr>
                            <w:top w:val="none" w:sz="0" w:space="0" w:color="auto"/>
                            <w:left w:val="none" w:sz="0" w:space="0" w:color="auto"/>
                            <w:bottom w:val="none" w:sz="0" w:space="0" w:color="auto"/>
                            <w:right w:val="none" w:sz="0" w:space="0" w:color="auto"/>
                          </w:divBdr>
                          <w:divsChild>
                            <w:div w:id="1454976555">
                              <w:marLeft w:val="0"/>
                              <w:marRight w:val="0"/>
                              <w:marTop w:val="0"/>
                              <w:marBottom w:val="240"/>
                              <w:divBdr>
                                <w:top w:val="none" w:sz="0" w:space="0" w:color="auto"/>
                                <w:left w:val="none" w:sz="0" w:space="0" w:color="auto"/>
                                <w:bottom w:val="none" w:sz="0" w:space="0" w:color="auto"/>
                                <w:right w:val="none" w:sz="0" w:space="0" w:color="auto"/>
                              </w:divBdr>
                              <w:divsChild>
                                <w:div w:id="1041589874">
                                  <w:marLeft w:val="0"/>
                                  <w:marRight w:val="0"/>
                                  <w:marTop w:val="0"/>
                                  <w:marBottom w:val="0"/>
                                  <w:divBdr>
                                    <w:top w:val="none" w:sz="0" w:space="0" w:color="auto"/>
                                    <w:left w:val="none" w:sz="0" w:space="0" w:color="auto"/>
                                    <w:bottom w:val="none" w:sz="0" w:space="0" w:color="auto"/>
                                    <w:right w:val="none" w:sz="0" w:space="0" w:color="auto"/>
                                  </w:divBdr>
                                  <w:divsChild>
                                    <w:div w:id="450365025">
                                      <w:marLeft w:val="0"/>
                                      <w:marRight w:val="0"/>
                                      <w:marTop w:val="0"/>
                                      <w:marBottom w:val="0"/>
                                      <w:divBdr>
                                        <w:top w:val="none" w:sz="0" w:space="0" w:color="auto"/>
                                        <w:left w:val="none" w:sz="0" w:space="0" w:color="auto"/>
                                        <w:bottom w:val="none" w:sz="0" w:space="0" w:color="auto"/>
                                        <w:right w:val="none" w:sz="0" w:space="0" w:color="auto"/>
                                      </w:divBdr>
                                      <w:divsChild>
                                        <w:div w:id="151221093">
                                          <w:marLeft w:val="0"/>
                                          <w:marRight w:val="0"/>
                                          <w:marTop w:val="0"/>
                                          <w:marBottom w:val="0"/>
                                          <w:divBdr>
                                            <w:top w:val="none" w:sz="0" w:space="0" w:color="auto"/>
                                            <w:left w:val="none" w:sz="0" w:space="0" w:color="auto"/>
                                            <w:bottom w:val="none" w:sz="0" w:space="0" w:color="auto"/>
                                            <w:right w:val="none" w:sz="0" w:space="0" w:color="auto"/>
                                          </w:divBdr>
                                          <w:divsChild>
                                            <w:div w:id="712002689">
                                              <w:marLeft w:val="0"/>
                                              <w:marRight w:val="0"/>
                                              <w:marTop w:val="0"/>
                                              <w:marBottom w:val="0"/>
                                              <w:divBdr>
                                                <w:top w:val="none" w:sz="0" w:space="0" w:color="auto"/>
                                                <w:left w:val="none" w:sz="0" w:space="0" w:color="auto"/>
                                                <w:bottom w:val="none" w:sz="0" w:space="0" w:color="auto"/>
                                                <w:right w:val="none" w:sz="0" w:space="0" w:color="auto"/>
                                              </w:divBdr>
                                              <w:divsChild>
                                                <w:div w:id="419717154">
                                                  <w:marLeft w:val="0"/>
                                                  <w:marRight w:val="0"/>
                                                  <w:marTop w:val="0"/>
                                                  <w:marBottom w:val="0"/>
                                                  <w:divBdr>
                                                    <w:top w:val="none" w:sz="0" w:space="0" w:color="auto"/>
                                                    <w:left w:val="none" w:sz="0" w:space="0" w:color="auto"/>
                                                    <w:bottom w:val="none" w:sz="0" w:space="0" w:color="auto"/>
                                                    <w:right w:val="none" w:sz="0" w:space="0" w:color="auto"/>
                                                  </w:divBdr>
                                                  <w:divsChild>
                                                    <w:div w:id="2084639436">
                                                      <w:marLeft w:val="0"/>
                                                      <w:marRight w:val="0"/>
                                                      <w:marTop w:val="0"/>
                                                      <w:marBottom w:val="0"/>
                                                      <w:divBdr>
                                                        <w:top w:val="none" w:sz="0" w:space="0" w:color="auto"/>
                                                        <w:left w:val="none" w:sz="0" w:space="0" w:color="auto"/>
                                                        <w:bottom w:val="none" w:sz="0" w:space="0" w:color="auto"/>
                                                        <w:right w:val="none" w:sz="0" w:space="0" w:color="auto"/>
                                                      </w:divBdr>
                                                      <w:divsChild>
                                                        <w:div w:id="2126339112">
                                                          <w:marLeft w:val="0"/>
                                                          <w:marRight w:val="0"/>
                                                          <w:marTop w:val="0"/>
                                                          <w:marBottom w:val="0"/>
                                                          <w:divBdr>
                                                            <w:top w:val="none" w:sz="0" w:space="0" w:color="auto"/>
                                                            <w:left w:val="none" w:sz="0" w:space="0" w:color="auto"/>
                                                            <w:bottom w:val="none" w:sz="0" w:space="0" w:color="auto"/>
                                                            <w:right w:val="none" w:sz="0" w:space="0" w:color="auto"/>
                                                          </w:divBdr>
                                                          <w:divsChild>
                                                            <w:div w:id="1365204945">
                                                              <w:marLeft w:val="0"/>
                                                              <w:marRight w:val="0"/>
                                                              <w:marTop w:val="0"/>
                                                              <w:marBottom w:val="0"/>
                                                              <w:divBdr>
                                                                <w:top w:val="none" w:sz="0" w:space="0" w:color="auto"/>
                                                                <w:left w:val="none" w:sz="0" w:space="0" w:color="auto"/>
                                                                <w:bottom w:val="none" w:sz="0" w:space="0" w:color="auto"/>
                                                                <w:right w:val="none" w:sz="0" w:space="0" w:color="auto"/>
                                                              </w:divBdr>
                                                              <w:divsChild>
                                                                <w:div w:id="784884428">
                                                                  <w:marLeft w:val="0"/>
                                                                  <w:marRight w:val="0"/>
                                                                  <w:marTop w:val="0"/>
                                                                  <w:marBottom w:val="0"/>
                                                                  <w:divBdr>
                                                                    <w:top w:val="none" w:sz="0" w:space="0" w:color="auto"/>
                                                                    <w:left w:val="none" w:sz="0" w:space="0" w:color="auto"/>
                                                                    <w:bottom w:val="none" w:sz="0" w:space="0" w:color="auto"/>
                                                                    <w:right w:val="none" w:sz="0" w:space="0" w:color="auto"/>
                                                                  </w:divBdr>
                                                                  <w:divsChild>
                                                                    <w:div w:id="1862082323">
                                                                      <w:marLeft w:val="0"/>
                                                                      <w:marRight w:val="0"/>
                                                                      <w:marTop w:val="0"/>
                                                                      <w:marBottom w:val="0"/>
                                                                      <w:divBdr>
                                                                        <w:top w:val="none" w:sz="0" w:space="0" w:color="auto"/>
                                                                        <w:left w:val="none" w:sz="0" w:space="0" w:color="auto"/>
                                                                        <w:bottom w:val="none" w:sz="0" w:space="0" w:color="auto"/>
                                                                        <w:right w:val="none" w:sz="0" w:space="0" w:color="auto"/>
                                                                      </w:divBdr>
                                                                      <w:divsChild>
                                                                        <w:div w:id="1829207655">
                                                                          <w:marLeft w:val="0"/>
                                                                          <w:marRight w:val="0"/>
                                                                          <w:marTop w:val="0"/>
                                                                          <w:marBottom w:val="0"/>
                                                                          <w:divBdr>
                                                                            <w:top w:val="none" w:sz="0" w:space="0" w:color="auto"/>
                                                                            <w:left w:val="none" w:sz="0" w:space="0" w:color="auto"/>
                                                                            <w:bottom w:val="none" w:sz="0" w:space="0" w:color="auto"/>
                                                                            <w:right w:val="none" w:sz="0" w:space="0" w:color="auto"/>
                                                                          </w:divBdr>
                                                                          <w:divsChild>
                                                                            <w:div w:id="1628514223">
                                                                              <w:marLeft w:val="0"/>
                                                                              <w:marRight w:val="0"/>
                                                                              <w:marTop w:val="0"/>
                                                                              <w:marBottom w:val="0"/>
                                                                              <w:divBdr>
                                                                                <w:top w:val="none" w:sz="0" w:space="0" w:color="auto"/>
                                                                                <w:left w:val="none" w:sz="0" w:space="0" w:color="auto"/>
                                                                                <w:bottom w:val="none" w:sz="0" w:space="0" w:color="auto"/>
                                                                                <w:right w:val="none" w:sz="0" w:space="0" w:color="auto"/>
                                                                              </w:divBdr>
                                                                              <w:divsChild>
                                                                                <w:div w:id="1472207846">
                                                                                  <w:marLeft w:val="0"/>
                                                                                  <w:marRight w:val="0"/>
                                                                                  <w:marTop w:val="0"/>
                                                                                  <w:marBottom w:val="0"/>
                                                                                  <w:divBdr>
                                                                                    <w:top w:val="none" w:sz="0" w:space="0" w:color="auto"/>
                                                                                    <w:left w:val="none" w:sz="0" w:space="0" w:color="auto"/>
                                                                                    <w:bottom w:val="none" w:sz="0" w:space="0" w:color="auto"/>
                                                                                    <w:right w:val="none" w:sz="0" w:space="0" w:color="auto"/>
                                                                                  </w:divBdr>
                                                                                  <w:divsChild>
                                                                                    <w:div w:id="1844471827">
                                                                                      <w:marLeft w:val="0"/>
                                                                                      <w:marRight w:val="0"/>
                                                                                      <w:marTop w:val="0"/>
                                                                                      <w:marBottom w:val="0"/>
                                                                                      <w:divBdr>
                                                                                        <w:top w:val="none" w:sz="0" w:space="0" w:color="auto"/>
                                                                                        <w:left w:val="none" w:sz="0" w:space="0" w:color="auto"/>
                                                                                        <w:bottom w:val="none" w:sz="0" w:space="0" w:color="auto"/>
                                                                                        <w:right w:val="none" w:sz="0" w:space="0" w:color="auto"/>
                                                                                      </w:divBdr>
                                                                                      <w:divsChild>
                                                                                        <w:div w:id="1844785679">
                                                                                          <w:marLeft w:val="0"/>
                                                                                          <w:marRight w:val="0"/>
                                                                                          <w:marTop w:val="0"/>
                                                                                          <w:marBottom w:val="0"/>
                                                                                          <w:divBdr>
                                                                                            <w:top w:val="single" w:sz="6" w:space="15" w:color="EBEBEB"/>
                                                                                            <w:left w:val="single" w:sz="6" w:space="15" w:color="EBEBEB"/>
                                                                                            <w:bottom w:val="single" w:sz="6" w:space="15" w:color="EBEBEB"/>
                                                                                            <w:right w:val="single" w:sz="6" w:space="15" w:color="EBEBEB"/>
                                                                                          </w:divBdr>
                                                                                          <w:divsChild>
                                                                                            <w:div w:id="432015804">
                                                                                              <w:marLeft w:val="0"/>
                                                                                              <w:marRight w:val="0"/>
                                                                                              <w:marTop w:val="0"/>
                                                                                              <w:marBottom w:val="0"/>
                                                                                              <w:divBdr>
                                                                                                <w:top w:val="none" w:sz="0" w:space="0" w:color="auto"/>
                                                                                                <w:left w:val="none" w:sz="0" w:space="0" w:color="auto"/>
                                                                                                <w:bottom w:val="none" w:sz="0" w:space="0" w:color="auto"/>
                                                                                                <w:right w:val="none" w:sz="0" w:space="0" w:color="auto"/>
                                                                                              </w:divBdr>
                                                                                              <w:divsChild>
                                                                                                <w:div w:id="1529952488">
                                                                                                  <w:marLeft w:val="0"/>
                                                                                                  <w:marRight w:val="0"/>
                                                                                                  <w:marTop w:val="0"/>
                                                                                                  <w:marBottom w:val="0"/>
                                                                                                  <w:divBdr>
                                                                                                    <w:top w:val="none" w:sz="0" w:space="0" w:color="auto"/>
                                                                                                    <w:left w:val="none" w:sz="0" w:space="0" w:color="auto"/>
                                                                                                    <w:bottom w:val="none" w:sz="0" w:space="0" w:color="auto"/>
                                                                                                    <w:right w:val="none" w:sz="0" w:space="0" w:color="auto"/>
                                                                                                  </w:divBdr>
                                                                                                </w:div>
                                                                                                <w:div w:id="1921328992">
                                                                                                  <w:marLeft w:val="0"/>
                                                                                                  <w:marRight w:val="0"/>
                                                                                                  <w:marTop w:val="0"/>
                                                                                                  <w:marBottom w:val="0"/>
                                                                                                  <w:divBdr>
                                                                                                    <w:top w:val="none" w:sz="0" w:space="0" w:color="auto"/>
                                                                                                    <w:left w:val="none" w:sz="0" w:space="0" w:color="auto"/>
                                                                                                    <w:bottom w:val="none" w:sz="0" w:space="0" w:color="auto"/>
                                                                                                    <w:right w:val="none" w:sz="0" w:space="0" w:color="auto"/>
                                                                                                  </w:divBdr>
                                                                                                  <w:divsChild>
                                                                                                    <w:div w:id="110017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797921">
      <w:bodyDiv w:val="1"/>
      <w:marLeft w:val="0"/>
      <w:marRight w:val="0"/>
      <w:marTop w:val="0"/>
      <w:marBottom w:val="0"/>
      <w:divBdr>
        <w:top w:val="none" w:sz="0" w:space="0" w:color="auto"/>
        <w:left w:val="none" w:sz="0" w:space="0" w:color="auto"/>
        <w:bottom w:val="none" w:sz="0" w:space="0" w:color="auto"/>
        <w:right w:val="none" w:sz="0" w:space="0" w:color="auto"/>
      </w:divBdr>
      <w:divsChild>
        <w:div w:id="2044473534">
          <w:marLeft w:val="0"/>
          <w:marRight w:val="0"/>
          <w:marTop w:val="0"/>
          <w:marBottom w:val="0"/>
          <w:divBdr>
            <w:top w:val="none" w:sz="0" w:space="0" w:color="auto"/>
            <w:left w:val="none" w:sz="0" w:space="0" w:color="auto"/>
            <w:bottom w:val="none" w:sz="0" w:space="0" w:color="auto"/>
            <w:right w:val="none" w:sz="0" w:space="0" w:color="auto"/>
          </w:divBdr>
          <w:divsChild>
            <w:div w:id="845290474">
              <w:marLeft w:val="-225"/>
              <w:marRight w:val="-225"/>
              <w:marTop w:val="0"/>
              <w:marBottom w:val="0"/>
              <w:divBdr>
                <w:top w:val="none" w:sz="0" w:space="0" w:color="auto"/>
                <w:left w:val="none" w:sz="0" w:space="0" w:color="auto"/>
                <w:bottom w:val="none" w:sz="0" w:space="0" w:color="auto"/>
                <w:right w:val="none" w:sz="0" w:space="0" w:color="auto"/>
              </w:divBdr>
              <w:divsChild>
                <w:div w:id="1127043563">
                  <w:marLeft w:val="0"/>
                  <w:marRight w:val="0"/>
                  <w:marTop w:val="0"/>
                  <w:marBottom w:val="0"/>
                  <w:divBdr>
                    <w:top w:val="none" w:sz="0" w:space="0" w:color="auto"/>
                    <w:left w:val="none" w:sz="0" w:space="0" w:color="auto"/>
                    <w:bottom w:val="none" w:sz="0" w:space="0" w:color="auto"/>
                    <w:right w:val="none" w:sz="0" w:space="0" w:color="auto"/>
                  </w:divBdr>
                  <w:divsChild>
                    <w:div w:id="102236712">
                      <w:marLeft w:val="0"/>
                      <w:marRight w:val="0"/>
                      <w:marTop w:val="0"/>
                      <w:marBottom w:val="0"/>
                      <w:divBdr>
                        <w:top w:val="none" w:sz="0" w:space="0" w:color="auto"/>
                        <w:left w:val="none" w:sz="0" w:space="0" w:color="auto"/>
                        <w:bottom w:val="none" w:sz="0" w:space="0" w:color="auto"/>
                        <w:right w:val="none" w:sz="0" w:space="0" w:color="auto"/>
                      </w:divBdr>
                      <w:divsChild>
                        <w:div w:id="1299334469">
                          <w:marLeft w:val="0"/>
                          <w:marRight w:val="0"/>
                          <w:marTop w:val="0"/>
                          <w:marBottom w:val="0"/>
                          <w:divBdr>
                            <w:top w:val="none" w:sz="0" w:space="0" w:color="auto"/>
                            <w:left w:val="none" w:sz="0" w:space="0" w:color="auto"/>
                            <w:bottom w:val="none" w:sz="0" w:space="0" w:color="auto"/>
                            <w:right w:val="none" w:sz="0" w:space="0" w:color="auto"/>
                          </w:divBdr>
                          <w:divsChild>
                            <w:div w:id="1368531415">
                              <w:marLeft w:val="0"/>
                              <w:marRight w:val="0"/>
                              <w:marTop w:val="0"/>
                              <w:marBottom w:val="240"/>
                              <w:divBdr>
                                <w:top w:val="none" w:sz="0" w:space="0" w:color="auto"/>
                                <w:left w:val="none" w:sz="0" w:space="0" w:color="auto"/>
                                <w:bottom w:val="none" w:sz="0" w:space="0" w:color="auto"/>
                                <w:right w:val="none" w:sz="0" w:space="0" w:color="auto"/>
                              </w:divBdr>
                              <w:divsChild>
                                <w:div w:id="1766656743">
                                  <w:marLeft w:val="0"/>
                                  <w:marRight w:val="0"/>
                                  <w:marTop w:val="0"/>
                                  <w:marBottom w:val="0"/>
                                  <w:divBdr>
                                    <w:top w:val="none" w:sz="0" w:space="0" w:color="auto"/>
                                    <w:left w:val="none" w:sz="0" w:space="0" w:color="auto"/>
                                    <w:bottom w:val="none" w:sz="0" w:space="0" w:color="auto"/>
                                    <w:right w:val="none" w:sz="0" w:space="0" w:color="auto"/>
                                  </w:divBdr>
                                  <w:divsChild>
                                    <w:div w:id="225339695">
                                      <w:marLeft w:val="0"/>
                                      <w:marRight w:val="0"/>
                                      <w:marTop w:val="0"/>
                                      <w:marBottom w:val="0"/>
                                      <w:divBdr>
                                        <w:top w:val="none" w:sz="0" w:space="0" w:color="auto"/>
                                        <w:left w:val="none" w:sz="0" w:space="0" w:color="auto"/>
                                        <w:bottom w:val="none" w:sz="0" w:space="0" w:color="auto"/>
                                        <w:right w:val="none" w:sz="0" w:space="0" w:color="auto"/>
                                      </w:divBdr>
                                      <w:divsChild>
                                        <w:div w:id="798496016">
                                          <w:marLeft w:val="0"/>
                                          <w:marRight w:val="0"/>
                                          <w:marTop w:val="0"/>
                                          <w:marBottom w:val="0"/>
                                          <w:divBdr>
                                            <w:top w:val="none" w:sz="0" w:space="0" w:color="auto"/>
                                            <w:left w:val="none" w:sz="0" w:space="0" w:color="auto"/>
                                            <w:bottom w:val="none" w:sz="0" w:space="0" w:color="auto"/>
                                            <w:right w:val="none" w:sz="0" w:space="0" w:color="auto"/>
                                          </w:divBdr>
                                          <w:divsChild>
                                            <w:div w:id="1315643882">
                                              <w:marLeft w:val="0"/>
                                              <w:marRight w:val="0"/>
                                              <w:marTop w:val="0"/>
                                              <w:marBottom w:val="0"/>
                                              <w:divBdr>
                                                <w:top w:val="none" w:sz="0" w:space="0" w:color="auto"/>
                                                <w:left w:val="none" w:sz="0" w:space="0" w:color="auto"/>
                                                <w:bottom w:val="none" w:sz="0" w:space="0" w:color="auto"/>
                                                <w:right w:val="none" w:sz="0" w:space="0" w:color="auto"/>
                                              </w:divBdr>
                                              <w:divsChild>
                                                <w:div w:id="1300723085">
                                                  <w:marLeft w:val="0"/>
                                                  <w:marRight w:val="0"/>
                                                  <w:marTop w:val="0"/>
                                                  <w:marBottom w:val="0"/>
                                                  <w:divBdr>
                                                    <w:top w:val="none" w:sz="0" w:space="0" w:color="auto"/>
                                                    <w:left w:val="none" w:sz="0" w:space="0" w:color="auto"/>
                                                    <w:bottom w:val="none" w:sz="0" w:space="0" w:color="auto"/>
                                                    <w:right w:val="none" w:sz="0" w:space="0" w:color="auto"/>
                                                  </w:divBdr>
                                                  <w:divsChild>
                                                    <w:div w:id="1187405406">
                                                      <w:marLeft w:val="0"/>
                                                      <w:marRight w:val="0"/>
                                                      <w:marTop w:val="0"/>
                                                      <w:marBottom w:val="0"/>
                                                      <w:divBdr>
                                                        <w:top w:val="none" w:sz="0" w:space="0" w:color="auto"/>
                                                        <w:left w:val="none" w:sz="0" w:space="0" w:color="auto"/>
                                                        <w:bottom w:val="none" w:sz="0" w:space="0" w:color="auto"/>
                                                        <w:right w:val="none" w:sz="0" w:space="0" w:color="auto"/>
                                                      </w:divBdr>
                                                      <w:divsChild>
                                                        <w:div w:id="146827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0367608">
      <w:bodyDiv w:val="1"/>
      <w:marLeft w:val="0"/>
      <w:marRight w:val="0"/>
      <w:marTop w:val="0"/>
      <w:marBottom w:val="0"/>
      <w:divBdr>
        <w:top w:val="none" w:sz="0" w:space="0" w:color="auto"/>
        <w:left w:val="none" w:sz="0" w:space="0" w:color="auto"/>
        <w:bottom w:val="none" w:sz="0" w:space="0" w:color="auto"/>
        <w:right w:val="none" w:sz="0" w:space="0" w:color="auto"/>
      </w:divBdr>
    </w:div>
    <w:div w:id="238953588">
      <w:bodyDiv w:val="1"/>
      <w:marLeft w:val="0"/>
      <w:marRight w:val="0"/>
      <w:marTop w:val="0"/>
      <w:marBottom w:val="0"/>
      <w:divBdr>
        <w:top w:val="none" w:sz="0" w:space="0" w:color="auto"/>
        <w:left w:val="none" w:sz="0" w:space="0" w:color="auto"/>
        <w:bottom w:val="none" w:sz="0" w:space="0" w:color="auto"/>
        <w:right w:val="none" w:sz="0" w:space="0" w:color="auto"/>
      </w:divBdr>
    </w:div>
    <w:div w:id="289168893">
      <w:bodyDiv w:val="1"/>
      <w:marLeft w:val="0"/>
      <w:marRight w:val="0"/>
      <w:marTop w:val="0"/>
      <w:marBottom w:val="0"/>
      <w:divBdr>
        <w:top w:val="none" w:sz="0" w:space="0" w:color="auto"/>
        <w:left w:val="none" w:sz="0" w:space="0" w:color="auto"/>
        <w:bottom w:val="none" w:sz="0" w:space="0" w:color="auto"/>
        <w:right w:val="none" w:sz="0" w:space="0" w:color="auto"/>
      </w:divBdr>
    </w:div>
    <w:div w:id="296303291">
      <w:bodyDiv w:val="1"/>
      <w:marLeft w:val="0"/>
      <w:marRight w:val="0"/>
      <w:marTop w:val="0"/>
      <w:marBottom w:val="0"/>
      <w:divBdr>
        <w:top w:val="none" w:sz="0" w:space="0" w:color="auto"/>
        <w:left w:val="none" w:sz="0" w:space="0" w:color="auto"/>
        <w:bottom w:val="none" w:sz="0" w:space="0" w:color="auto"/>
        <w:right w:val="none" w:sz="0" w:space="0" w:color="auto"/>
      </w:divBdr>
    </w:div>
    <w:div w:id="335111853">
      <w:bodyDiv w:val="1"/>
      <w:marLeft w:val="0"/>
      <w:marRight w:val="0"/>
      <w:marTop w:val="0"/>
      <w:marBottom w:val="0"/>
      <w:divBdr>
        <w:top w:val="none" w:sz="0" w:space="0" w:color="auto"/>
        <w:left w:val="none" w:sz="0" w:space="0" w:color="auto"/>
        <w:bottom w:val="none" w:sz="0" w:space="0" w:color="auto"/>
        <w:right w:val="none" w:sz="0" w:space="0" w:color="auto"/>
      </w:divBdr>
      <w:divsChild>
        <w:div w:id="939026076">
          <w:marLeft w:val="0"/>
          <w:marRight w:val="0"/>
          <w:marTop w:val="0"/>
          <w:marBottom w:val="0"/>
          <w:divBdr>
            <w:top w:val="none" w:sz="0" w:space="0" w:color="auto"/>
            <w:left w:val="none" w:sz="0" w:space="0" w:color="auto"/>
            <w:bottom w:val="none" w:sz="0" w:space="0" w:color="auto"/>
            <w:right w:val="none" w:sz="0" w:space="0" w:color="auto"/>
          </w:divBdr>
          <w:divsChild>
            <w:div w:id="1016923491">
              <w:marLeft w:val="0"/>
              <w:marRight w:val="0"/>
              <w:marTop w:val="0"/>
              <w:marBottom w:val="0"/>
              <w:divBdr>
                <w:top w:val="none" w:sz="0" w:space="0" w:color="auto"/>
                <w:left w:val="none" w:sz="0" w:space="0" w:color="auto"/>
                <w:bottom w:val="none" w:sz="0" w:space="0" w:color="auto"/>
                <w:right w:val="none" w:sz="0" w:space="0" w:color="auto"/>
              </w:divBdr>
              <w:divsChild>
                <w:div w:id="898594676">
                  <w:marLeft w:val="0"/>
                  <w:marRight w:val="0"/>
                  <w:marTop w:val="300"/>
                  <w:marBottom w:val="0"/>
                  <w:divBdr>
                    <w:top w:val="none" w:sz="0" w:space="0" w:color="auto"/>
                    <w:left w:val="none" w:sz="0" w:space="0" w:color="auto"/>
                    <w:bottom w:val="none" w:sz="0" w:space="0" w:color="auto"/>
                    <w:right w:val="none" w:sz="0" w:space="0" w:color="auto"/>
                  </w:divBdr>
                  <w:divsChild>
                    <w:div w:id="825440144">
                      <w:marLeft w:val="0"/>
                      <w:marRight w:val="0"/>
                      <w:marTop w:val="0"/>
                      <w:marBottom w:val="0"/>
                      <w:divBdr>
                        <w:top w:val="none" w:sz="0" w:space="0" w:color="auto"/>
                        <w:left w:val="none" w:sz="0" w:space="0" w:color="auto"/>
                        <w:bottom w:val="none" w:sz="0" w:space="0" w:color="auto"/>
                        <w:right w:val="none" w:sz="0" w:space="0" w:color="auto"/>
                      </w:divBdr>
                      <w:divsChild>
                        <w:div w:id="68452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2191370">
      <w:bodyDiv w:val="1"/>
      <w:marLeft w:val="0"/>
      <w:marRight w:val="0"/>
      <w:marTop w:val="0"/>
      <w:marBottom w:val="0"/>
      <w:divBdr>
        <w:top w:val="none" w:sz="0" w:space="0" w:color="auto"/>
        <w:left w:val="none" w:sz="0" w:space="0" w:color="auto"/>
        <w:bottom w:val="none" w:sz="0" w:space="0" w:color="auto"/>
        <w:right w:val="none" w:sz="0" w:space="0" w:color="auto"/>
      </w:divBdr>
    </w:div>
    <w:div w:id="352267885">
      <w:bodyDiv w:val="1"/>
      <w:marLeft w:val="0"/>
      <w:marRight w:val="0"/>
      <w:marTop w:val="0"/>
      <w:marBottom w:val="0"/>
      <w:divBdr>
        <w:top w:val="none" w:sz="0" w:space="0" w:color="auto"/>
        <w:left w:val="none" w:sz="0" w:space="0" w:color="auto"/>
        <w:bottom w:val="none" w:sz="0" w:space="0" w:color="auto"/>
        <w:right w:val="none" w:sz="0" w:space="0" w:color="auto"/>
      </w:divBdr>
    </w:div>
    <w:div w:id="463811524">
      <w:bodyDiv w:val="1"/>
      <w:marLeft w:val="0"/>
      <w:marRight w:val="0"/>
      <w:marTop w:val="0"/>
      <w:marBottom w:val="0"/>
      <w:divBdr>
        <w:top w:val="none" w:sz="0" w:space="0" w:color="auto"/>
        <w:left w:val="none" w:sz="0" w:space="0" w:color="auto"/>
        <w:bottom w:val="none" w:sz="0" w:space="0" w:color="auto"/>
        <w:right w:val="none" w:sz="0" w:space="0" w:color="auto"/>
      </w:divBdr>
    </w:div>
    <w:div w:id="524949508">
      <w:bodyDiv w:val="1"/>
      <w:marLeft w:val="0"/>
      <w:marRight w:val="0"/>
      <w:marTop w:val="0"/>
      <w:marBottom w:val="0"/>
      <w:divBdr>
        <w:top w:val="none" w:sz="0" w:space="0" w:color="auto"/>
        <w:left w:val="none" w:sz="0" w:space="0" w:color="auto"/>
        <w:bottom w:val="none" w:sz="0" w:space="0" w:color="auto"/>
        <w:right w:val="none" w:sz="0" w:space="0" w:color="auto"/>
      </w:divBdr>
    </w:div>
    <w:div w:id="545220927">
      <w:bodyDiv w:val="1"/>
      <w:marLeft w:val="0"/>
      <w:marRight w:val="0"/>
      <w:marTop w:val="0"/>
      <w:marBottom w:val="0"/>
      <w:divBdr>
        <w:top w:val="none" w:sz="0" w:space="0" w:color="auto"/>
        <w:left w:val="none" w:sz="0" w:space="0" w:color="auto"/>
        <w:bottom w:val="none" w:sz="0" w:space="0" w:color="auto"/>
        <w:right w:val="none" w:sz="0" w:space="0" w:color="auto"/>
      </w:divBdr>
    </w:div>
    <w:div w:id="635448777">
      <w:bodyDiv w:val="1"/>
      <w:marLeft w:val="0"/>
      <w:marRight w:val="0"/>
      <w:marTop w:val="0"/>
      <w:marBottom w:val="0"/>
      <w:divBdr>
        <w:top w:val="none" w:sz="0" w:space="0" w:color="auto"/>
        <w:left w:val="none" w:sz="0" w:space="0" w:color="auto"/>
        <w:bottom w:val="none" w:sz="0" w:space="0" w:color="auto"/>
        <w:right w:val="none" w:sz="0" w:space="0" w:color="auto"/>
      </w:divBdr>
    </w:div>
    <w:div w:id="700518678">
      <w:bodyDiv w:val="1"/>
      <w:marLeft w:val="0"/>
      <w:marRight w:val="0"/>
      <w:marTop w:val="0"/>
      <w:marBottom w:val="0"/>
      <w:divBdr>
        <w:top w:val="none" w:sz="0" w:space="0" w:color="auto"/>
        <w:left w:val="none" w:sz="0" w:space="0" w:color="auto"/>
        <w:bottom w:val="none" w:sz="0" w:space="0" w:color="auto"/>
        <w:right w:val="none" w:sz="0" w:space="0" w:color="auto"/>
      </w:divBdr>
    </w:div>
    <w:div w:id="701591281">
      <w:bodyDiv w:val="1"/>
      <w:marLeft w:val="0"/>
      <w:marRight w:val="0"/>
      <w:marTop w:val="0"/>
      <w:marBottom w:val="0"/>
      <w:divBdr>
        <w:top w:val="none" w:sz="0" w:space="0" w:color="auto"/>
        <w:left w:val="none" w:sz="0" w:space="0" w:color="auto"/>
        <w:bottom w:val="none" w:sz="0" w:space="0" w:color="auto"/>
        <w:right w:val="none" w:sz="0" w:space="0" w:color="auto"/>
      </w:divBdr>
      <w:divsChild>
        <w:div w:id="128279446">
          <w:marLeft w:val="0"/>
          <w:marRight w:val="0"/>
          <w:marTop w:val="0"/>
          <w:marBottom w:val="0"/>
          <w:divBdr>
            <w:top w:val="none" w:sz="0" w:space="0" w:color="auto"/>
            <w:left w:val="none" w:sz="0" w:space="0" w:color="auto"/>
            <w:bottom w:val="none" w:sz="0" w:space="0" w:color="auto"/>
            <w:right w:val="none" w:sz="0" w:space="0" w:color="auto"/>
          </w:divBdr>
          <w:divsChild>
            <w:div w:id="174460045">
              <w:marLeft w:val="-225"/>
              <w:marRight w:val="-225"/>
              <w:marTop w:val="0"/>
              <w:marBottom w:val="0"/>
              <w:divBdr>
                <w:top w:val="none" w:sz="0" w:space="0" w:color="auto"/>
                <w:left w:val="none" w:sz="0" w:space="0" w:color="auto"/>
                <w:bottom w:val="none" w:sz="0" w:space="0" w:color="auto"/>
                <w:right w:val="none" w:sz="0" w:space="0" w:color="auto"/>
              </w:divBdr>
              <w:divsChild>
                <w:div w:id="1821385307">
                  <w:marLeft w:val="0"/>
                  <w:marRight w:val="0"/>
                  <w:marTop w:val="0"/>
                  <w:marBottom w:val="0"/>
                  <w:divBdr>
                    <w:top w:val="none" w:sz="0" w:space="0" w:color="auto"/>
                    <w:left w:val="none" w:sz="0" w:space="0" w:color="auto"/>
                    <w:bottom w:val="none" w:sz="0" w:space="0" w:color="auto"/>
                    <w:right w:val="none" w:sz="0" w:space="0" w:color="auto"/>
                  </w:divBdr>
                  <w:divsChild>
                    <w:div w:id="1804303501">
                      <w:marLeft w:val="0"/>
                      <w:marRight w:val="0"/>
                      <w:marTop w:val="0"/>
                      <w:marBottom w:val="0"/>
                      <w:divBdr>
                        <w:top w:val="none" w:sz="0" w:space="0" w:color="auto"/>
                        <w:left w:val="none" w:sz="0" w:space="0" w:color="auto"/>
                        <w:bottom w:val="none" w:sz="0" w:space="0" w:color="auto"/>
                        <w:right w:val="none" w:sz="0" w:space="0" w:color="auto"/>
                      </w:divBdr>
                      <w:divsChild>
                        <w:div w:id="1726223507">
                          <w:marLeft w:val="0"/>
                          <w:marRight w:val="0"/>
                          <w:marTop w:val="0"/>
                          <w:marBottom w:val="0"/>
                          <w:divBdr>
                            <w:top w:val="none" w:sz="0" w:space="0" w:color="auto"/>
                            <w:left w:val="none" w:sz="0" w:space="0" w:color="auto"/>
                            <w:bottom w:val="none" w:sz="0" w:space="0" w:color="auto"/>
                            <w:right w:val="none" w:sz="0" w:space="0" w:color="auto"/>
                          </w:divBdr>
                          <w:divsChild>
                            <w:div w:id="2046522275">
                              <w:marLeft w:val="0"/>
                              <w:marRight w:val="0"/>
                              <w:marTop w:val="0"/>
                              <w:marBottom w:val="240"/>
                              <w:divBdr>
                                <w:top w:val="none" w:sz="0" w:space="0" w:color="auto"/>
                                <w:left w:val="none" w:sz="0" w:space="0" w:color="auto"/>
                                <w:bottom w:val="none" w:sz="0" w:space="0" w:color="auto"/>
                                <w:right w:val="none" w:sz="0" w:space="0" w:color="auto"/>
                              </w:divBdr>
                              <w:divsChild>
                                <w:div w:id="763915685">
                                  <w:marLeft w:val="0"/>
                                  <w:marRight w:val="0"/>
                                  <w:marTop w:val="0"/>
                                  <w:marBottom w:val="0"/>
                                  <w:divBdr>
                                    <w:top w:val="none" w:sz="0" w:space="0" w:color="auto"/>
                                    <w:left w:val="none" w:sz="0" w:space="0" w:color="auto"/>
                                    <w:bottom w:val="none" w:sz="0" w:space="0" w:color="auto"/>
                                    <w:right w:val="none" w:sz="0" w:space="0" w:color="auto"/>
                                  </w:divBdr>
                                  <w:divsChild>
                                    <w:div w:id="1965765747">
                                      <w:marLeft w:val="0"/>
                                      <w:marRight w:val="0"/>
                                      <w:marTop w:val="0"/>
                                      <w:marBottom w:val="0"/>
                                      <w:divBdr>
                                        <w:top w:val="none" w:sz="0" w:space="0" w:color="auto"/>
                                        <w:left w:val="none" w:sz="0" w:space="0" w:color="auto"/>
                                        <w:bottom w:val="none" w:sz="0" w:space="0" w:color="auto"/>
                                        <w:right w:val="none" w:sz="0" w:space="0" w:color="auto"/>
                                      </w:divBdr>
                                      <w:divsChild>
                                        <w:div w:id="424349613">
                                          <w:marLeft w:val="0"/>
                                          <w:marRight w:val="0"/>
                                          <w:marTop w:val="0"/>
                                          <w:marBottom w:val="0"/>
                                          <w:divBdr>
                                            <w:top w:val="none" w:sz="0" w:space="0" w:color="auto"/>
                                            <w:left w:val="none" w:sz="0" w:space="0" w:color="auto"/>
                                            <w:bottom w:val="none" w:sz="0" w:space="0" w:color="auto"/>
                                            <w:right w:val="none" w:sz="0" w:space="0" w:color="auto"/>
                                          </w:divBdr>
                                          <w:divsChild>
                                            <w:div w:id="1890071456">
                                              <w:marLeft w:val="0"/>
                                              <w:marRight w:val="0"/>
                                              <w:marTop w:val="0"/>
                                              <w:marBottom w:val="0"/>
                                              <w:divBdr>
                                                <w:top w:val="none" w:sz="0" w:space="0" w:color="auto"/>
                                                <w:left w:val="none" w:sz="0" w:space="0" w:color="auto"/>
                                                <w:bottom w:val="none" w:sz="0" w:space="0" w:color="auto"/>
                                                <w:right w:val="none" w:sz="0" w:space="0" w:color="auto"/>
                                              </w:divBdr>
                                              <w:divsChild>
                                                <w:div w:id="1159927319">
                                                  <w:marLeft w:val="0"/>
                                                  <w:marRight w:val="0"/>
                                                  <w:marTop w:val="0"/>
                                                  <w:marBottom w:val="0"/>
                                                  <w:divBdr>
                                                    <w:top w:val="none" w:sz="0" w:space="0" w:color="auto"/>
                                                    <w:left w:val="none" w:sz="0" w:space="0" w:color="auto"/>
                                                    <w:bottom w:val="none" w:sz="0" w:space="0" w:color="auto"/>
                                                    <w:right w:val="none" w:sz="0" w:space="0" w:color="auto"/>
                                                  </w:divBdr>
                                                  <w:divsChild>
                                                    <w:div w:id="313143398">
                                                      <w:marLeft w:val="0"/>
                                                      <w:marRight w:val="0"/>
                                                      <w:marTop w:val="0"/>
                                                      <w:marBottom w:val="0"/>
                                                      <w:divBdr>
                                                        <w:top w:val="none" w:sz="0" w:space="0" w:color="auto"/>
                                                        <w:left w:val="none" w:sz="0" w:space="0" w:color="auto"/>
                                                        <w:bottom w:val="none" w:sz="0" w:space="0" w:color="auto"/>
                                                        <w:right w:val="none" w:sz="0" w:space="0" w:color="auto"/>
                                                      </w:divBdr>
                                                      <w:divsChild>
                                                        <w:div w:id="23674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34355625">
      <w:bodyDiv w:val="1"/>
      <w:marLeft w:val="0"/>
      <w:marRight w:val="0"/>
      <w:marTop w:val="0"/>
      <w:marBottom w:val="0"/>
      <w:divBdr>
        <w:top w:val="none" w:sz="0" w:space="0" w:color="auto"/>
        <w:left w:val="none" w:sz="0" w:space="0" w:color="auto"/>
        <w:bottom w:val="none" w:sz="0" w:space="0" w:color="auto"/>
        <w:right w:val="none" w:sz="0" w:space="0" w:color="auto"/>
      </w:divBdr>
    </w:div>
    <w:div w:id="748962048">
      <w:bodyDiv w:val="1"/>
      <w:marLeft w:val="0"/>
      <w:marRight w:val="0"/>
      <w:marTop w:val="0"/>
      <w:marBottom w:val="0"/>
      <w:divBdr>
        <w:top w:val="none" w:sz="0" w:space="0" w:color="auto"/>
        <w:left w:val="none" w:sz="0" w:space="0" w:color="auto"/>
        <w:bottom w:val="none" w:sz="0" w:space="0" w:color="auto"/>
        <w:right w:val="none" w:sz="0" w:space="0" w:color="auto"/>
      </w:divBdr>
      <w:divsChild>
        <w:div w:id="331841069">
          <w:marLeft w:val="0"/>
          <w:marRight w:val="0"/>
          <w:marTop w:val="0"/>
          <w:marBottom w:val="0"/>
          <w:divBdr>
            <w:top w:val="none" w:sz="0" w:space="0" w:color="auto"/>
            <w:left w:val="none" w:sz="0" w:space="0" w:color="auto"/>
            <w:bottom w:val="none" w:sz="0" w:space="0" w:color="auto"/>
            <w:right w:val="none" w:sz="0" w:space="0" w:color="auto"/>
          </w:divBdr>
          <w:divsChild>
            <w:div w:id="591931932">
              <w:marLeft w:val="-225"/>
              <w:marRight w:val="-225"/>
              <w:marTop w:val="0"/>
              <w:marBottom w:val="0"/>
              <w:divBdr>
                <w:top w:val="none" w:sz="0" w:space="0" w:color="auto"/>
                <w:left w:val="none" w:sz="0" w:space="0" w:color="auto"/>
                <w:bottom w:val="none" w:sz="0" w:space="0" w:color="auto"/>
                <w:right w:val="none" w:sz="0" w:space="0" w:color="auto"/>
              </w:divBdr>
              <w:divsChild>
                <w:div w:id="1389111436">
                  <w:marLeft w:val="0"/>
                  <w:marRight w:val="0"/>
                  <w:marTop w:val="0"/>
                  <w:marBottom w:val="0"/>
                  <w:divBdr>
                    <w:top w:val="none" w:sz="0" w:space="0" w:color="auto"/>
                    <w:left w:val="none" w:sz="0" w:space="0" w:color="auto"/>
                    <w:bottom w:val="none" w:sz="0" w:space="0" w:color="auto"/>
                    <w:right w:val="none" w:sz="0" w:space="0" w:color="auto"/>
                  </w:divBdr>
                  <w:divsChild>
                    <w:div w:id="175073680">
                      <w:marLeft w:val="0"/>
                      <w:marRight w:val="0"/>
                      <w:marTop w:val="0"/>
                      <w:marBottom w:val="0"/>
                      <w:divBdr>
                        <w:top w:val="none" w:sz="0" w:space="0" w:color="auto"/>
                        <w:left w:val="none" w:sz="0" w:space="0" w:color="auto"/>
                        <w:bottom w:val="none" w:sz="0" w:space="0" w:color="auto"/>
                        <w:right w:val="none" w:sz="0" w:space="0" w:color="auto"/>
                      </w:divBdr>
                      <w:divsChild>
                        <w:div w:id="625279954">
                          <w:marLeft w:val="0"/>
                          <w:marRight w:val="0"/>
                          <w:marTop w:val="0"/>
                          <w:marBottom w:val="0"/>
                          <w:divBdr>
                            <w:top w:val="none" w:sz="0" w:space="0" w:color="auto"/>
                            <w:left w:val="none" w:sz="0" w:space="0" w:color="auto"/>
                            <w:bottom w:val="none" w:sz="0" w:space="0" w:color="auto"/>
                            <w:right w:val="none" w:sz="0" w:space="0" w:color="auto"/>
                          </w:divBdr>
                          <w:divsChild>
                            <w:div w:id="814029296">
                              <w:marLeft w:val="0"/>
                              <w:marRight w:val="0"/>
                              <w:marTop w:val="0"/>
                              <w:marBottom w:val="240"/>
                              <w:divBdr>
                                <w:top w:val="none" w:sz="0" w:space="0" w:color="auto"/>
                                <w:left w:val="none" w:sz="0" w:space="0" w:color="auto"/>
                                <w:bottom w:val="none" w:sz="0" w:space="0" w:color="auto"/>
                                <w:right w:val="none" w:sz="0" w:space="0" w:color="auto"/>
                              </w:divBdr>
                              <w:divsChild>
                                <w:div w:id="687484292">
                                  <w:marLeft w:val="0"/>
                                  <w:marRight w:val="0"/>
                                  <w:marTop w:val="0"/>
                                  <w:marBottom w:val="0"/>
                                  <w:divBdr>
                                    <w:top w:val="none" w:sz="0" w:space="0" w:color="auto"/>
                                    <w:left w:val="none" w:sz="0" w:space="0" w:color="auto"/>
                                    <w:bottom w:val="none" w:sz="0" w:space="0" w:color="auto"/>
                                    <w:right w:val="none" w:sz="0" w:space="0" w:color="auto"/>
                                  </w:divBdr>
                                  <w:divsChild>
                                    <w:div w:id="179197732">
                                      <w:marLeft w:val="0"/>
                                      <w:marRight w:val="0"/>
                                      <w:marTop w:val="0"/>
                                      <w:marBottom w:val="0"/>
                                      <w:divBdr>
                                        <w:top w:val="none" w:sz="0" w:space="0" w:color="auto"/>
                                        <w:left w:val="none" w:sz="0" w:space="0" w:color="auto"/>
                                        <w:bottom w:val="none" w:sz="0" w:space="0" w:color="auto"/>
                                        <w:right w:val="none" w:sz="0" w:space="0" w:color="auto"/>
                                      </w:divBdr>
                                      <w:divsChild>
                                        <w:div w:id="1076440901">
                                          <w:marLeft w:val="0"/>
                                          <w:marRight w:val="0"/>
                                          <w:marTop w:val="0"/>
                                          <w:marBottom w:val="0"/>
                                          <w:divBdr>
                                            <w:top w:val="none" w:sz="0" w:space="0" w:color="auto"/>
                                            <w:left w:val="none" w:sz="0" w:space="0" w:color="auto"/>
                                            <w:bottom w:val="none" w:sz="0" w:space="0" w:color="auto"/>
                                            <w:right w:val="none" w:sz="0" w:space="0" w:color="auto"/>
                                          </w:divBdr>
                                          <w:divsChild>
                                            <w:div w:id="217866001">
                                              <w:marLeft w:val="0"/>
                                              <w:marRight w:val="0"/>
                                              <w:marTop w:val="0"/>
                                              <w:marBottom w:val="0"/>
                                              <w:divBdr>
                                                <w:top w:val="none" w:sz="0" w:space="0" w:color="auto"/>
                                                <w:left w:val="none" w:sz="0" w:space="0" w:color="auto"/>
                                                <w:bottom w:val="none" w:sz="0" w:space="0" w:color="auto"/>
                                                <w:right w:val="none" w:sz="0" w:space="0" w:color="auto"/>
                                              </w:divBdr>
                                              <w:divsChild>
                                                <w:div w:id="296840970">
                                                  <w:marLeft w:val="0"/>
                                                  <w:marRight w:val="0"/>
                                                  <w:marTop w:val="0"/>
                                                  <w:marBottom w:val="0"/>
                                                  <w:divBdr>
                                                    <w:top w:val="none" w:sz="0" w:space="0" w:color="auto"/>
                                                    <w:left w:val="none" w:sz="0" w:space="0" w:color="auto"/>
                                                    <w:bottom w:val="none" w:sz="0" w:space="0" w:color="auto"/>
                                                    <w:right w:val="none" w:sz="0" w:space="0" w:color="auto"/>
                                                  </w:divBdr>
                                                  <w:divsChild>
                                                    <w:div w:id="137842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63384597">
      <w:bodyDiv w:val="1"/>
      <w:marLeft w:val="0"/>
      <w:marRight w:val="0"/>
      <w:marTop w:val="0"/>
      <w:marBottom w:val="0"/>
      <w:divBdr>
        <w:top w:val="none" w:sz="0" w:space="0" w:color="auto"/>
        <w:left w:val="none" w:sz="0" w:space="0" w:color="auto"/>
        <w:bottom w:val="none" w:sz="0" w:space="0" w:color="auto"/>
        <w:right w:val="none" w:sz="0" w:space="0" w:color="auto"/>
      </w:divBdr>
      <w:divsChild>
        <w:div w:id="1195997100">
          <w:marLeft w:val="0"/>
          <w:marRight w:val="0"/>
          <w:marTop w:val="0"/>
          <w:marBottom w:val="0"/>
          <w:divBdr>
            <w:top w:val="none" w:sz="0" w:space="0" w:color="auto"/>
            <w:left w:val="none" w:sz="0" w:space="0" w:color="auto"/>
            <w:bottom w:val="none" w:sz="0" w:space="0" w:color="auto"/>
            <w:right w:val="none" w:sz="0" w:space="0" w:color="auto"/>
          </w:divBdr>
          <w:divsChild>
            <w:div w:id="1110709618">
              <w:marLeft w:val="0"/>
              <w:marRight w:val="0"/>
              <w:marTop w:val="0"/>
              <w:marBottom w:val="0"/>
              <w:divBdr>
                <w:top w:val="none" w:sz="0" w:space="0" w:color="auto"/>
                <w:left w:val="none" w:sz="0" w:space="0" w:color="auto"/>
                <w:bottom w:val="none" w:sz="0" w:space="0" w:color="auto"/>
                <w:right w:val="none" w:sz="0" w:space="0" w:color="auto"/>
              </w:divBdr>
              <w:divsChild>
                <w:div w:id="953361993">
                  <w:marLeft w:val="0"/>
                  <w:marRight w:val="0"/>
                  <w:marTop w:val="0"/>
                  <w:marBottom w:val="0"/>
                  <w:divBdr>
                    <w:top w:val="none" w:sz="0" w:space="0" w:color="auto"/>
                    <w:left w:val="none" w:sz="0" w:space="0" w:color="auto"/>
                    <w:bottom w:val="none" w:sz="0" w:space="0" w:color="auto"/>
                    <w:right w:val="none" w:sz="0" w:space="0" w:color="auto"/>
                  </w:divBdr>
                  <w:divsChild>
                    <w:div w:id="1643542424">
                      <w:marLeft w:val="0"/>
                      <w:marRight w:val="0"/>
                      <w:marTop w:val="0"/>
                      <w:marBottom w:val="0"/>
                      <w:divBdr>
                        <w:top w:val="none" w:sz="0" w:space="0" w:color="auto"/>
                        <w:left w:val="none" w:sz="0" w:space="0" w:color="auto"/>
                        <w:bottom w:val="none" w:sz="0" w:space="0" w:color="auto"/>
                        <w:right w:val="none" w:sz="0" w:space="0" w:color="auto"/>
                      </w:divBdr>
                      <w:divsChild>
                        <w:div w:id="618878521">
                          <w:marLeft w:val="0"/>
                          <w:marRight w:val="0"/>
                          <w:marTop w:val="0"/>
                          <w:marBottom w:val="0"/>
                          <w:divBdr>
                            <w:top w:val="none" w:sz="0" w:space="0" w:color="auto"/>
                            <w:left w:val="none" w:sz="0" w:space="0" w:color="auto"/>
                            <w:bottom w:val="none" w:sz="0" w:space="0" w:color="auto"/>
                            <w:right w:val="none" w:sz="0" w:space="0" w:color="auto"/>
                          </w:divBdr>
                          <w:divsChild>
                            <w:div w:id="1151097746">
                              <w:marLeft w:val="0"/>
                              <w:marRight w:val="0"/>
                              <w:marTop w:val="0"/>
                              <w:marBottom w:val="0"/>
                              <w:divBdr>
                                <w:top w:val="none" w:sz="0" w:space="0" w:color="auto"/>
                                <w:left w:val="none" w:sz="0" w:space="0" w:color="auto"/>
                                <w:bottom w:val="none" w:sz="0" w:space="0" w:color="auto"/>
                                <w:right w:val="none" w:sz="0" w:space="0" w:color="auto"/>
                              </w:divBdr>
                              <w:divsChild>
                                <w:div w:id="807934319">
                                  <w:marLeft w:val="0"/>
                                  <w:marRight w:val="0"/>
                                  <w:marTop w:val="0"/>
                                  <w:marBottom w:val="0"/>
                                  <w:divBdr>
                                    <w:top w:val="none" w:sz="0" w:space="0" w:color="auto"/>
                                    <w:left w:val="none" w:sz="0" w:space="0" w:color="auto"/>
                                    <w:bottom w:val="none" w:sz="0" w:space="0" w:color="auto"/>
                                    <w:right w:val="none" w:sz="0" w:space="0" w:color="auto"/>
                                  </w:divBdr>
                                  <w:divsChild>
                                    <w:div w:id="481386274">
                                      <w:marLeft w:val="0"/>
                                      <w:marRight w:val="0"/>
                                      <w:marTop w:val="0"/>
                                      <w:marBottom w:val="0"/>
                                      <w:divBdr>
                                        <w:top w:val="none" w:sz="0" w:space="0" w:color="auto"/>
                                        <w:left w:val="none" w:sz="0" w:space="0" w:color="auto"/>
                                        <w:bottom w:val="none" w:sz="0" w:space="0" w:color="auto"/>
                                        <w:right w:val="none" w:sz="0" w:space="0" w:color="auto"/>
                                      </w:divBdr>
                                      <w:divsChild>
                                        <w:div w:id="622073775">
                                          <w:marLeft w:val="0"/>
                                          <w:marRight w:val="0"/>
                                          <w:marTop w:val="0"/>
                                          <w:marBottom w:val="0"/>
                                          <w:divBdr>
                                            <w:top w:val="none" w:sz="0" w:space="0" w:color="auto"/>
                                            <w:left w:val="none" w:sz="0" w:space="0" w:color="auto"/>
                                            <w:bottom w:val="none" w:sz="0" w:space="0" w:color="auto"/>
                                            <w:right w:val="none" w:sz="0" w:space="0" w:color="auto"/>
                                          </w:divBdr>
                                          <w:divsChild>
                                            <w:div w:id="1674725395">
                                              <w:marLeft w:val="0"/>
                                              <w:marRight w:val="0"/>
                                              <w:marTop w:val="0"/>
                                              <w:marBottom w:val="0"/>
                                              <w:divBdr>
                                                <w:top w:val="none" w:sz="0" w:space="0" w:color="auto"/>
                                                <w:left w:val="none" w:sz="0" w:space="0" w:color="auto"/>
                                                <w:bottom w:val="none" w:sz="0" w:space="0" w:color="auto"/>
                                                <w:right w:val="none" w:sz="0" w:space="0" w:color="auto"/>
                                              </w:divBdr>
                                              <w:divsChild>
                                                <w:div w:id="836379776">
                                                  <w:marLeft w:val="0"/>
                                                  <w:marRight w:val="0"/>
                                                  <w:marTop w:val="0"/>
                                                  <w:marBottom w:val="0"/>
                                                  <w:divBdr>
                                                    <w:top w:val="none" w:sz="0" w:space="0" w:color="auto"/>
                                                    <w:left w:val="none" w:sz="0" w:space="0" w:color="auto"/>
                                                    <w:bottom w:val="none" w:sz="0" w:space="0" w:color="auto"/>
                                                    <w:right w:val="none" w:sz="0" w:space="0" w:color="auto"/>
                                                  </w:divBdr>
                                                  <w:divsChild>
                                                    <w:div w:id="753429319">
                                                      <w:marLeft w:val="0"/>
                                                      <w:marRight w:val="0"/>
                                                      <w:marTop w:val="0"/>
                                                      <w:marBottom w:val="0"/>
                                                      <w:divBdr>
                                                        <w:top w:val="none" w:sz="0" w:space="0" w:color="auto"/>
                                                        <w:left w:val="none" w:sz="0" w:space="0" w:color="auto"/>
                                                        <w:bottom w:val="none" w:sz="0" w:space="0" w:color="auto"/>
                                                        <w:right w:val="none" w:sz="0" w:space="0" w:color="auto"/>
                                                      </w:divBdr>
                                                      <w:divsChild>
                                                        <w:div w:id="72897443">
                                                          <w:marLeft w:val="0"/>
                                                          <w:marRight w:val="0"/>
                                                          <w:marTop w:val="0"/>
                                                          <w:marBottom w:val="0"/>
                                                          <w:divBdr>
                                                            <w:top w:val="none" w:sz="0" w:space="0" w:color="auto"/>
                                                            <w:left w:val="none" w:sz="0" w:space="0" w:color="auto"/>
                                                            <w:bottom w:val="none" w:sz="0" w:space="0" w:color="auto"/>
                                                            <w:right w:val="none" w:sz="0" w:space="0" w:color="auto"/>
                                                          </w:divBdr>
                                                          <w:divsChild>
                                                            <w:div w:id="742026438">
                                                              <w:marLeft w:val="0"/>
                                                              <w:marRight w:val="0"/>
                                                              <w:marTop w:val="0"/>
                                                              <w:marBottom w:val="0"/>
                                                              <w:divBdr>
                                                                <w:top w:val="none" w:sz="0" w:space="0" w:color="auto"/>
                                                                <w:left w:val="none" w:sz="0" w:space="0" w:color="auto"/>
                                                                <w:bottom w:val="none" w:sz="0" w:space="0" w:color="auto"/>
                                                                <w:right w:val="none" w:sz="0" w:space="0" w:color="auto"/>
                                                              </w:divBdr>
                                                              <w:divsChild>
                                                                <w:div w:id="1541434020">
                                                                  <w:marLeft w:val="0"/>
                                                                  <w:marRight w:val="0"/>
                                                                  <w:marTop w:val="0"/>
                                                                  <w:marBottom w:val="0"/>
                                                                  <w:divBdr>
                                                                    <w:top w:val="none" w:sz="0" w:space="0" w:color="auto"/>
                                                                    <w:left w:val="none" w:sz="0" w:space="0" w:color="auto"/>
                                                                    <w:bottom w:val="none" w:sz="0" w:space="0" w:color="auto"/>
                                                                    <w:right w:val="none" w:sz="0" w:space="0" w:color="auto"/>
                                                                  </w:divBdr>
                                                                  <w:divsChild>
                                                                    <w:div w:id="576744065">
                                                                      <w:marLeft w:val="0"/>
                                                                      <w:marRight w:val="0"/>
                                                                      <w:marTop w:val="0"/>
                                                                      <w:marBottom w:val="0"/>
                                                                      <w:divBdr>
                                                                        <w:top w:val="none" w:sz="0" w:space="0" w:color="auto"/>
                                                                        <w:left w:val="none" w:sz="0" w:space="0" w:color="auto"/>
                                                                        <w:bottom w:val="none" w:sz="0" w:space="0" w:color="auto"/>
                                                                        <w:right w:val="none" w:sz="0" w:space="0" w:color="auto"/>
                                                                      </w:divBdr>
                                                                      <w:divsChild>
                                                                        <w:div w:id="1198199335">
                                                                          <w:marLeft w:val="0"/>
                                                                          <w:marRight w:val="0"/>
                                                                          <w:marTop w:val="0"/>
                                                                          <w:marBottom w:val="0"/>
                                                                          <w:divBdr>
                                                                            <w:top w:val="none" w:sz="0" w:space="0" w:color="auto"/>
                                                                            <w:left w:val="none" w:sz="0" w:space="0" w:color="auto"/>
                                                                            <w:bottom w:val="none" w:sz="0" w:space="0" w:color="auto"/>
                                                                            <w:right w:val="none" w:sz="0" w:space="0" w:color="auto"/>
                                                                          </w:divBdr>
                                                                          <w:divsChild>
                                                                            <w:div w:id="1814787302">
                                                                              <w:marLeft w:val="0"/>
                                                                              <w:marRight w:val="0"/>
                                                                              <w:marTop w:val="0"/>
                                                                              <w:marBottom w:val="0"/>
                                                                              <w:divBdr>
                                                                                <w:top w:val="none" w:sz="0" w:space="0" w:color="auto"/>
                                                                                <w:left w:val="none" w:sz="0" w:space="0" w:color="auto"/>
                                                                                <w:bottom w:val="none" w:sz="0" w:space="0" w:color="auto"/>
                                                                                <w:right w:val="none" w:sz="0" w:space="0" w:color="auto"/>
                                                                              </w:divBdr>
                                                                            </w:div>
                                                                            <w:div w:id="1143352662">
                                                                              <w:marLeft w:val="0"/>
                                                                              <w:marRight w:val="0"/>
                                                                              <w:marTop w:val="0"/>
                                                                              <w:marBottom w:val="0"/>
                                                                              <w:divBdr>
                                                                                <w:top w:val="none" w:sz="0" w:space="0" w:color="auto"/>
                                                                                <w:left w:val="none" w:sz="0" w:space="0" w:color="auto"/>
                                                                                <w:bottom w:val="none" w:sz="0" w:space="0" w:color="auto"/>
                                                                                <w:right w:val="none" w:sz="0" w:space="0" w:color="auto"/>
                                                                              </w:divBdr>
                                                                            </w:div>
                                                                          </w:divsChild>
                                                                        </w:div>
                                                                        <w:div w:id="477646683">
                                                                          <w:marLeft w:val="0"/>
                                                                          <w:marRight w:val="0"/>
                                                                          <w:marTop w:val="0"/>
                                                                          <w:marBottom w:val="0"/>
                                                                          <w:divBdr>
                                                                            <w:top w:val="none" w:sz="0" w:space="0" w:color="auto"/>
                                                                            <w:left w:val="none" w:sz="0" w:space="0" w:color="auto"/>
                                                                            <w:bottom w:val="none" w:sz="0" w:space="0" w:color="auto"/>
                                                                            <w:right w:val="none" w:sz="0" w:space="0" w:color="auto"/>
                                                                          </w:divBdr>
                                                                          <w:divsChild>
                                                                            <w:div w:id="1841895507">
                                                                              <w:marLeft w:val="0"/>
                                                                              <w:marRight w:val="0"/>
                                                                              <w:marTop w:val="0"/>
                                                                              <w:marBottom w:val="0"/>
                                                                              <w:divBdr>
                                                                                <w:top w:val="none" w:sz="0" w:space="0" w:color="auto"/>
                                                                                <w:left w:val="none" w:sz="0" w:space="0" w:color="auto"/>
                                                                                <w:bottom w:val="none" w:sz="0" w:space="0" w:color="auto"/>
                                                                                <w:right w:val="none" w:sz="0" w:space="0" w:color="auto"/>
                                                                              </w:divBdr>
                                                                            </w:div>
                                                                            <w:div w:id="985623550">
                                                                              <w:marLeft w:val="0"/>
                                                                              <w:marRight w:val="0"/>
                                                                              <w:marTop w:val="0"/>
                                                                              <w:marBottom w:val="0"/>
                                                                              <w:divBdr>
                                                                                <w:top w:val="none" w:sz="0" w:space="0" w:color="auto"/>
                                                                                <w:left w:val="none" w:sz="0" w:space="0" w:color="auto"/>
                                                                                <w:bottom w:val="none" w:sz="0" w:space="0" w:color="auto"/>
                                                                                <w:right w:val="none" w:sz="0" w:space="0" w:color="auto"/>
                                                                              </w:divBdr>
                                                                            </w:div>
                                                                          </w:divsChild>
                                                                        </w:div>
                                                                        <w:div w:id="225261406">
                                                                          <w:marLeft w:val="0"/>
                                                                          <w:marRight w:val="0"/>
                                                                          <w:marTop w:val="0"/>
                                                                          <w:marBottom w:val="0"/>
                                                                          <w:divBdr>
                                                                            <w:top w:val="none" w:sz="0" w:space="0" w:color="auto"/>
                                                                            <w:left w:val="none" w:sz="0" w:space="0" w:color="auto"/>
                                                                            <w:bottom w:val="none" w:sz="0" w:space="0" w:color="auto"/>
                                                                            <w:right w:val="none" w:sz="0" w:space="0" w:color="auto"/>
                                                                          </w:divBdr>
                                                                          <w:divsChild>
                                                                            <w:div w:id="1925331468">
                                                                              <w:marLeft w:val="0"/>
                                                                              <w:marRight w:val="0"/>
                                                                              <w:marTop w:val="0"/>
                                                                              <w:marBottom w:val="0"/>
                                                                              <w:divBdr>
                                                                                <w:top w:val="none" w:sz="0" w:space="0" w:color="auto"/>
                                                                                <w:left w:val="none" w:sz="0" w:space="0" w:color="auto"/>
                                                                                <w:bottom w:val="none" w:sz="0" w:space="0" w:color="auto"/>
                                                                                <w:right w:val="none" w:sz="0" w:space="0" w:color="auto"/>
                                                                              </w:divBdr>
                                                                            </w:div>
                                                                            <w:div w:id="207855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102838">
                                                                      <w:marLeft w:val="0"/>
                                                                      <w:marRight w:val="0"/>
                                                                      <w:marTop w:val="0"/>
                                                                      <w:marBottom w:val="0"/>
                                                                      <w:divBdr>
                                                                        <w:top w:val="none" w:sz="0" w:space="0" w:color="auto"/>
                                                                        <w:left w:val="none" w:sz="0" w:space="0" w:color="auto"/>
                                                                        <w:bottom w:val="none" w:sz="0" w:space="0" w:color="auto"/>
                                                                        <w:right w:val="none" w:sz="0" w:space="0" w:color="auto"/>
                                                                      </w:divBdr>
                                                                    </w:div>
                                                                    <w:div w:id="983587259">
                                                                      <w:marLeft w:val="0"/>
                                                                      <w:marRight w:val="0"/>
                                                                      <w:marTop w:val="0"/>
                                                                      <w:marBottom w:val="0"/>
                                                                      <w:divBdr>
                                                                        <w:top w:val="none" w:sz="0" w:space="0" w:color="auto"/>
                                                                        <w:left w:val="none" w:sz="0" w:space="0" w:color="auto"/>
                                                                        <w:bottom w:val="none" w:sz="0" w:space="0" w:color="auto"/>
                                                                        <w:right w:val="none" w:sz="0" w:space="0" w:color="auto"/>
                                                                      </w:divBdr>
                                                                    </w:div>
                                                                    <w:div w:id="92670128">
                                                                      <w:marLeft w:val="0"/>
                                                                      <w:marRight w:val="0"/>
                                                                      <w:marTop w:val="0"/>
                                                                      <w:marBottom w:val="0"/>
                                                                      <w:divBdr>
                                                                        <w:top w:val="none" w:sz="0" w:space="0" w:color="auto"/>
                                                                        <w:left w:val="none" w:sz="0" w:space="0" w:color="auto"/>
                                                                        <w:bottom w:val="none" w:sz="0" w:space="0" w:color="auto"/>
                                                                        <w:right w:val="none" w:sz="0" w:space="0" w:color="auto"/>
                                                                      </w:divBdr>
                                                                    </w:div>
                                                                    <w:div w:id="1336037037">
                                                                      <w:marLeft w:val="0"/>
                                                                      <w:marRight w:val="0"/>
                                                                      <w:marTop w:val="0"/>
                                                                      <w:marBottom w:val="0"/>
                                                                      <w:divBdr>
                                                                        <w:top w:val="none" w:sz="0" w:space="0" w:color="auto"/>
                                                                        <w:left w:val="none" w:sz="0" w:space="0" w:color="auto"/>
                                                                        <w:bottom w:val="none" w:sz="0" w:space="0" w:color="auto"/>
                                                                        <w:right w:val="none" w:sz="0" w:space="0" w:color="auto"/>
                                                                      </w:divBdr>
                                                                    </w:div>
                                                                    <w:div w:id="1781487285">
                                                                      <w:marLeft w:val="0"/>
                                                                      <w:marRight w:val="0"/>
                                                                      <w:marTop w:val="0"/>
                                                                      <w:marBottom w:val="0"/>
                                                                      <w:divBdr>
                                                                        <w:top w:val="none" w:sz="0" w:space="0" w:color="auto"/>
                                                                        <w:left w:val="none" w:sz="0" w:space="0" w:color="auto"/>
                                                                        <w:bottom w:val="none" w:sz="0" w:space="0" w:color="auto"/>
                                                                        <w:right w:val="none" w:sz="0" w:space="0" w:color="auto"/>
                                                                      </w:divBdr>
                                                                    </w:div>
                                                                    <w:div w:id="2034304560">
                                                                      <w:marLeft w:val="0"/>
                                                                      <w:marRight w:val="0"/>
                                                                      <w:marTop w:val="0"/>
                                                                      <w:marBottom w:val="0"/>
                                                                      <w:divBdr>
                                                                        <w:top w:val="none" w:sz="0" w:space="0" w:color="auto"/>
                                                                        <w:left w:val="none" w:sz="0" w:space="0" w:color="auto"/>
                                                                        <w:bottom w:val="none" w:sz="0" w:space="0" w:color="auto"/>
                                                                        <w:right w:val="none" w:sz="0" w:space="0" w:color="auto"/>
                                                                      </w:divBdr>
                                                                    </w:div>
                                                                    <w:div w:id="146318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64233620">
      <w:bodyDiv w:val="1"/>
      <w:marLeft w:val="0"/>
      <w:marRight w:val="0"/>
      <w:marTop w:val="0"/>
      <w:marBottom w:val="0"/>
      <w:divBdr>
        <w:top w:val="none" w:sz="0" w:space="0" w:color="auto"/>
        <w:left w:val="none" w:sz="0" w:space="0" w:color="auto"/>
        <w:bottom w:val="none" w:sz="0" w:space="0" w:color="auto"/>
        <w:right w:val="none" w:sz="0" w:space="0" w:color="auto"/>
      </w:divBdr>
    </w:div>
    <w:div w:id="793403314">
      <w:bodyDiv w:val="1"/>
      <w:marLeft w:val="0"/>
      <w:marRight w:val="0"/>
      <w:marTop w:val="0"/>
      <w:marBottom w:val="0"/>
      <w:divBdr>
        <w:top w:val="none" w:sz="0" w:space="0" w:color="auto"/>
        <w:left w:val="none" w:sz="0" w:space="0" w:color="auto"/>
        <w:bottom w:val="none" w:sz="0" w:space="0" w:color="auto"/>
        <w:right w:val="none" w:sz="0" w:space="0" w:color="auto"/>
      </w:divBdr>
    </w:div>
    <w:div w:id="806506143">
      <w:bodyDiv w:val="1"/>
      <w:marLeft w:val="0"/>
      <w:marRight w:val="0"/>
      <w:marTop w:val="0"/>
      <w:marBottom w:val="0"/>
      <w:divBdr>
        <w:top w:val="none" w:sz="0" w:space="0" w:color="auto"/>
        <w:left w:val="none" w:sz="0" w:space="0" w:color="auto"/>
        <w:bottom w:val="none" w:sz="0" w:space="0" w:color="auto"/>
        <w:right w:val="none" w:sz="0" w:space="0" w:color="auto"/>
      </w:divBdr>
      <w:divsChild>
        <w:div w:id="1342511564">
          <w:marLeft w:val="0"/>
          <w:marRight w:val="0"/>
          <w:marTop w:val="0"/>
          <w:marBottom w:val="0"/>
          <w:divBdr>
            <w:top w:val="none" w:sz="0" w:space="0" w:color="auto"/>
            <w:left w:val="none" w:sz="0" w:space="0" w:color="auto"/>
            <w:bottom w:val="none" w:sz="0" w:space="0" w:color="auto"/>
            <w:right w:val="none" w:sz="0" w:space="0" w:color="auto"/>
          </w:divBdr>
          <w:divsChild>
            <w:div w:id="1832410040">
              <w:marLeft w:val="0"/>
              <w:marRight w:val="0"/>
              <w:marTop w:val="0"/>
              <w:marBottom w:val="0"/>
              <w:divBdr>
                <w:top w:val="none" w:sz="0" w:space="0" w:color="auto"/>
                <w:left w:val="none" w:sz="0" w:space="0" w:color="auto"/>
                <w:bottom w:val="none" w:sz="0" w:space="0" w:color="auto"/>
                <w:right w:val="none" w:sz="0" w:space="0" w:color="auto"/>
              </w:divBdr>
              <w:divsChild>
                <w:div w:id="920791062">
                  <w:marLeft w:val="0"/>
                  <w:marRight w:val="0"/>
                  <w:marTop w:val="0"/>
                  <w:marBottom w:val="0"/>
                  <w:divBdr>
                    <w:top w:val="none" w:sz="0" w:space="0" w:color="auto"/>
                    <w:left w:val="none" w:sz="0" w:space="0" w:color="auto"/>
                    <w:bottom w:val="none" w:sz="0" w:space="0" w:color="auto"/>
                    <w:right w:val="none" w:sz="0" w:space="0" w:color="auto"/>
                  </w:divBdr>
                  <w:divsChild>
                    <w:div w:id="286133327">
                      <w:marLeft w:val="0"/>
                      <w:marRight w:val="0"/>
                      <w:marTop w:val="0"/>
                      <w:marBottom w:val="0"/>
                      <w:divBdr>
                        <w:top w:val="single" w:sz="48" w:space="0" w:color="auto"/>
                        <w:left w:val="single" w:sz="48" w:space="0" w:color="auto"/>
                        <w:bottom w:val="single" w:sz="48" w:space="0" w:color="auto"/>
                        <w:right w:val="single" w:sz="48" w:space="0" w:color="auto"/>
                      </w:divBdr>
                      <w:divsChild>
                        <w:div w:id="640382878">
                          <w:marLeft w:val="0"/>
                          <w:marRight w:val="0"/>
                          <w:marTop w:val="0"/>
                          <w:marBottom w:val="0"/>
                          <w:divBdr>
                            <w:top w:val="none" w:sz="0" w:space="0" w:color="auto"/>
                            <w:left w:val="none" w:sz="0" w:space="0" w:color="auto"/>
                            <w:bottom w:val="none" w:sz="0" w:space="0" w:color="auto"/>
                            <w:right w:val="none" w:sz="0" w:space="0" w:color="auto"/>
                          </w:divBdr>
                          <w:divsChild>
                            <w:div w:id="1737119781">
                              <w:marLeft w:val="0"/>
                              <w:marRight w:val="0"/>
                              <w:marTop w:val="0"/>
                              <w:marBottom w:val="0"/>
                              <w:divBdr>
                                <w:top w:val="none" w:sz="0" w:space="0" w:color="auto"/>
                                <w:left w:val="none" w:sz="0" w:space="0" w:color="auto"/>
                                <w:bottom w:val="none" w:sz="0" w:space="0" w:color="auto"/>
                                <w:right w:val="none" w:sz="0" w:space="0" w:color="auto"/>
                              </w:divBdr>
                              <w:divsChild>
                                <w:div w:id="427119162">
                                  <w:marLeft w:val="0"/>
                                  <w:marRight w:val="0"/>
                                  <w:marTop w:val="0"/>
                                  <w:marBottom w:val="0"/>
                                  <w:divBdr>
                                    <w:top w:val="none" w:sz="0" w:space="0" w:color="auto"/>
                                    <w:left w:val="none" w:sz="0" w:space="0" w:color="auto"/>
                                    <w:bottom w:val="none" w:sz="0" w:space="0" w:color="auto"/>
                                    <w:right w:val="none" w:sz="0" w:space="0" w:color="auto"/>
                                  </w:divBdr>
                                </w:div>
                                <w:div w:id="647511774">
                                  <w:marLeft w:val="0"/>
                                  <w:marRight w:val="0"/>
                                  <w:marTop w:val="0"/>
                                  <w:marBottom w:val="0"/>
                                  <w:divBdr>
                                    <w:top w:val="none" w:sz="0" w:space="0" w:color="auto"/>
                                    <w:left w:val="none" w:sz="0" w:space="0" w:color="auto"/>
                                    <w:bottom w:val="none" w:sz="0" w:space="0" w:color="auto"/>
                                    <w:right w:val="none" w:sz="0" w:space="0" w:color="auto"/>
                                  </w:divBdr>
                                </w:div>
                                <w:div w:id="158317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241625">
      <w:bodyDiv w:val="1"/>
      <w:marLeft w:val="0"/>
      <w:marRight w:val="0"/>
      <w:marTop w:val="0"/>
      <w:marBottom w:val="0"/>
      <w:divBdr>
        <w:top w:val="none" w:sz="0" w:space="0" w:color="auto"/>
        <w:left w:val="none" w:sz="0" w:space="0" w:color="auto"/>
        <w:bottom w:val="none" w:sz="0" w:space="0" w:color="auto"/>
        <w:right w:val="none" w:sz="0" w:space="0" w:color="auto"/>
      </w:divBdr>
    </w:div>
    <w:div w:id="845709082">
      <w:bodyDiv w:val="1"/>
      <w:marLeft w:val="0"/>
      <w:marRight w:val="0"/>
      <w:marTop w:val="0"/>
      <w:marBottom w:val="0"/>
      <w:divBdr>
        <w:top w:val="none" w:sz="0" w:space="0" w:color="auto"/>
        <w:left w:val="none" w:sz="0" w:space="0" w:color="auto"/>
        <w:bottom w:val="none" w:sz="0" w:space="0" w:color="auto"/>
        <w:right w:val="none" w:sz="0" w:space="0" w:color="auto"/>
      </w:divBdr>
      <w:divsChild>
        <w:div w:id="1363552013">
          <w:marLeft w:val="0"/>
          <w:marRight w:val="0"/>
          <w:marTop w:val="0"/>
          <w:marBottom w:val="0"/>
          <w:divBdr>
            <w:top w:val="none" w:sz="0" w:space="0" w:color="auto"/>
            <w:left w:val="none" w:sz="0" w:space="0" w:color="auto"/>
            <w:bottom w:val="none" w:sz="0" w:space="0" w:color="auto"/>
            <w:right w:val="none" w:sz="0" w:space="0" w:color="auto"/>
          </w:divBdr>
          <w:divsChild>
            <w:div w:id="853767685">
              <w:marLeft w:val="-225"/>
              <w:marRight w:val="-225"/>
              <w:marTop w:val="0"/>
              <w:marBottom w:val="0"/>
              <w:divBdr>
                <w:top w:val="none" w:sz="0" w:space="0" w:color="auto"/>
                <w:left w:val="none" w:sz="0" w:space="0" w:color="auto"/>
                <w:bottom w:val="none" w:sz="0" w:space="0" w:color="auto"/>
                <w:right w:val="none" w:sz="0" w:space="0" w:color="auto"/>
              </w:divBdr>
              <w:divsChild>
                <w:div w:id="1455901486">
                  <w:marLeft w:val="0"/>
                  <w:marRight w:val="0"/>
                  <w:marTop w:val="0"/>
                  <w:marBottom w:val="0"/>
                  <w:divBdr>
                    <w:top w:val="none" w:sz="0" w:space="0" w:color="auto"/>
                    <w:left w:val="none" w:sz="0" w:space="0" w:color="auto"/>
                    <w:bottom w:val="none" w:sz="0" w:space="0" w:color="auto"/>
                    <w:right w:val="none" w:sz="0" w:space="0" w:color="auto"/>
                  </w:divBdr>
                  <w:divsChild>
                    <w:div w:id="1059207694">
                      <w:marLeft w:val="0"/>
                      <w:marRight w:val="0"/>
                      <w:marTop w:val="0"/>
                      <w:marBottom w:val="0"/>
                      <w:divBdr>
                        <w:top w:val="none" w:sz="0" w:space="0" w:color="auto"/>
                        <w:left w:val="none" w:sz="0" w:space="0" w:color="auto"/>
                        <w:bottom w:val="none" w:sz="0" w:space="0" w:color="auto"/>
                        <w:right w:val="none" w:sz="0" w:space="0" w:color="auto"/>
                      </w:divBdr>
                      <w:divsChild>
                        <w:div w:id="31736618">
                          <w:marLeft w:val="0"/>
                          <w:marRight w:val="0"/>
                          <w:marTop w:val="0"/>
                          <w:marBottom w:val="0"/>
                          <w:divBdr>
                            <w:top w:val="none" w:sz="0" w:space="0" w:color="auto"/>
                            <w:left w:val="none" w:sz="0" w:space="0" w:color="auto"/>
                            <w:bottom w:val="none" w:sz="0" w:space="0" w:color="auto"/>
                            <w:right w:val="none" w:sz="0" w:space="0" w:color="auto"/>
                          </w:divBdr>
                          <w:divsChild>
                            <w:div w:id="256209107">
                              <w:marLeft w:val="0"/>
                              <w:marRight w:val="0"/>
                              <w:marTop w:val="0"/>
                              <w:marBottom w:val="0"/>
                              <w:divBdr>
                                <w:top w:val="none" w:sz="0" w:space="0" w:color="auto"/>
                                <w:left w:val="none" w:sz="0" w:space="0" w:color="auto"/>
                                <w:bottom w:val="none" w:sz="0" w:space="0" w:color="auto"/>
                                <w:right w:val="none" w:sz="0" w:space="0" w:color="auto"/>
                              </w:divBdr>
                              <w:divsChild>
                                <w:div w:id="208463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6723760">
      <w:bodyDiv w:val="1"/>
      <w:marLeft w:val="0"/>
      <w:marRight w:val="0"/>
      <w:marTop w:val="0"/>
      <w:marBottom w:val="0"/>
      <w:divBdr>
        <w:top w:val="none" w:sz="0" w:space="0" w:color="auto"/>
        <w:left w:val="none" w:sz="0" w:space="0" w:color="auto"/>
        <w:bottom w:val="none" w:sz="0" w:space="0" w:color="auto"/>
        <w:right w:val="none" w:sz="0" w:space="0" w:color="auto"/>
      </w:divBdr>
      <w:divsChild>
        <w:div w:id="1349328309">
          <w:marLeft w:val="0"/>
          <w:marRight w:val="0"/>
          <w:marTop w:val="0"/>
          <w:marBottom w:val="0"/>
          <w:divBdr>
            <w:top w:val="none" w:sz="0" w:space="0" w:color="auto"/>
            <w:left w:val="none" w:sz="0" w:space="0" w:color="auto"/>
            <w:bottom w:val="none" w:sz="0" w:space="0" w:color="auto"/>
            <w:right w:val="none" w:sz="0" w:space="0" w:color="auto"/>
          </w:divBdr>
          <w:divsChild>
            <w:div w:id="1869903415">
              <w:marLeft w:val="0"/>
              <w:marRight w:val="0"/>
              <w:marTop w:val="0"/>
              <w:marBottom w:val="0"/>
              <w:divBdr>
                <w:top w:val="none" w:sz="0" w:space="0" w:color="auto"/>
                <w:left w:val="none" w:sz="0" w:space="0" w:color="auto"/>
                <w:bottom w:val="none" w:sz="0" w:space="0" w:color="auto"/>
                <w:right w:val="none" w:sz="0" w:space="0" w:color="auto"/>
              </w:divBdr>
              <w:divsChild>
                <w:div w:id="849415996">
                  <w:marLeft w:val="0"/>
                  <w:marRight w:val="0"/>
                  <w:marTop w:val="0"/>
                  <w:marBottom w:val="0"/>
                  <w:divBdr>
                    <w:top w:val="none" w:sz="0" w:space="0" w:color="auto"/>
                    <w:left w:val="none" w:sz="0" w:space="0" w:color="auto"/>
                    <w:bottom w:val="none" w:sz="0" w:space="0" w:color="auto"/>
                    <w:right w:val="none" w:sz="0" w:space="0" w:color="auto"/>
                  </w:divBdr>
                  <w:divsChild>
                    <w:div w:id="268898556">
                      <w:marLeft w:val="0"/>
                      <w:marRight w:val="0"/>
                      <w:marTop w:val="0"/>
                      <w:marBottom w:val="0"/>
                      <w:divBdr>
                        <w:top w:val="none" w:sz="0" w:space="0" w:color="auto"/>
                        <w:left w:val="none" w:sz="0" w:space="0" w:color="auto"/>
                        <w:bottom w:val="none" w:sz="0" w:space="0" w:color="auto"/>
                        <w:right w:val="none" w:sz="0" w:space="0" w:color="auto"/>
                      </w:divBdr>
                      <w:divsChild>
                        <w:div w:id="1746605571">
                          <w:marLeft w:val="0"/>
                          <w:marRight w:val="0"/>
                          <w:marTop w:val="0"/>
                          <w:marBottom w:val="0"/>
                          <w:divBdr>
                            <w:top w:val="none" w:sz="0" w:space="0" w:color="auto"/>
                            <w:left w:val="none" w:sz="0" w:space="0" w:color="auto"/>
                            <w:bottom w:val="none" w:sz="0" w:space="0" w:color="auto"/>
                            <w:right w:val="none" w:sz="0" w:space="0" w:color="auto"/>
                          </w:divBdr>
                          <w:divsChild>
                            <w:div w:id="2046246435">
                              <w:marLeft w:val="0"/>
                              <w:marRight w:val="0"/>
                              <w:marTop w:val="0"/>
                              <w:marBottom w:val="0"/>
                              <w:divBdr>
                                <w:top w:val="none" w:sz="0" w:space="0" w:color="auto"/>
                                <w:left w:val="none" w:sz="0" w:space="0" w:color="auto"/>
                                <w:bottom w:val="none" w:sz="0" w:space="0" w:color="auto"/>
                                <w:right w:val="none" w:sz="0" w:space="0" w:color="auto"/>
                              </w:divBdr>
                              <w:divsChild>
                                <w:div w:id="56786419">
                                  <w:marLeft w:val="0"/>
                                  <w:marRight w:val="0"/>
                                  <w:marTop w:val="0"/>
                                  <w:marBottom w:val="0"/>
                                  <w:divBdr>
                                    <w:top w:val="none" w:sz="0" w:space="0" w:color="auto"/>
                                    <w:left w:val="none" w:sz="0" w:space="0" w:color="auto"/>
                                    <w:bottom w:val="none" w:sz="0" w:space="0" w:color="auto"/>
                                    <w:right w:val="none" w:sz="0" w:space="0" w:color="auto"/>
                                  </w:divBdr>
                                  <w:divsChild>
                                    <w:div w:id="1899703416">
                                      <w:marLeft w:val="0"/>
                                      <w:marRight w:val="0"/>
                                      <w:marTop w:val="0"/>
                                      <w:marBottom w:val="0"/>
                                      <w:divBdr>
                                        <w:top w:val="none" w:sz="0" w:space="0" w:color="auto"/>
                                        <w:left w:val="none" w:sz="0" w:space="0" w:color="auto"/>
                                        <w:bottom w:val="none" w:sz="0" w:space="0" w:color="auto"/>
                                        <w:right w:val="none" w:sz="0" w:space="0" w:color="auto"/>
                                      </w:divBdr>
                                      <w:divsChild>
                                        <w:div w:id="1728645867">
                                          <w:marLeft w:val="0"/>
                                          <w:marRight w:val="0"/>
                                          <w:marTop w:val="0"/>
                                          <w:marBottom w:val="0"/>
                                          <w:divBdr>
                                            <w:top w:val="none" w:sz="0" w:space="0" w:color="auto"/>
                                            <w:left w:val="none" w:sz="0" w:space="0" w:color="auto"/>
                                            <w:bottom w:val="none" w:sz="0" w:space="0" w:color="auto"/>
                                            <w:right w:val="none" w:sz="0" w:space="0" w:color="auto"/>
                                          </w:divBdr>
                                          <w:divsChild>
                                            <w:div w:id="1021860292">
                                              <w:marLeft w:val="0"/>
                                              <w:marRight w:val="0"/>
                                              <w:marTop w:val="0"/>
                                              <w:marBottom w:val="0"/>
                                              <w:divBdr>
                                                <w:top w:val="none" w:sz="0" w:space="0" w:color="auto"/>
                                                <w:left w:val="none" w:sz="0" w:space="0" w:color="auto"/>
                                                <w:bottom w:val="none" w:sz="0" w:space="0" w:color="auto"/>
                                                <w:right w:val="none" w:sz="0" w:space="0" w:color="auto"/>
                                              </w:divBdr>
                                              <w:divsChild>
                                                <w:div w:id="215363999">
                                                  <w:marLeft w:val="0"/>
                                                  <w:marRight w:val="0"/>
                                                  <w:marTop w:val="0"/>
                                                  <w:marBottom w:val="0"/>
                                                  <w:divBdr>
                                                    <w:top w:val="none" w:sz="0" w:space="0" w:color="auto"/>
                                                    <w:left w:val="none" w:sz="0" w:space="0" w:color="auto"/>
                                                    <w:bottom w:val="none" w:sz="0" w:space="0" w:color="auto"/>
                                                    <w:right w:val="none" w:sz="0" w:space="0" w:color="auto"/>
                                                  </w:divBdr>
                                                  <w:divsChild>
                                                    <w:div w:id="1800418155">
                                                      <w:marLeft w:val="0"/>
                                                      <w:marRight w:val="0"/>
                                                      <w:marTop w:val="0"/>
                                                      <w:marBottom w:val="0"/>
                                                      <w:divBdr>
                                                        <w:top w:val="none" w:sz="0" w:space="0" w:color="auto"/>
                                                        <w:left w:val="none" w:sz="0" w:space="0" w:color="auto"/>
                                                        <w:bottom w:val="none" w:sz="0" w:space="0" w:color="auto"/>
                                                        <w:right w:val="none" w:sz="0" w:space="0" w:color="auto"/>
                                                      </w:divBdr>
                                                      <w:divsChild>
                                                        <w:div w:id="2119134715">
                                                          <w:marLeft w:val="0"/>
                                                          <w:marRight w:val="0"/>
                                                          <w:marTop w:val="0"/>
                                                          <w:marBottom w:val="0"/>
                                                          <w:divBdr>
                                                            <w:top w:val="none" w:sz="0" w:space="0" w:color="auto"/>
                                                            <w:left w:val="none" w:sz="0" w:space="0" w:color="auto"/>
                                                            <w:bottom w:val="none" w:sz="0" w:space="0" w:color="auto"/>
                                                            <w:right w:val="none" w:sz="0" w:space="0" w:color="auto"/>
                                                          </w:divBdr>
                                                          <w:divsChild>
                                                            <w:div w:id="2082362571">
                                                              <w:marLeft w:val="0"/>
                                                              <w:marRight w:val="0"/>
                                                              <w:marTop w:val="0"/>
                                                              <w:marBottom w:val="0"/>
                                                              <w:divBdr>
                                                                <w:top w:val="none" w:sz="0" w:space="0" w:color="auto"/>
                                                                <w:left w:val="none" w:sz="0" w:space="0" w:color="auto"/>
                                                                <w:bottom w:val="none" w:sz="0" w:space="0" w:color="auto"/>
                                                                <w:right w:val="none" w:sz="0" w:space="0" w:color="auto"/>
                                                              </w:divBdr>
                                                              <w:divsChild>
                                                                <w:div w:id="407576044">
                                                                  <w:marLeft w:val="0"/>
                                                                  <w:marRight w:val="0"/>
                                                                  <w:marTop w:val="0"/>
                                                                  <w:marBottom w:val="0"/>
                                                                  <w:divBdr>
                                                                    <w:top w:val="none" w:sz="0" w:space="0" w:color="auto"/>
                                                                    <w:left w:val="none" w:sz="0" w:space="0" w:color="auto"/>
                                                                    <w:bottom w:val="none" w:sz="0" w:space="0" w:color="auto"/>
                                                                    <w:right w:val="none" w:sz="0" w:space="0" w:color="auto"/>
                                                                  </w:divBdr>
                                                                  <w:divsChild>
                                                                    <w:div w:id="1525248808">
                                                                      <w:marLeft w:val="0"/>
                                                                      <w:marRight w:val="0"/>
                                                                      <w:marTop w:val="0"/>
                                                                      <w:marBottom w:val="0"/>
                                                                      <w:divBdr>
                                                                        <w:top w:val="none" w:sz="0" w:space="0" w:color="auto"/>
                                                                        <w:left w:val="none" w:sz="0" w:space="0" w:color="auto"/>
                                                                        <w:bottom w:val="none" w:sz="0" w:space="0" w:color="auto"/>
                                                                        <w:right w:val="none" w:sz="0" w:space="0" w:color="auto"/>
                                                                      </w:divBdr>
                                                                      <w:divsChild>
                                                                        <w:div w:id="647829363">
                                                                          <w:marLeft w:val="0"/>
                                                                          <w:marRight w:val="0"/>
                                                                          <w:marTop w:val="0"/>
                                                                          <w:marBottom w:val="0"/>
                                                                          <w:divBdr>
                                                                            <w:top w:val="none" w:sz="0" w:space="0" w:color="auto"/>
                                                                            <w:left w:val="none" w:sz="0" w:space="0" w:color="auto"/>
                                                                            <w:bottom w:val="none" w:sz="0" w:space="0" w:color="auto"/>
                                                                            <w:right w:val="none" w:sz="0" w:space="0" w:color="auto"/>
                                                                          </w:divBdr>
                                                                          <w:divsChild>
                                                                            <w:div w:id="2129004524">
                                                                              <w:marLeft w:val="0"/>
                                                                              <w:marRight w:val="0"/>
                                                                              <w:marTop w:val="0"/>
                                                                              <w:marBottom w:val="0"/>
                                                                              <w:divBdr>
                                                                                <w:top w:val="none" w:sz="0" w:space="0" w:color="auto"/>
                                                                                <w:left w:val="none" w:sz="0" w:space="0" w:color="auto"/>
                                                                                <w:bottom w:val="none" w:sz="0" w:space="0" w:color="auto"/>
                                                                                <w:right w:val="none" w:sz="0" w:space="0" w:color="auto"/>
                                                                              </w:divBdr>
                                                                            </w:div>
                                                                            <w:div w:id="1980070922">
                                                                              <w:marLeft w:val="0"/>
                                                                              <w:marRight w:val="0"/>
                                                                              <w:marTop w:val="0"/>
                                                                              <w:marBottom w:val="0"/>
                                                                              <w:divBdr>
                                                                                <w:top w:val="none" w:sz="0" w:space="0" w:color="auto"/>
                                                                                <w:left w:val="none" w:sz="0" w:space="0" w:color="auto"/>
                                                                                <w:bottom w:val="none" w:sz="0" w:space="0" w:color="auto"/>
                                                                                <w:right w:val="none" w:sz="0" w:space="0" w:color="auto"/>
                                                                              </w:divBdr>
                                                                            </w:div>
                                                                          </w:divsChild>
                                                                        </w:div>
                                                                        <w:div w:id="1434520885">
                                                                          <w:marLeft w:val="0"/>
                                                                          <w:marRight w:val="0"/>
                                                                          <w:marTop w:val="0"/>
                                                                          <w:marBottom w:val="0"/>
                                                                          <w:divBdr>
                                                                            <w:top w:val="none" w:sz="0" w:space="0" w:color="auto"/>
                                                                            <w:left w:val="none" w:sz="0" w:space="0" w:color="auto"/>
                                                                            <w:bottom w:val="none" w:sz="0" w:space="0" w:color="auto"/>
                                                                            <w:right w:val="none" w:sz="0" w:space="0" w:color="auto"/>
                                                                          </w:divBdr>
                                                                          <w:divsChild>
                                                                            <w:div w:id="456338522">
                                                                              <w:marLeft w:val="0"/>
                                                                              <w:marRight w:val="0"/>
                                                                              <w:marTop w:val="0"/>
                                                                              <w:marBottom w:val="0"/>
                                                                              <w:divBdr>
                                                                                <w:top w:val="none" w:sz="0" w:space="0" w:color="auto"/>
                                                                                <w:left w:val="none" w:sz="0" w:space="0" w:color="auto"/>
                                                                                <w:bottom w:val="none" w:sz="0" w:space="0" w:color="auto"/>
                                                                                <w:right w:val="none" w:sz="0" w:space="0" w:color="auto"/>
                                                                              </w:divBdr>
                                                                            </w:div>
                                                                            <w:div w:id="66924673">
                                                                              <w:marLeft w:val="0"/>
                                                                              <w:marRight w:val="0"/>
                                                                              <w:marTop w:val="0"/>
                                                                              <w:marBottom w:val="0"/>
                                                                              <w:divBdr>
                                                                                <w:top w:val="none" w:sz="0" w:space="0" w:color="auto"/>
                                                                                <w:left w:val="none" w:sz="0" w:space="0" w:color="auto"/>
                                                                                <w:bottom w:val="none" w:sz="0" w:space="0" w:color="auto"/>
                                                                                <w:right w:val="none" w:sz="0" w:space="0" w:color="auto"/>
                                                                              </w:divBdr>
                                                                            </w:div>
                                                                          </w:divsChild>
                                                                        </w:div>
                                                                        <w:div w:id="1359698589">
                                                                          <w:marLeft w:val="0"/>
                                                                          <w:marRight w:val="0"/>
                                                                          <w:marTop w:val="0"/>
                                                                          <w:marBottom w:val="0"/>
                                                                          <w:divBdr>
                                                                            <w:top w:val="none" w:sz="0" w:space="0" w:color="auto"/>
                                                                            <w:left w:val="none" w:sz="0" w:space="0" w:color="auto"/>
                                                                            <w:bottom w:val="none" w:sz="0" w:space="0" w:color="auto"/>
                                                                            <w:right w:val="none" w:sz="0" w:space="0" w:color="auto"/>
                                                                          </w:divBdr>
                                                                          <w:divsChild>
                                                                            <w:div w:id="1035741330">
                                                                              <w:marLeft w:val="0"/>
                                                                              <w:marRight w:val="0"/>
                                                                              <w:marTop w:val="0"/>
                                                                              <w:marBottom w:val="0"/>
                                                                              <w:divBdr>
                                                                                <w:top w:val="none" w:sz="0" w:space="0" w:color="auto"/>
                                                                                <w:left w:val="none" w:sz="0" w:space="0" w:color="auto"/>
                                                                                <w:bottom w:val="none" w:sz="0" w:space="0" w:color="auto"/>
                                                                                <w:right w:val="none" w:sz="0" w:space="0" w:color="auto"/>
                                                                              </w:divBdr>
                                                                            </w:div>
                                                                            <w:div w:id="2826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06620">
                                                                      <w:marLeft w:val="0"/>
                                                                      <w:marRight w:val="0"/>
                                                                      <w:marTop w:val="0"/>
                                                                      <w:marBottom w:val="0"/>
                                                                      <w:divBdr>
                                                                        <w:top w:val="none" w:sz="0" w:space="0" w:color="auto"/>
                                                                        <w:left w:val="none" w:sz="0" w:space="0" w:color="auto"/>
                                                                        <w:bottom w:val="none" w:sz="0" w:space="0" w:color="auto"/>
                                                                        <w:right w:val="none" w:sz="0" w:space="0" w:color="auto"/>
                                                                      </w:divBdr>
                                                                    </w:div>
                                                                    <w:div w:id="1444836760">
                                                                      <w:marLeft w:val="0"/>
                                                                      <w:marRight w:val="0"/>
                                                                      <w:marTop w:val="0"/>
                                                                      <w:marBottom w:val="0"/>
                                                                      <w:divBdr>
                                                                        <w:top w:val="none" w:sz="0" w:space="0" w:color="auto"/>
                                                                        <w:left w:val="none" w:sz="0" w:space="0" w:color="auto"/>
                                                                        <w:bottom w:val="none" w:sz="0" w:space="0" w:color="auto"/>
                                                                        <w:right w:val="none" w:sz="0" w:space="0" w:color="auto"/>
                                                                      </w:divBdr>
                                                                    </w:div>
                                                                    <w:div w:id="1615595181">
                                                                      <w:marLeft w:val="0"/>
                                                                      <w:marRight w:val="0"/>
                                                                      <w:marTop w:val="0"/>
                                                                      <w:marBottom w:val="0"/>
                                                                      <w:divBdr>
                                                                        <w:top w:val="none" w:sz="0" w:space="0" w:color="auto"/>
                                                                        <w:left w:val="none" w:sz="0" w:space="0" w:color="auto"/>
                                                                        <w:bottom w:val="none" w:sz="0" w:space="0" w:color="auto"/>
                                                                        <w:right w:val="none" w:sz="0" w:space="0" w:color="auto"/>
                                                                      </w:divBdr>
                                                                    </w:div>
                                                                    <w:div w:id="450779811">
                                                                      <w:marLeft w:val="0"/>
                                                                      <w:marRight w:val="0"/>
                                                                      <w:marTop w:val="0"/>
                                                                      <w:marBottom w:val="0"/>
                                                                      <w:divBdr>
                                                                        <w:top w:val="none" w:sz="0" w:space="0" w:color="auto"/>
                                                                        <w:left w:val="none" w:sz="0" w:space="0" w:color="auto"/>
                                                                        <w:bottom w:val="none" w:sz="0" w:space="0" w:color="auto"/>
                                                                        <w:right w:val="none" w:sz="0" w:space="0" w:color="auto"/>
                                                                      </w:divBdr>
                                                                    </w:div>
                                                                    <w:div w:id="1121193928">
                                                                      <w:marLeft w:val="0"/>
                                                                      <w:marRight w:val="0"/>
                                                                      <w:marTop w:val="0"/>
                                                                      <w:marBottom w:val="0"/>
                                                                      <w:divBdr>
                                                                        <w:top w:val="none" w:sz="0" w:space="0" w:color="auto"/>
                                                                        <w:left w:val="none" w:sz="0" w:space="0" w:color="auto"/>
                                                                        <w:bottom w:val="none" w:sz="0" w:space="0" w:color="auto"/>
                                                                        <w:right w:val="none" w:sz="0" w:space="0" w:color="auto"/>
                                                                      </w:divBdr>
                                                                    </w:div>
                                                                    <w:div w:id="2060156586">
                                                                      <w:marLeft w:val="0"/>
                                                                      <w:marRight w:val="0"/>
                                                                      <w:marTop w:val="0"/>
                                                                      <w:marBottom w:val="0"/>
                                                                      <w:divBdr>
                                                                        <w:top w:val="none" w:sz="0" w:space="0" w:color="auto"/>
                                                                        <w:left w:val="none" w:sz="0" w:space="0" w:color="auto"/>
                                                                        <w:bottom w:val="none" w:sz="0" w:space="0" w:color="auto"/>
                                                                        <w:right w:val="none" w:sz="0" w:space="0" w:color="auto"/>
                                                                      </w:divBdr>
                                                                    </w:div>
                                                                    <w:div w:id="2051102404">
                                                                      <w:marLeft w:val="0"/>
                                                                      <w:marRight w:val="0"/>
                                                                      <w:marTop w:val="0"/>
                                                                      <w:marBottom w:val="0"/>
                                                                      <w:divBdr>
                                                                        <w:top w:val="none" w:sz="0" w:space="0" w:color="auto"/>
                                                                        <w:left w:val="none" w:sz="0" w:space="0" w:color="auto"/>
                                                                        <w:bottom w:val="none" w:sz="0" w:space="0" w:color="auto"/>
                                                                        <w:right w:val="none" w:sz="0" w:space="0" w:color="auto"/>
                                                                      </w:divBdr>
                                                                    </w:div>
                                                                    <w:div w:id="1843356923">
                                                                      <w:marLeft w:val="0"/>
                                                                      <w:marRight w:val="0"/>
                                                                      <w:marTop w:val="0"/>
                                                                      <w:marBottom w:val="0"/>
                                                                      <w:divBdr>
                                                                        <w:top w:val="none" w:sz="0" w:space="0" w:color="auto"/>
                                                                        <w:left w:val="none" w:sz="0" w:space="0" w:color="auto"/>
                                                                        <w:bottom w:val="none" w:sz="0" w:space="0" w:color="auto"/>
                                                                        <w:right w:val="none" w:sz="0" w:space="0" w:color="auto"/>
                                                                      </w:divBdr>
                                                                      <w:divsChild>
                                                                        <w:div w:id="1340617082">
                                                                          <w:marLeft w:val="0"/>
                                                                          <w:marRight w:val="0"/>
                                                                          <w:marTop w:val="0"/>
                                                                          <w:marBottom w:val="0"/>
                                                                          <w:divBdr>
                                                                            <w:top w:val="none" w:sz="0" w:space="0" w:color="auto"/>
                                                                            <w:left w:val="none" w:sz="0" w:space="0" w:color="auto"/>
                                                                            <w:bottom w:val="none" w:sz="0" w:space="0" w:color="auto"/>
                                                                            <w:right w:val="none" w:sz="0" w:space="0" w:color="auto"/>
                                                                          </w:divBdr>
                                                                        </w:div>
                                                                        <w:div w:id="528376277">
                                                                          <w:marLeft w:val="0"/>
                                                                          <w:marRight w:val="0"/>
                                                                          <w:marTop w:val="0"/>
                                                                          <w:marBottom w:val="0"/>
                                                                          <w:divBdr>
                                                                            <w:top w:val="none" w:sz="0" w:space="0" w:color="auto"/>
                                                                            <w:left w:val="none" w:sz="0" w:space="0" w:color="auto"/>
                                                                            <w:bottom w:val="none" w:sz="0" w:space="0" w:color="auto"/>
                                                                            <w:right w:val="none" w:sz="0" w:space="0" w:color="auto"/>
                                                                          </w:divBdr>
                                                                        </w:div>
                                                                        <w:div w:id="1201095118">
                                                                          <w:marLeft w:val="0"/>
                                                                          <w:marRight w:val="0"/>
                                                                          <w:marTop w:val="0"/>
                                                                          <w:marBottom w:val="0"/>
                                                                          <w:divBdr>
                                                                            <w:top w:val="none" w:sz="0" w:space="0" w:color="auto"/>
                                                                            <w:left w:val="none" w:sz="0" w:space="0" w:color="auto"/>
                                                                            <w:bottom w:val="none" w:sz="0" w:space="0" w:color="auto"/>
                                                                            <w:right w:val="none" w:sz="0" w:space="0" w:color="auto"/>
                                                                          </w:divBdr>
                                                                        </w:div>
                                                                        <w:div w:id="8022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0523356">
                                                      <w:marLeft w:val="0"/>
                                                      <w:marRight w:val="0"/>
                                                      <w:marTop w:val="0"/>
                                                      <w:marBottom w:val="0"/>
                                                      <w:divBdr>
                                                        <w:top w:val="none" w:sz="0" w:space="0" w:color="auto"/>
                                                        <w:left w:val="none" w:sz="0" w:space="0" w:color="auto"/>
                                                        <w:bottom w:val="none" w:sz="0" w:space="0" w:color="auto"/>
                                                        <w:right w:val="none" w:sz="0" w:space="0" w:color="auto"/>
                                                      </w:divBdr>
                                                      <w:divsChild>
                                                        <w:div w:id="1280650117">
                                                          <w:marLeft w:val="0"/>
                                                          <w:marRight w:val="0"/>
                                                          <w:marTop w:val="0"/>
                                                          <w:marBottom w:val="0"/>
                                                          <w:divBdr>
                                                            <w:top w:val="none" w:sz="0" w:space="0" w:color="auto"/>
                                                            <w:left w:val="none" w:sz="0" w:space="0" w:color="auto"/>
                                                            <w:bottom w:val="none" w:sz="0" w:space="0" w:color="auto"/>
                                                            <w:right w:val="none" w:sz="0" w:space="0" w:color="auto"/>
                                                          </w:divBdr>
                                                          <w:divsChild>
                                                            <w:div w:id="1061363229">
                                                              <w:marLeft w:val="0"/>
                                                              <w:marRight w:val="0"/>
                                                              <w:marTop w:val="0"/>
                                                              <w:marBottom w:val="0"/>
                                                              <w:divBdr>
                                                                <w:top w:val="none" w:sz="0" w:space="0" w:color="auto"/>
                                                                <w:left w:val="none" w:sz="0" w:space="0" w:color="auto"/>
                                                                <w:bottom w:val="none" w:sz="0" w:space="0" w:color="auto"/>
                                                                <w:right w:val="none" w:sz="0" w:space="0" w:color="auto"/>
                                                              </w:divBdr>
                                                              <w:divsChild>
                                                                <w:div w:id="820002838">
                                                                  <w:marLeft w:val="0"/>
                                                                  <w:marRight w:val="75"/>
                                                                  <w:marTop w:val="0"/>
                                                                  <w:marBottom w:val="0"/>
                                                                  <w:divBdr>
                                                                    <w:top w:val="none" w:sz="0" w:space="0" w:color="auto"/>
                                                                    <w:left w:val="none" w:sz="0" w:space="0" w:color="auto"/>
                                                                    <w:bottom w:val="none" w:sz="0" w:space="0" w:color="auto"/>
                                                                    <w:right w:val="none" w:sz="0" w:space="0" w:color="auto"/>
                                                                  </w:divBdr>
                                                                </w:div>
                                                                <w:div w:id="1703483265">
                                                                  <w:marLeft w:val="0"/>
                                                                  <w:marRight w:val="0"/>
                                                                  <w:marTop w:val="0"/>
                                                                  <w:marBottom w:val="0"/>
                                                                  <w:divBdr>
                                                                    <w:top w:val="none" w:sz="0" w:space="0" w:color="auto"/>
                                                                    <w:left w:val="none" w:sz="0" w:space="0" w:color="auto"/>
                                                                    <w:bottom w:val="none" w:sz="0" w:space="0" w:color="auto"/>
                                                                    <w:right w:val="none" w:sz="0" w:space="0" w:color="auto"/>
                                                                  </w:divBdr>
                                                                  <w:divsChild>
                                                                    <w:div w:id="1870607018">
                                                                      <w:marLeft w:val="0"/>
                                                                      <w:marRight w:val="0"/>
                                                                      <w:marTop w:val="0"/>
                                                                      <w:marBottom w:val="0"/>
                                                                      <w:divBdr>
                                                                        <w:top w:val="none" w:sz="0" w:space="0" w:color="auto"/>
                                                                        <w:left w:val="none" w:sz="0" w:space="0" w:color="auto"/>
                                                                        <w:bottom w:val="none" w:sz="0" w:space="0" w:color="auto"/>
                                                                        <w:right w:val="none" w:sz="0" w:space="0" w:color="auto"/>
                                                                      </w:divBdr>
                                                                      <w:divsChild>
                                                                        <w:div w:id="420878930">
                                                                          <w:marLeft w:val="0"/>
                                                                          <w:marRight w:val="0"/>
                                                                          <w:marTop w:val="0"/>
                                                                          <w:marBottom w:val="0"/>
                                                                          <w:divBdr>
                                                                            <w:top w:val="none" w:sz="0" w:space="0" w:color="auto"/>
                                                                            <w:left w:val="none" w:sz="0" w:space="0" w:color="auto"/>
                                                                            <w:bottom w:val="none" w:sz="0" w:space="0" w:color="auto"/>
                                                                            <w:right w:val="none" w:sz="0" w:space="0" w:color="auto"/>
                                                                          </w:divBdr>
                                                                          <w:divsChild>
                                                                            <w:div w:id="392236032">
                                                                              <w:marLeft w:val="0"/>
                                                                              <w:marRight w:val="0"/>
                                                                              <w:marTop w:val="0"/>
                                                                              <w:marBottom w:val="0"/>
                                                                              <w:divBdr>
                                                                                <w:top w:val="none" w:sz="0" w:space="0" w:color="auto"/>
                                                                                <w:left w:val="none" w:sz="0" w:space="0" w:color="auto"/>
                                                                                <w:bottom w:val="none" w:sz="0" w:space="0" w:color="auto"/>
                                                                                <w:right w:val="none" w:sz="0" w:space="0" w:color="auto"/>
                                                                              </w:divBdr>
                                                                            </w:div>
                                                                            <w:div w:id="2017998956">
                                                                              <w:marLeft w:val="0"/>
                                                                              <w:marRight w:val="0"/>
                                                                              <w:marTop w:val="0"/>
                                                                              <w:marBottom w:val="0"/>
                                                                              <w:divBdr>
                                                                                <w:top w:val="none" w:sz="0" w:space="0" w:color="auto"/>
                                                                                <w:left w:val="none" w:sz="0" w:space="0" w:color="auto"/>
                                                                                <w:bottom w:val="none" w:sz="0" w:space="0" w:color="auto"/>
                                                                                <w:right w:val="none" w:sz="0" w:space="0" w:color="auto"/>
                                                                              </w:divBdr>
                                                                            </w:div>
                                                                          </w:divsChild>
                                                                        </w:div>
                                                                        <w:div w:id="1105809665">
                                                                          <w:marLeft w:val="0"/>
                                                                          <w:marRight w:val="0"/>
                                                                          <w:marTop w:val="0"/>
                                                                          <w:marBottom w:val="0"/>
                                                                          <w:divBdr>
                                                                            <w:top w:val="none" w:sz="0" w:space="0" w:color="auto"/>
                                                                            <w:left w:val="none" w:sz="0" w:space="0" w:color="auto"/>
                                                                            <w:bottom w:val="none" w:sz="0" w:space="0" w:color="auto"/>
                                                                            <w:right w:val="none" w:sz="0" w:space="0" w:color="auto"/>
                                                                          </w:divBdr>
                                                                          <w:divsChild>
                                                                            <w:div w:id="1437363393">
                                                                              <w:marLeft w:val="0"/>
                                                                              <w:marRight w:val="0"/>
                                                                              <w:marTop w:val="0"/>
                                                                              <w:marBottom w:val="0"/>
                                                                              <w:divBdr>
                                                                                <w:top w:val="none" w:sz="0" w:space="0" w:color="auto"/>
                                                                                <w:left w:val="none" w:sz="0" w:space="0" w:color="auto"/>
                                                                                <w:bottom w:val="none" w:sz="0" w:space="0" w:color="auto"/>
                                                                                <w:right w:val="none" w:sz="0" w:space="0" w:color="auto"/>
                                                                              </w:divBdr>
                                                                            </w:div>
                                                                            <w:div w:id="1471677095">
                                                                              <w:marLeft w:val="0"/>
                                                                              <w:marRight w:val="0"/>
                                                                              <w:marTop w:val="0"/>
                                                                              <w:marBottom w:val="0"/>
                                                                              <w:divBdr>
                                                                                <w:top w:val="none" w:sz="0" w:space="0" w:color="auto"/>
                                                                                <w:left w:val="none" w:sz="0" w:space="0" w:color="auto"/>
                                                                                <w:bottom w:val="none" w:sz="0" w:space="0" w:color="auto"/>
                                                                                <w:right w:val="none" w:sz="0" w:space="0" w:color="auto"/>
                                                                              </w:divBdr>
                                                                            </w:div>
                                                                          </w:divsChild>
                                                                        </w:div>
                                                                        <w:div w:id="1115631949">
                                                                          <w:marLeft w:val="0"/>
                                                                          <w:marRight w:val="0"/>
                                                                          <w:marTop w:val="0"/>
                                                                          <w:marBottom w:val="0"/>
                                                                          <w:divBdr>
                                                                            <w:top w:val="none" w:sz="0" w:space="0" w:color="auto"/>
                                                                            <w:left w:val="none" w:sz="0" w:space="0" w:color="auto"/>
                                                                            <w:bottom w:val="none" w:sz="0" w:space="0" w:color="auto"/>
                                                                            <w:right w:val="none" w:sz="0" w:space="0" w:color="auto"/>
                                                                          </w:divBdr>
                                                                          <w:divsChild>
                                                                            <w:div w:id="653491728">
                                                                              <w:marLeft w:val="0"/>
                                                                              <w:marRight w:val="0"/>
                                                                              <w:marTop w:val="0"/>
                                                                              <w:marBottom w:val="0"/>
                                                                              <w:divBdr>
                                                                                <w:top w:val="none" w:sz="0" w:space="0" w:color="auto"/>
                                                                                <w:left w:val="none" w:sz="0" w:space="0" w:color="auto"/>
                                                                                <w:bottom w:val="none" w:sz="0" w:space="0" w:color="auto"/>
                                                                                <w:right w:val="none" w:sz="0" w:space="0" w:color="auto"/>
                                                                              </w:divBdr>
                                                                            </w:div>
                                                                            <w:div w:id="123215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559724">
                                                                      <w:marLeft w:val="0"/>
                                                                      <w:marRight w:val="0"/>
                                                                      <w:marTop w:val="0"/>
                                                                      <w:marBottom w:val="0"/>
                                                                      <w:divBdr>
                                                                        <w:top w:val="none" w:sz="0" w:space="0" w:color="auto"/>
                                                                        <w:left w:val="none" w:sz="0" w:space="0" w:color="auto"/>
                                                                        <w:bottom w:val="none" w:sz="0" w:space="0" w:color="auto"/>
                                                                        <w:right w:val="none" w:sz="0" w:space="0" w:color="auto"/>
                                                                      </w:divBdr>
                                                                    </w:div>
                                                                    <w:div w:id="876045105">
                                                                      <w:marLeft w:val="0"/>
                                                                      <w:marRight w:val="0"/>
                                                                      <w:marTop w:val="0"/>
                                                                      <w:marBottom w:val="0"/>
                                                                      <w:divBdr>
                                                                        <w:top w:val="none" w:sz="0" w:space="0" w:color="auto"/>
                                                                        <w:left w:val="none" w:sz="0" w:space="0" w:color="auto"/>
                                                                        <w:bottom w:val="none" w:sz="0" w:space="0" w:color="auto"/>
                                                                        <w:right w:val="none" w:sz="0" w:space="0" w:color="auto"/>
                                                                      </w:divBdr>
                                                                    </w:div>
                                                                    <w:div w:id="28654324">
                                                                      <w:marLeft w:val="0"/>
                                                                      <w:marRight w:val="0"/>
                                                                      <w:marTop w:val="0"/>
                                                                      <w:marBottom w:val="0"/>
                                                                      <w:divBdr>
                                                                        <w:top w:val="none" w:sz="0" w:space="0" w:color="auto"/>
                                                                        <w:left w:val="none" w:sz="0" w:space="0" w:color="auto"/>
                                                                        <w:bottom w:val="none" w:sz="0" w:space="0" w:color="auto"/>
                                                                        <w:right w:val="none" w:sz="0" w:space="0" w:color="auto"/>
                                                                      </w:divBdr>
                                                                    </w:div>
                                                                    <w:div w:id="1117411678">
                                                                      <w:marLeft w:val="0"/>
                                                                      <w:marRight w:val="0"/>
                                                                      <w:marTop w:val="0"/>
                                                                      <w:marBottom w:val="0"/>
                                                                      <w:divBdr>
                                                                        <w:top w:val="none" w:sz="0" w:space="0" w:color="auto"/>
                                                                        <w:left w:val="none" w:sz="0" w:space="0" w:color="auto"/>
                                                                        <w:bottom w:val="none" w:sz="0" w:space="0" w:color="auto"/>
                                                                        <w:right w:val="none" w:sz="0" w:space="0" w:color="auto"/>
                                                                      </w:divBdr>
                                                                    </w:div>
                                                                    <w:div w:id="393817722">
                                                                      <w:marLeft w:val="0"/>
                                                                      <w:marRight w:val="0"/>
                                                                      <w:marTop w:val="0"/>
                                                                      <w:marBottom w:val="0"/>
                                                                      <w:divBdr>
                                                                        <w:top w:val="none" w:sz="0" w:space="0" w:color="auto"/>
                                                                        <w:left w:val="none" w:sz="0" w:space="0" w:color="auto"/>
                                                                        <w:bottom w:val="none" w:sz="0" w:space="0" w:color="auto"/>
                                                                        <w:right w:val="none" w:sz="0" w:space="0" w:color="auto"/>
                                                                      </w:divBdr>
                                                                    </w:div>
                                                                    <w:div w:id="184757536">
                                                                      <w:marLeft w:val="0"/>
                                                                      <w:marRight w:val="0"/>
                                                                      <w:marTop w:val="0"/>
                                                                      <w:marBottom w:val="0"/>
                                                                      <w:divBdr>
                                                                        <w:top w:val="none" w:sz="0" w:space="0" w:color="auto"/>
                                                                        <w:left w:val="none" w:sz="0" w:space="0" w:color="auto"/>
                                                                        <w:bottom w:val="none" w:sz="0" w:space="0" w:color="auto"/>
                                                                        <w:right w:val="none" w:sz="0" w:space="0" w:color="auto"/>
                                                                      </w:divBdr>
                                                                    </w:div>
                                                                    <w:div w:id="110534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18391720">
      <w:bodyDiv w:val="1"/>
      <w:marLeft w:val="0"/>
      <w:marRight w:val="0"/>
      <w:marTop w:val="0"/>
      <w:marBottom w:val="0"/>
      <w:divBdr>
        <w:top w:val="none" w:sz="0" w:space="0" w:color="auto"/>
        <w:left w:val="none" w:sz="0" w:space="0" w:color="auto"/>
        <w:bottom w:val="none" w:sz="0" w:space="0" w:color="auto"/>
        <w:right w:val="none" w:sz="0" w:space="0" w:color="auto"/>
      </w:divBdr>
    </w:div>
    <w:div w:id="1065448753">
      <w:bodyDiv w:val="1"/>
      <w:marLeft w:val="0"/>
      <w:marRight w:val="0"/>
      <w:marTop w:val="0"/>
      <w:marBottom w:val="0"/>
      <w:divBdr>
        <w:top w:val="none" w:sz="0" w:space="0" w:color="auto"/>
        <w:left w:val="none" w:sz="0" w:space="0" w:color="auto"/>
        <w:bottom w:val="none" w:sz="0" w:space="0" w:color="auto"/>
        <w:right w:val="none" w:sz="0" w:space="0" w:color="auto"/>
      </w:divBdr>
      <w:divsChild>
        <w:div w:id="855734729">
          <w:marLeft w:val="0"/>
          <w:marRight w:val="0"/>
          <w:marTop w:val="0"/>
          <w:marBottom w:val="0"/>
          <w:divBdr>
            <w:top w:val="none" w:sz="0" w:space="0" w:color="auto"/>
            <w:left w:val="none" w:sz="0" w:space="0" w:color="auto"/>
            <w:bottom w:val="none" w:sz="0" w:space="0" w:color="auto"/>
            <w:right w:val="none" w:sz="0" w:space="0" w:color="auto"/>
          </w:divBdr>
          <w:divsChild>
            <w:div w:id="114303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224380">
      <w:bodyDiv w:val="1"/>
      <w:marLeft w:val="0"/>
      <w:marRight w:val="0"/>
      <w:marTop w:val="0"/>
      <w:marBottom w:val="0"/>
      <w:divBdr>
        <w:top w:val="none" w:sz="0" w:space="0" w:color="auto"/>
        <w:left w:val="none" w:sz="0" w:space="0" w:color="auto"/>
        <w:bottom w:val="none" w:sz="0" w:space="0" w:color="auto"/>
        <w:right w:val="none" w:sz="0" w:space="0" w:color="auto"/>
      </w:divBdr>
    </w:div>
    <w:div w:id="1142191072">
      <w:bodyDiv w:val="1"/>
      <w:marLeft w:val="0"/>
      <w:marRight w:val="0"/>
      <w:marTop w:val="0"/>
      <w:marBottom w:val="0"/>
      <w:divBdr>
        <w:top w:val="none" w:sz="0" w:space="0" w:color="auto"/>
        <w:left w:val="none" w:sz="0" w:space="0" w:color="auto"/>
        <w:bottom w:val="none" w:sz="0" w:space="0" w:color="auto"/>
        <w:right w:val="none" w:sz="0" w:space="0" w:color="auto"/>
      </w:divBdr>
    </w:div>
    <w:div w:id="1204100755">
      <w:bodyDiv w:val="1"/>
      <w:marLeft w:val="0"/>
      <w:marRight w:val="0"/>
      <w:marTop w:val="0"/>
      <w:marBottom w:val="0"/>
      <w:divBdr>
        <w:top w:val="none" w:sz="0" w:space="0" w:color="auto"/>
        <w:left w:val="none" w:sz="0" w:space="0" w:color="auto"/>
        <w:bottom w:val="none" w:sz="0" w:space="0" w:color="auto"/>
        <w:right w:val="none" w:sz="0" w:space="0" w:color="auto"/>
      </w:divBdr>
    </w:div>
    <w:div w:id="1210609189">
      <w:bodyDiv w:val="1"/>
      <w:marLeft w:val="0"/>
      <w:marRight w:val="0"/>
      <w:marTop w:val="0"/>
      <w:marBottom w:val="0"/>
      <w:divBdr>
        <w:top w:val="none" w:sz="0" w:space="0" w:color="auto"/>
        <w:left w:val="none" w:sz="0" w:space="0" w:color="auto"/>
        <w:bottom w:val="none" w:sz="0" w:space="0" w:color="auto"/>
        <w:right w:val="none" w:sz="0" w:space="0" w:color="auto"/>
      </w:divBdr>
    </w:div>
    <w:div w:id="1240289102">
      <w:bodyDiv w:val="1"/>
      <w:marLeft w:val="0"/>
      <w:marRight w:val="0"/>
      <w:marTop w:val="0"/>
      <w:marBottom w:val="0"/>
      <w:divBdr>
        <w:top w:val="none" w:sz="0" w:space="0" w:color="auto"/>
        <w:left w:val="none" w:sz="0" w:space="0" w:color="auto"/>
        <w:bottom w:val="none" w:sz="0" w:space="0" w:color="auto"/>
        <w:right w:val="none" w:sz="0" w:space="0" w:color="auto"/>
      </w:divBdr>
    </w:div>
    <w:div w:id="1258096395">
      <w:bodyDiv w:val="1"/>
      <w:marLeft w:val="0"/>
      <w:marRight w:val="0"/>
      <w:marTop w:val="0"/>
      <w:marBottom w:val="0"/>
      <w:divBdr>
        <w:top w:val="none" w:sz="0" w:space="0" w:color="auto"/>
        <w:left w:val="none" w:sz="0" w:space="0" w:color="auto"/>
        <w:bottom w:val="none" w:sz="0" w:space="0" w:color="auto"/>
        <w:right w:val="none" w:sz="0" w:space="0" w:color="auto"/>
      </w:divBdr>
    </w:div>
    <w:div w:id="1293056992">
      <w:bodyDiv w:val="1"/>
      <w:marLeft w:val="0"/>
      <w:marRight w:val="0"/>
      <w:marTop w:val="0"/>
      <w:marBottom w:val="0"/>
      <w:divBdr>
        <w:top w:val="none" w:sz="0" w:space="0" w:color="auto"/>
        <w:left w:val="none" w:sz="0" w:space="0" w:color="auto"/>
        <w:bottom w:val="none" w:sz="0" w:space="0" w:color="auto"/>
        <w:right w:val="none" w:sz="0" w:space="0" w:color="auto"/>
      </w:divBdr>
      <w:divsChild>
        <w:div w:id="368261886">
          <w:marLeft w:val="0"/>
          <w:marRight w:val="0"/>
          <w:marTop w:val="0"/>
          <w:marBottom w:val="0"/>
          <w:divBdr>
            <w:top w:val="none" w:sz="0" w:space="0" w:color="auto"/>
            <w:left w:val="none" w:sz="0" w:space="0" w:color="auto"/>
            <w:bottom w:val="none" w:sz="0" w:space="0" w:color="auto"/>
            <w:right w:val="none" w:sz="0" w:space="0" w:color="auto"/>
          </w:divBdr>
          <w:divsChild>
            <w:div w:id="773553325">
              <w:marLeft w:val="-225"/>
              <w:marRight w:val="-225"/>
              <w:marTop w:val="0"/>
              <w:marBottom w:val="0"/>
              <w:divBdr>
                <w:top w:val="none" w:sz="0" w:space="0" w:color="auto"/>
                <w:left w:val="none" w:sz="0" w:space="0" w:color="auto"/>
                <w:bottom w:val="none" w:sz="0" w:space="0" w:color="auto"/>
                <w:right w:val="none" w:sz="0" w:space="0" w:color="auto"/>
              </w:divBdr>
              <w:divsChild>
                <w:div w:id="484123865">
                  <w:marLeft w:val="0"/>
                  <w:marRight w:val="0"/>
                  <w:marTop w:val="0"/>
                  <w:marBottom w:val="0"/>
                  <w:divBdr>
                    <w:top w:val="none" w:sz="0" w:space="0" w:color="auto"/>
                    <w:left w:val="none" w:sz="0" w:space="0" w:color="auto"/>
                    <w:bottom w:val="none" w:sz="0" w:space="0" w:color="auto"/>
                    <w:right w:val="none" w:sz="0" w:space="0" w:color="auto"/>
                  </w:divBdr>
                  <w:divsChild>
                    <w:div w:id="931284157">
                      <w:marLeft w:val="0"/>
                      <w:marRight w:val="0"/>
                      <w:marTop w:val="0"/>
                      <w:marBottom w:val="0"/>
                      <w:divBdr>
                        <w:top w:val="none" w:sz="0" w:space="0" w:color="auto"/>
                        <w:left w:val="none" w:sz="0" w:space="0" w:color="auto"/>
                        <w:bottom w:val="none" w:sz="0" w:space="0" w:color="auto"/>
                        <w:right w:val="none" w:sz="0" w:space="0" w:color="auto"/>
                      </w:divBdr>
                      <w:divsChild>
                        <w:div w:id="758253583">
                          <w:marLeft w:val="0"/>
                          <w:marRight w:val="0"/>
                          <w:marTop w:val="0"/>
                          <w:marBottom w:val="0"/>
                          <w:divBdr>
                            <w:top w:val="none" w:sz="0" w:space="0" w:color="auto"/>
                            <w:left w:val="none" w:sz="0" w:space="0" w:color="auto"/>
                            <w:bottom w:val="none" w:sz="0" w:space="0" w:color="auto"/>
                            <w:right w:val="none" w:sz="0" w:space="0" w:color="auto"/>
                          </w:divBdr>
                          <w:divsChild>
                            <w:div w:id="1100682623">
                              <w:marLeft w:val="0"/>
                              <w:marRight w:val="0"/>
                              <w:marTop w:val="0"/>
                              <w:marBottom w:val="240"/>
                              <w:divBdr>
                                <w:top w:val="none" w:sz="0" w:space="0" w:color="auto"/>
                                <w:left w:val="none" w:sz="0" w:space="0" w:color="auto"/>
                                <w:bottom w:val="none" w:sz="0" w:space="0" w:color="auto"/>
                                <w:right w:val="none" w:sz="0" w:space="0" w:color="auto"/>
                              </w:divBdr>
                              <w:divsChild>
                                <w:div w:id="798184679">
                                  <w:marLeft w:val="0"/>
                                  <w:marRight w:val="0"/>
                                  <w:marTop w:val="0"/>
                                  <w:marBottom w:val="0"/>
                                  <w:divBdr>
                                    <w:top w:val="none" w:sz="0" w:space="0" w:color="auto"/>
                                    <w:left w:val="none" w:sz="0" w:space="0" w:color="auto"/>
                                    <w:bottom w:val="none" w:sz="0" w:space="0" w:color="auto"/>
                                    <w:right w:val="none" w:sz="0" w:space="0" w:color="auto"/>
                                  </w:divBdr>
                                  <w:divsChild>
                                    <w:div w:id="1009720293">
                                      <w:marLeft w:val="0"/>
                                      <w:marRight w:val="0"/>
                                      <w:marTop w:val="0"/>
                                      <w:marBottom w:val="0"/>
                                      <w:divBdr>
                                        <w:top w:val="none" w:sz="0" w:space="0" w:color="auto"/>
                                        <w:left w:val="none" w:sz="0" w:space="0" w:color="auto"/>
                                        <w:bottom w:val="none" w:sz="0" w:space="0" w:color="auto"/>
                                        <w:right w:val="none" w:sz="0" w:space="0" w:color="auto"/>
                                      </w:divBdr>
                                      <w:divsChild>
                                        <w:div w:id="1401559600">
                                          <w:marLeft w:val="0"/>
                                          <w:marRight w:val="0"/>
                                          <w:marTop w:val="0"/>
                                          <w:marBottom w:val="0"/>
                                          <w:divBdr>
                                            <w:top w:val="none" w:sz="0" w:space="0" w:color="auto"/>
                                            <w:left w:val="none" w:sz="0" w:space="0" w:color="auto"/>
                                            <w:bottom w:val="none" w:sz="0" w:space="0" w:color="auto"/>
                                            <w:right w:val="none" w:sz="0" w:space="0" w:color="auto"/>
                                          </w:divBdr>
                                          <w:divsChild>
                                            <w:div w:id="1356730098">
                                              <w:marLeft w:val="0"/>
                                              <w:marRight w:val="0"/>
                                              <w:marTop w:val="0"/>
                                              <w:marBottom w:val="0"/>
                                              <w:divBdr>
                                                <w:top w:val="none" w:sz="0" w:space="0" w:color="auto"/>
                                                <w:left w:val="none" w:sz="0" w:space="0" w:color="auto"/>
                                                <w:bottom w:val="none" w:sz="0" w:space="0" w:color="auto"/>
                                                <w:right w:val="none" w:sz="0" w:space="0" w:color="auto"/>
                                              </w:divBdr>
                                              <w:divsChild>
                                                <w:div w:id="156421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00964861">
      <w:bodyDiv w:val="1"/>
      <w:marLeft w:val="0"/>
      <w:marRight w:val="0"/>
      <w:marTop w:val="0"/>
      <w:marBottom w:val="0"/>
      <w:divBdr>
        <w:top w:val="none" w:sz="0" w:space="0" w:color="auto"/>
        <w:left w:val="none" w:sz="0" w:space="0" w:color="auto"/>
        <w:bottom w:val="none" w:sz="0" w:space="0" w:color="auto"/>
        <w:right w:val="none" w:sz="0" w:space="0" w:color="auto"/>
      </w:divBdr>
    </w:div>
    <w:div w:id="1309361919">
      <w:bodyDiv w:val="1"/>
      <w:marLeft w:val="0"/>
      <w:marRight w:val="0"/>
      <w:marTop w:val="0"/>
      <w:marBottom w:val="0"/>
      <w:divBdr>
        <w:top w:val="none" w:sz="0" w:space="0" w:color="auto"/>
        <w:left w:val="none" w:sz="0" w:space="0" w:color="auto"/>
        <w:bottom w:val="none" w:sz="0" w:space="0" w:color="auto"/>
        <w:right w:val="none" w:sz="0" w:space="0" w:color="auto"/>
      </w:divBdr>
      <w:divsChild>
        <w:div w:id="891114797">
          <w:marLeft w:val="0"/>
          <w:marRight w:val="0"/>
          <w:marTop w:val="0"/>
          <w:marBottom w:val="0"/>
          <w:divBdr>
            <w:top w:val="none" w:sz="0" w:space="0" w:color="auto"/>
            <w:left w:val="none" w:sz="0" w:space="0" w:color="auto"/>
            <w:bottom w:val="none" w:sz="0" w:space="0" w:color="auto"/>
            <w:right w:val="none" w:sz="0" w:space="0" w:color="auto"/>
          </w:divBdr>
          <w:divsChild>
            <w:div w:id="1419326749">
              <w:marLeft w:val="0"/>
              <w:marRight w:val="0"/>
              <w:marTop w:val="0"/>
              <w:marBottom w:val="4500"/>
              <w:divBdr>
                <w:top w:val="none" w:sz="0" w:space="0" w:color="auto"/>
                <w:left w:val="none" w:sz="0" w:space="0" w:color="auto"/>
                <w:bottom w:val="none" w:sz="0" w:space="0" w:color="auto"/>
                <w:right w:val="none" w:sz="0" w:space="0" w:color="auto"/>
              </w:divBdr>
              <w:divsChild>
                <w:div w:id="1231042022">
                  <w:marLeft w:val="0"/>
                  <w:marRight w:val="0"/>
                  <w:marTop w:val="0"/>
                  <w:marBottom w:val="0"/>
                  <w:divBdr>
                    <w:top w:val="none" w:sz="0" w:space="0" w:color="auto"/>
                    <w:left w:val="none" w:sz="0" w:space="0" w:color="auto"/>
                    <w:bottom w:val="none" w:sz="0" w:space="0" w:color="auto"/>
                    <w:right w:val="none" w:sz="0" w:space="0" w:color="auto"/>
                  </w:divBdr>
                  <w:divsChild>
                    <w:div w:id="1643535889">
                      <w:marLeft w:val="0"/>
                      <w:marRight w:val="0"/>
                      <w:marTop w:val="0"/>
                      <w:marBottom w:val="0"/>
                      <w:divBdr>
                        <w:top w:val="none" w:sz="0" w:space="0" w:color="auto"/>
                        <w:left w:val="none" w:sz="0" w:space="0" w:color="auto"/>
                        <w:bottom w:val="none" w:sz="0" w:space="0" w:color="auto"/>
                        <w:right w:val="none" w:sz="0" w:space="0" w:color="auto"/>
                      </w:divBdr>
                      <w:divsChild>
                        <w:div w:id="170992208">
                          <w:marLeft w:val="0"/>
                          <w:marRight w:val="0"/>
                          <w:marTop w:val="0"/>
                          <w:marBottom w:val="0"/>
                          <w:divBdr>
                            <w:top w:val="none" w:sz="0" w:space="0" w:color="auto"/>
                            <w:left w:val="none" w:sz="0" w:space="0" w:color="auto"/>
                            <w:bottom w:val="none" w:sz="0" w:space="0" w:color="auto"/>
                            <w:right w:val="none" w:sz="0" w:space="0" w:color="auto"/>
                          </w:divBdr>
                          <w:divsChild>
                            <w:div w:id="1698919789">
                              <w:marLeft w:val="150"/>
                              <w:marRight w:val="150"/>
                              <w:marTop w:val="0"/>
                              <w:marBottom w:val="0"/>
                              <w:divBdr>
                                <w:top w:val="none" w:sz="0" w:space="0" w:color="auto"/>
                                <w:left w:val="none" w:sz="0" w:space="0" w:color="auto"/>
                                <w:bottom w:val="none" w:sz="0" w:space="0" w:color="auto"/>
                                <w:right w:val="none" w:sz="0" w:space="0" w:color="auto"/>
                              </w:divBdr>
                              <w:divsChild>
                                <w:div w:id="212881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8675108">
      <w:bodyDiv w:val="1"/>
      <w:marLeft w:val="0"/>
      <w:marRight w:val="0"/>
      <w:marTop w:val="0"/>
      <w:marBottom w:val="0"/>
      <w:divBdr>
        <w:top w:val="none" w:sz="0" w:space="0" w:color="auto"/>
        <w:left w:val="none" w:sz="0" w:space="0" w:color="auto"/>
        <w:bottom w:val="none" w:sz="0" w:space="0" w:color="auto"/>
        <w:right w:val="none" w:sz="0" w:space="0" w:color="auto"/>
      </w:divBdr>
    </w:div>
    <w:div w:id="1354575045">
      <w:bodyDiv w:val="1"/>
      <w:marLeft w:val="0"/>
      <w:marRight w:val="0"/>
      <w:marTop w:val="0"/>
      <w:marBottom w:val="0"/>
      <w:divBdr>
        <w:top w:val="none" w:sz="0" w:space="0" w:color="auto"/>
        <w:left w:val="none" w:sz="0" w:space="0" w:color="auto"/>
        <w:bottom w:val="none" w:sz="0" w:space="0" w:color="auto"/>
        <w:right w:val="none" w:sz="0" w:space="0" w:color="auto"/>
      </w:divBdr>
    </w:div>
    <w:div w:id="1411656115">
      <w:bodyDiv w:val="1"/>
      <w:marLeft w:val="0"/>
      <w:marRight w:val="0"/>
      <w:marTop w:val="0"/>
      <w:marBottom w:val="0"/>
      <w:divBdr>
        <w:top w:val="none" w:sz="0" w:space="0" w:color="auto"/>
        <w:left w:val="none" w:sz="0" w:space="0" w:color="auto"/>
        <w:bottom w:val="none" w:sz="0" w:space="0" w:color="auto"/>
        <w:right w:val="none" w:sz="0" w:space="0" w:color="auto"/>
      </w:divBdr>
      <w:divsChild>
        <w:div w:id="1836678031">
          <w:marLeft w:val="0"/>
          <w:marRight w:val="0"/>
          <w:marTop w:val="0"/>
          <w:marBottom w:val="0"/>
          <w:divBdr>
            <w:top w:val="none" w:sz="0" w:space="0" w:color="auto"/>
            <w:left w:val="none" w:sz="0" w:space="0" w:color="auto"/>
            <w:bottom w:val="none" w:sz="0" w:space="0" w:color="auto"/>
            <w:right w:val="none" w:sz="0" w:space="0" w:color="auto"/>
          </w:divBdr>
          <w:divsChild>
            <w:div w:id="2109427016">
              <w:marLeft w:val="-225"/>
              <w:marRight w:val="-225"/>
              <w:marTop w:val="0"/>
              <w:marBottom w:val="0"/>
              <w:divBdr>
                <w:top w:val="none" w:sz="0" w:space="0" w:color="auto"/>
                <w:left w:val="none" w:sz="0" w:space="0" w:color="auto"/>
                <w:bottom w:val="none" w:sz="0" w:space="0" w:color="auto"/>
                <w:right w:val="none" w:sz="0" w:space="0" w:color="auto"/>
              </w:divBdr>
              <w:divsChild>
                <w:div w:id="1574663052">
                  <w:marLeft w:val="0"/>
                  <w:marRight w:val="0"/>
                  <w:marTop w:val="0"/>
                  <w:marBottom w:val="0"/>
                  <w:divBdr>
                    <w:top w:val="none" w:sz="0" w:space="0" w:color="auto"/>
                    <w:left w:val="none" w:sz="0" w:space="0" w:color="auto"/>
                    <w:bottom w:val="none" w:sz="0" w:space="0" w:color="auto"/>
                    <w:right w:val="none" w:sz="0" w:space="0" w:color="auto"/>
                  </w:divBdr>
                  <w:divsChild>
                    <w:div w:id="1633318049">
                      <w:marLeft w:val="0"/>
                      <w:marRight w:val="0"/>
                      <w:marTop w:val="0"/>
                      <w:marBottom w:val="0"/>
                      <w:divBdr>
                        <w:top w:val="none" w:sz="0" w:space="0" w:color="auto"/>
                        <w:left w:val="none" w:sz="0" w:space="0" w:color="auto"/>
                        <w:bottom w:val="none" w:sz="0" w:space="0" w:color="auto"/>
                        <w:right w:val="none" w:sz="0" w:space="0" w:color="auto"/>
                      </w:divBdr>
                      <w:divsChild>
                        <w:div w:id="860555897">
                          <w:marLeft w:val="0"/>
                          <w:marRight w:val="0"/>
                          <w:marTop w:val="0"/>
                          <w:marBottom w:val="0"/>
                          <w:divBdr>
                            <w:top w:val="none" w:sz="0" w:space="0" w:color="auto"/>
                            <w:left w:val="none" w:sz="0" w:space="0" w:color="auto"/>
                            <w:bottom w:val="none" w:sz="0" w:space="0" w:color="auto"/>
                            <w:right w:val="none" w:sz="0" w:space="0" w:color="auto"/>
                          </w:divBdr>
                          <w:divsChild>
                            <w:div w:id="1651473268">
                              <w:marLeft w:val="0"/>
                              <w:marRight w:val="0"/>
                              <w:marTop w:val="0"/>
                              <w:marBottom w:val="240"/>
                              <w:divBdr>
                                <w:top w:val="none" w:sz="0" w:space="0" w:color="auto"/>
                                <w:left w:val="none" w:sz="0" w:space="0" w:color="auto"/>
                                <w:bottom w:val="none" w:sz="0" w:space="0" w:color="auto"/>
                                <w:right w:val="none" w:sz="0" w:space="0" w:color="auto"/>
                              </w:divBdr>
                              <w:divsChild>
                                <w:div w:id="1958752715">
                                  <w:marLeft w:val="0"/>
                                  <w:marRight w:val="0"/>
                                  <w:marTop w:val="0"/>
                                  <w:marBottom w:val="0"/>
                                  <w:divBdr>
                                    <w:top w:val="none" w:sz="0" w:space="0" w:color="auto"/>
                                    <w:left w:val="none" w:sz="0" w:space="0" w:color="auto"/>
                                    <w:bottom w:val="none" w:sz="0" w:space="0" w:color="auto"/>
                                    <w:right w:val="none" w:sz="0" w:space="0" w:color="auto"/>
                                  </w:divBdr>
                                  <w:divsChild>
                                    <w:div w:id="1504515573">
                                      <w:marLeft w:val="0"/>
                                      <w:marRight w:val="0"/>
                                      <w:marTop w:val="0"/>
                                      <w:marBottom w:val="0"/>
                                      <w:divBdr>
                                        <w:top w:val="none" w:sz="0" w:space="0" w:color="auto"/>
                                        <w:left w:val="none" w:sz="0" w:space="0" w:color="auto"/>
                                        <w:bottom w:val="none" w:sz="0" w:space="0" w:color="auto"/>
                                        <w:right w:val="none" w:sz="0" w:space="0" w:color="auto"/>
                                      </w:divBdr>
                                      <w:divsChild>
                                        <w:div w:id="1025980505">
                                          <w:marLeft w:val="0"/>
                                          <w:marRight w:val="0"/>
                                          <w:marTop w:val="0"/>
                                          <w:marBottom w:val="0"/>
                                          <w:divBdr>
                                            <w:top w:val="none" w:sz="0" w:space="0" w:color="auto"/>
                                            <w:left w:val="none" w:sz="0" w:space="0" w:color="auto"/>
                                            <w:bottom w:val="none" w:sz="0" w:space="0" w:color="auto"/>
                                            <w:right w:val="none" w:sz="0" w:space="0" w:color="auto"/>
                                          </w:divBdr>
                                          <w:divsChild>
                                            <w:div w:id="335378822">
                                              <w:marLeft w:val="0"/>
                                              <w:marRight w:val="0"/>
                                              <w:marTop w:val="0"/>
                                              <w:marBottom w:val="0"/>
                                              <w:divBdr>
                                                <w:top w:val="none" w:sz="0" w:space="0" w:color="auto"/>
                                                <w:left w:val="none" w:sz="0" w:space="0" w:color="auto"/>
                                                <w:bottom w:val="none" w:sz="0" w:space="0" w:color="auto"/>
                                                <w:right w:val="none" w:sz="0" w:space="0" w:color="auto"/>
                                              </w:divBdr>
                                              <w:divsChild>
                                                <w:div w:id="142325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48574188">
      <w:bodyDiv w:val="1"/>
      <w:marLeft w:val="0"/>
      <w:marRight w:val="0"/>
      <w:marTop w:val="0"/>
      <w:marBottom w:val="0"/>
      <w:divBdr>
        <w:top w:val="none" w:sz="0" w:space="0" w:color="auto"/>
        <w:left w:val="none" w:sz="0" w:space="0" w:color="auto"/>
        <w:bottom w:val="none" w:sz="0" w:space="0" w:color="auto"/>
        <w:right w:val="none" w:sz="0" w:space="0" w:color="auto"/>
      </w:divBdr>
      <w:divsChild>
        <w:div w:id="148718826">
          <w:marLeft w:val="0"/>
          <w:marRight w:val="0"/>
          <w:marTop w:val="0"/>
          <w:marBottom w:val="0"/>
          <w:divBdr>
            <w:top w:val="none" w:sz="0" w:space="0" w:color="auto"/>
            <w:left w:val="none" w:sz="0" w:space="0" w:color="auto"/>
            <w:bottom w:val="none" w:sz="0" w:space="0" w:color="auto"/>
            <w:right w:val="none" w:sz="0" w:space="0" w:color="auto"/>
          </w:divBdr>
          <w:divsChild>
            <w:div w:id="1771848846">
              <w:marLeft w:val="0"/>
              <w:marRight w:val="0"/>
              <w:marTop w:val="0"/>
              <w:marBottom w:val="0"/>
              <w:divBdr>
                <w:top w:val="none" w:sz="0" w:space="0" w:color="auto"/>
                <w:left w:val="none" w:sz="0" w:space="0" w:color="auto"/>
                <w:bottom w:val="none" w:sz="0" w:space="0" w:color="auto"/>
                <w:right w:val="none" w:sz="0" w:space="0" w:color="auto"/>
              </w:divBdr>
              <w:divsChild>
                <w:div w:id="933434620">
                  <w:marLeft w:val="0"/>
                  <w:marRight w:val="0"/>
                  <w:marTop w:val="0"/>
                  <w:marBottom w:val="0"/>
                  <w:divBdr>
                    <w:top w:val="none" w:sz="0" w:space="0" w:color="auto"/>
                    <w:left w:val="none" w:sz="0" w:space="0" w:color="auto"/>
                    <w:bottom w:val="none" w:sz="0" w:space="0" w:color="auto"/>
                    <w:right w:val="none" w:sz="0" w:space="0" w:color="auto"/>
                  </w:divBdr>
                  <w:divsChild>
                    <w:div w:id="4622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132336">
      <w:bodyDiv w:val="1"/>
      <w:marLeft w:val="0"/>
      <w:marRight w:val="0"/>
      <w:marTop w:val="0"/>
      <w:marBottom w:val="0"/>
      <w:divBdr>
        <w:top w:val="none" w:sz="0" w:space="0" w:color="auto"/>
        <w:left w:val="none" w:sz="0" w:space="0" w:color="auto"/>
        <w:bottom w:val="none" w:sz="0" w:space="0" w:color="auto"/>
        <w:right w:val="none" w:sz="0" w:space="0" w:color="auto"/>
      </w:divBdr>
    </w:div>
    <w:div w:id="1510439791">
      <w:bodyDiv w:val="1"/>
      <w:marLeft w:val="0"/>
      <w:marRight w:val="0"/>
      <w:marTop w:val="0"/>
      <w:marBottom w:val="0"/>
      <w:divBdr>
        <w:top w:val="none" w:sz="0" w:space="0" w:color="auto"/>
        <w:left w:val="none" w:sz="0" w:space="0" w:color="auto"/>
        <w:bottom w:val="none" w:sz="0" w:space="0" w:color="auto"/>
        <w:right w:val="none" w:sz="0" w:space="0" w:color="auto"/>
      </w:divBdr>
      <w:divsChild>
        <w:div w:id="1218274180">
          <w:marLeft w:val="0"/>
          <w:marRight w:val="0"/>
          <w:marTop w:val="0"/>
          <w:marBottom w:val="0"/>
          <w:divBdr>
            <w:top w:val="none" w:sz="0" w:space="0" w:color="auto"/>
            <w:left w:val="none" w:sz="0" w:space="0" w:color="auto"/>
            <w:bottom w:val="none" w:sz="0" w:space="0" w:color="auto"/>
            <w:right w:val="none" w:sz="0" w:space="0" w:color="auto"/>
          </w:divBdr>
          <w:divsChild>
            <w:div w:id="835152705">
              <w:marLeft w:val="-225"/>
              <w:marRight w:val="-225"/>
              <w:marTop w:val="0"/>
              <w:marBottom w:val="0"/>
              <w:divBdr>
                <w:top w:val="none" w:sz="0" w:space="0" w:color="auto"/>
                <w:left w:val="none" w:sz="0" w:space="0" w:color="auto"/>
                <w:bottom w:val="none" w:sz="0" w:space="0" w:color="auto"/>
                <w:right w:val="none" w:sz="0" w:space="0" w:color="auto"/>
              </w:divBdr>
              <w:divsChild>
                <w:div w:id="1842769152">
                  <w:marLeft w:val="0"/>
                  <w:marRight w:val="0"/>
                  <w:marTop w:val="0"/>
                  <w:marBottom w:val="0"/>
                  <w:divBdr>
                    <w:top w:val="none" w:sz="0" w:space="0" w:color="auto"/>
                    <w:left w:val="none" w:sz="0" w:space="0" w:color="auto"/>
                    <w:bottom w:val="none" w:sz="0" w:space="0" w:color="auto"/>
                    <w:right w:val="none" w:sz="0" w:space="0" w:color="auto"/>
                  </w:divBdr>
                  <w:divsChild>
                    <w:div w:id="1781532612">
                      <w:marLeft w:val="0"/>
                      <w:marRight w:val="0"/>
                      <w:marTop w:val="0"/>
                      <w:marBottom w:val="0"/>
                      <w:divBdr>
                        <w:top w:val="none" w:sz="0" w:space="0" w:color="auto"/>
                        <w:left w:val="none" w:sz="0" w:space="0" w:color="auto"/>
                        <w:bottom w:val="none" w:sz="0" w:space="0" w:color="auto"/>
                        <w:right w:val="none" w:sz="0" w:space="0" w:color="auto"/>
                      </w:divBdr>
                      <w:divsChild>
                        <w:div w:id="84619090">
                          <w:marLeft w:val="0"/>
                          <w:marRight w:val="0"/>
                          <w:marTop w:val="0"/>
                          <w:marBottom w:val="0"/>
                          <w:divBdr>
                            <w:top w:val="none" w:sz="0" w:space="0" w:color="auto"/>
                            <w:left w:val="none" w:sz="0" w:space="0" w:color="auto"/>
                            <w:bottom w:val="none" w:sz="0" w:space="0" w:color="auto"/>
                            <w:right w:val="none" w:sz="0" w:space="0" w:color="auto"/>
                          </w:divBdr>
                          <w:divsChild>
                            <w:div w:id="755975903">
                              <w:marLeft w:val="0"/>
                              <w:marRight w:val="0"/>
                              <w:marTop w:val="0"/>
                              <w:marBottom w:val="240"/>
                              <w:divBdr>
                                <w:top w:val="none" w:sz="0" w:space="0" w:color="auto"/>
                                <w:left w:val="none" w:sz="0" w:space="0" w:color="auto"/>
                                <w:bottom w:val="none" w:sz="0" w:space="0" w:color="auto"/>
                                <w:right w:val="none" w:sz="0" w:space="0" w:color="auto"/>
                              </w:divBdr>
                              <w:divsChild>
                                <w:div w:id="431822854">
                                  <w:marLeft w:val="0"/>
                                  <w:marRight w:val="0"/>
                                  <w:marTop w:val="0"/>
                                  <w:marBottom w:val="0"/>
                                  <w:divBdr>
                                    <w:top w:val="none" w:sz="0" w:space="0" w:color="auto"/>
                                    <w:left w:val="none" w:sz="0" w:space="0" w:color="auto"/>
                                    <w:bottom w:val="none" w:sz="0" w:space="0" w:color="auto"/>
                                    <w:right w:val="none" w:sz="0" w:space="0" w:color="auto"/>
                                  </w:divBdr>
                                  <w:divsChild>
                                    <w:div w:id="730346800">
                                      <w:marLeft w:val="0"/>
                                      <w:marRight w:val="0"/>
                                      <w:marTop w:val="0"/>
                                      <w:marBottom w:val="0"/>
                                      <w:divBdr>
                                        <w:top w:val="none" w:sz="0" w:space="0" w:color="auto"/>
                                        <w:left w:val="none" w:sz="0" w:space="0" w:color="auto"/>
                                        <w:bottom w:val="none" w:sz="0" w:space="0" w:color="auto"/>
                                        <w:right w:val="none" w:sz="0" w:space="0" w:color="auto"/>
                                      </w:divBdr>
                                      <w:divsChild>
                                        <w:div w:id="942497703">
                                          <w:marLeft w:val="0"/>
                                          <w:marRight w:val="0"/>
                                          <w:marTop w:val="0"/>
                                          <w:marBottom w:val="0"/>
                                          <w:divBdr>
                                            <w:top w:val="none" w:sz="0" w:space="0" w:color="auto"/>
                                            <w:left w:val="none" w:sz="0" w:space="0" w:color="auto"/>
                                            <w:bottom w:val="none" w:sz="0" w:space="0" w:color="auto"/>
                                            <w:right w:val="none" w:sz="0" w:space="0" w:color="auto"/>
                                          </w:divBdr>
                                          <w:divsChild>
                                            <w:div w:id="2016302724">
                                              <w:marLeft w:val="0"/>
                                              <w:marRight w:val="0"/>
                                              <w:marTop w:val="0"/>
                                              <w:marBottom w:val="0"/>
                                              <w:divBdr>
                                                <w:top w:val="none" w:sz="0" w:space="0" w:color="auto"/>
                                                <w:left w:val="none" w:sz="0" w:space="0" w:color="auto"/>
                                                <w:bottom w:val="none" w:sz="0" w:space="0" w:color="auto"/>
                                                <w:right w:val="none" w:sz="0" w:space="0" w:color="auto"/>
                                              </w:divBdr>
                                              <w:divsChild>
                                                <w:div w:id="158591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3078687">
      <w:bodyDiv w:val="1"/>
      <w:marLeft w:val="0"/>
      <w:marRight w:val="0"/>
      <w:marTop w:val="0"/>
      <w:marBottom w:val="0"/>
      <w:divBdr>
        <w:top w:val="none" w:sz="0" w:space="0" w:color="auto"/>
        <w:left w:val="none" w:sz="0" w:space="0" w:color="auto"/>
        <w:bottom w:val="none" w:sz="0" w:space="0" w:color="auto"/>
        <w:right w:val="none" w:sz="0" w:space="0" w:color="auto"/>
      </w:divBdr>
    </w:div>
    <w:div w:id="1576279597">
      <w:bodyDiv w:val="1"/>
      <w:marLeft w:val="0"/>
      <w:marRight w:val="0"/>
      <w:marTop w:val="0"/>
      <w:marBottom w:val="0"/>
      <w:divBdr>
        <w:top w:val="none" w:sz="0" w:space="0" w:color="auto"/>
        <w:left w:val="none" w:sz="0" w:space="0" w:color="auto"/>
        <w:bottom w:val="none" w:sz="0" w:space="0" w:color="auto"/>
        <w:right w:val="none" w:sz="0" w:space="0" w:color="auto"/>
      </w:divBdr>
      <w:divsChild>
        <w:div w:id="593827210">
          <w:marLeft w:val="0"/>
          <w:marRight w:val="0"/>
          <w:marTop w:val="0"/>
          <w:marBottom w:val="0"/>
          <w:divBdr>
            <w:top w:val="none" w:sz="0" w:space="0" w:color="auto"/>
            <w:left w:val="none" w:sz="0" w:space="0" w:color="auto"/>
            <w:bottom w:val="none" w:sz="0" w:space="0" w:color="auto"/>
            <w:right w:val="none" w:sz="0" w:space="0" w:color="auto"/>
          </w:divBdr>
          <w:divsChild>
            <w:div w:id="780295349">
              <w:marLeft w:val="0"/>
              <w:marRight w:val="0"/>
              <w:marTop w:val="0"/>
              <w:marBottom w:val="0"/>
              <w:divBdr>
                <w:top w:val="none" w:sz="0" w:space="0" w:color="auto"/>
                <w:left w:val="none" w:sz="0" w:space="0" w:color="auto"/>
                <w:bottom w:val="none" w:sz="0" w:space="0" w:color="auto"/>
                <w:right w:val="none" w:sz="0" w:space="0" w:color="auto"/>
              </w:divBdr>
              <w:divsChild>
                <w:div w:id="1998653548">
                  <w:marLeft w:val="0"/>
                  <w:marRight w:val="0"/>
                  <w:marTop w:val="0"/>
                  <w:marBottom w:val="0"/>
                  <w:divBdr>
                    <w:top w:val="none" w:sz="0" w:space="0" w:color="auto"/>
                    <w:left w:val="none" w:sz="0" w:space="0" w:color="auto"/>
                    <w:bottom w:val="none" w:sz="0" w:space="0" w:color="auto"/>
                    <w:right w:val="none" w:sz="0" w:space="0" w:color="auto"/>
                  </w:divBdr>
                  <w:divsChild>
                    <w:div w:id="672877239">
                      <w:marLeft w:val="0"/>
                      <w:marRight w:val="0"/>
                      <w:marTop w:val="0"/>
                      <w:marBottom w:val="0"/>
                      <w:divBdr>
                        <w:top w:val="none" w:sz="0" w:space="0" w:color="auto"/>
                        <w:left w:val="none" w:sz="0" w:space="0" w:color="auto"/>
                        <w:bottom w:val="none" w:sz="0" w:space="0" w:color="auto"/>
                        <w:right w:val="none" w:sz="0" w:space="0" w:color="auto"/>
                      </w:divBdr>
                      <w:divsChild>
                        <w:div w:id="263465050">
                          <w:marLeft w:val="0"/>
                          <w:marRight w:val="0"/>
                          <w:marTop w:val="0"/>
                          <w:marBottom w:val="0"/>
                          <w:divBdr>
                            <w:top w:val="none" w:sz="0" w:space="0" w:color="auto"/>
                            <w:left w:val="none" w:sz="0" w:space="0" w:color="auto"/>
                            <w:bottom w:val="none" w:sz="0" w:space="0" w:color="auto"/>
                            <w:right w:val="none" w:sz="0" w:space="0" w:color="auto"/>
                          </w:divBdr>
                          <w:divsChild>
                            <w:div w:id="379551526">
                              <w:marLeft w:val="0"/>
                              <w:marRight w:val="0"/>
                              <w:marTop w:val="0"/>
                              <w:marBottom w:val="0"/>
                              <w:divBdr>
                                <w:top w:val="none" w:sz="0" w:space="0" w:color="auto"/>
                                <w:left w:val="none" w:sz="0" w:space="0" w:color="auto"/>
                                <w:bottom w:val="none" w:sz="0" w:space="0" w:color="auto"/>
                                <w:right w:val="none" w:sz="0" w:space="0" w:color="auto"/>
                              </w:divBdr>
                              <w:divsChild>
                                <w:div w:id="1620138207">
                                  <w:marLeft w:val="0"/>
                                  <w:marRight w:val="0"/>
                                  <w:marTop w:val="0"/>
                                  <w:marBottom w:val="0"/>
                                  <w:divBdr>
                                    <w:top w:val="none" w:sz="0" w:space="0" w:color="auto"/>
                                    <w:left w:val="none" w:sz="0" w:space="0" w:color="auto"/>
                                    <w:bottom w:val="none" w:sz="0" w:space="0" w:color="auto"/>
                                    <w:right w:val="none" w:sz="0" w:space="0" w:color="auto"/>
                                  </w:divBdr>
                                  <w:divsChild>
                                    <w:div w:id="166796706">
                                      <w:marLeft w:val="0"/>
                                      <w:marRight w:val="0"/>
                                      <w:marTop w:val="0"/>
                                      <w:marBottom w:val="0"/>
                                      <w:divBdr>
                                        <w:top w:val="none" w:sz="0" w:space="0" w:color="auto"/>
                                        <w:left w:val="none" w:sz="0" w:space="0" w:color="auto"/>
                                        <w:bottom w:val="none" w:sz="0" w:space="0" w:color="auto"/>
                                        <w:right w:val="none" w:sz="0" w:space="0" w:color="auto"/>
                                      </w:divBdr>
                                      <w:divsChild>
                                        <w:div w:id="1474249272">
                                          <w:marLeft w:val="0"/>
                                          <w:marRight w:val="0"/>
                                          <w:marTop w:val="0"/>
                                          <w:marBottom w:val="0"/>
                                          <w:divBdr>
                                            <w:top w:val="none" w:sz="0" w:space="0" w:color="auto"/>
                                            <w:left w:val="none" w:sz="0" w:space="0" w:color="auto"/>
                                            <w:bottom w:val="none" w:sz="0" w:space="0" w:color="auto"/>
                                            <w:right w:val="none" w:sz="0" w:space="0" w:color="auto"/>
                                          </w:divBdr>
                                          <w:divsChild>
                                            <w:div w:id="113233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82956559">
      <w:bodyDiv w:val="1"/>
      <w:marLeft w:val="0"/>
      <w:marRight w:val="0"/>
      <w:marTop w:val="0"/>
      <w:marBottom w:val="0"/>
      <w:divBdr>
        <w:top w:val="none" w:sz="0" w:space="0" w:color="auto"/>
        <w:left w:val="none" w:sz="0" w:space="0" w:color="auto"/>
        <w:bottom w:val="none" w:sz="0" w:space="0" w:color="auto"/>
        <w:right w:val="none" w:sz="0" w:space="0" w:color="auto"/>
      </w:divBdr>
    </w:div>
    <w:div w:id="1631742056">
      <w:bodyDiv w:val="1"/>
      <w:marLeft w:val="0"/>
      <w:marRight w:val="0"/>
      <w:marTop w:val="0"/>
      <w:marBottom w:val="0"/>
      <w:divBdr>
        <w:top w:val="none" w:sz="0" w:space="0" w:color="auto"/>
        <w:left w:val="none" w:sz="0" w:space="0" w:color="auto"/>
        <w:bottom w:val="none" w:sz="0" w:space="0" w:color="auto"/>
        <w:right w:val="none" w:sz="0" w:space="0" w:color="auto"/>
      </w:divBdr>
    </w:div>
    <w:div w:id="1635985138">
      <w:bodyDiv w:val="1"/>
      <w:marLeft w:val="0"/>
      <w:marRight w:val="0"/>
      <w:marTop w:val="0"/>
      <w:marBottom w:val="0"/>
      <w:divBdr>
        <w:top w:val="none" w:sz="0" w:space="0" w:color="auto"/>
        <w:left w:val="none" w:sz="0" w:space="0" w:color="auto"/>
        <w:bottom w:val="none" w:sz="0" w:space="0" w:color="auto"/>
        <w:right w:val="none" w:sz="0" w:space="0" w:color="auto"/>
      </w:divBdr>
      <w:divsChild>
        <w:div w:id="1478716766">
          <w:marLeft w:val="0"/>
          <w:marRight w:val="0"/>
          <w:marTop w:val="0"/>
          <w:marBottom w:val="0"/>
          <w:divBdr>
            <w:top w:val="none" w:sz="0" w:space="0" w:color="auto"/>
            <w:left w:val="none" w:sz="0" w:space="0" w:color="auto"/>
            <w:bottom w:val="none" w:sz="0" w:space="0" w:color="auto"/>
            <w:right w:val="none" w:sz="0" w:space="0" w:color="auto"/>
          </w:divBdr>
          <w:divsChild>
            <w:div w:id="1247960049">
              <w:marLeft w:val="0"/>
              <w:marRight w:val="0"/>
              <w:marTop w:val="0"/>
              <w:marBottom w:val="0"/>
              <w:divBdr>
                <w:top w:val="none" w:sz="0" w:space="0" w:color="auto"/>
                <w:left w:val="none" w:sz="0" w:space="0" w:color="auto"/>
                <w:bottom w:val="none" w:sz="0" w:space="0" w:color="auto"/>
                <w:right w:val="none" w:sz="0" w:space="0" w:color="auto"/>
              </w:divBdr>
              <w:divsChild>
                <w:div w:id="13002477">
                  <w:marLeft w:val="0"/>
                  <w:marRight w:val="0"/>
                  <w:marTop w:val="0"/>
                  <w:marBottom w:val="0"/>
                  <w:divBdr>
                    <w:top w:val="none" w:sz="0" w:space="0" w:color="auto"/>
                    <w:left w:val="none" w:sz="0" w:space="0" w:color="auto"/>
                    <w:bottom w:val="none" w:sz="0" w:space="0" w:color="auto"/>
                    <w:right w:val="none" w:sz="0" w:space="0" w:color="auto"/>
                  </w:divBdr>
                  <w:divsChild>
                    <w:div w:id="1581865200">
                      <w:marLeft w:val="0"/>
                      <w:marRight w:val="0"/>
                      <w:marTop w:val="0"/>
                      <w:marBottom w:val="0"/>
                      <w:divBdr>
                        <w:top w:val="none" w:sz="0" w:space="0" w:color="auto"/>
                        <w:left w:val="none" w:sz="0" w:space="0" w:color="auto"/>
                        <w:bottom w:val="none" w:sz="0" w:space="0" w:color="auto"/>
                        <w:right w:val="none" w:sz="0" w:space="0" w:color="auto"/>
                      </w:divBdr>
                      <w:divsChild>
                        <w:div w:id="1704475044">
                          <w:marLeft w:val="0"/>
                          <w:marRight w:val="0"/>
                          <w:marTop w:val="0"/>
                          <w:marBottom w:val="0"/>
                          <w:divBdr>
                            <w:top w:val="none" w:sz="0" w:space="0" w:color="auto"/>
                            <w:left w:val="none" w:sz="0" w:space="0" w:color="auto"/>
                            <w:bottom w:val="none" w:sz="0" w:space="0" w:color="auto"/>
                            <w:right w:val="none" w:sz="0" w:space="0" w:color="auto"/>
                          </w:divBdr>
                          <w:divsChild>
                            <w:div w:id="1992515840">
                              <w:marLeft w:val="0"/>
                              <w:marRight w:val="0"/>
                              <w:marTop w:val="0"/>
                              <w:marBottom w:val="0"/>
                              <w:divBdr>
                                <w:top w:val="none" w:sz="0" w:space="0" w:color="auto"/>
                                <w:left w:val="none" w:sz="0" w:space="0" w:color="auto"/>
                                <w:bottom w:val="none" w:sz="0" w:space="0" w:color="auto"/>
                                <w:right w:val="none" w:sz="0" w:space="0" w:color="auto"/>
                              </w:divBdr>
                              <w:divsChild>
                                <w:div w:id="15037508">
                                  <w:marLeft w:val="0"/>
                                  <w:marRight w:val="0"/>
                                  <w:marTop w:val="0"/>
                                  <w:marBottom w:val="0"/>
                                  <w:divBdr>
                                    <w:top w:val="none" w:sz="0" w:space="0" w:color="auto"/>
                                    <w:left w:val="none" w:sz="0" w:space="0" w:color="auto"/>
                                    <w:bottom w:val="none" w:sz="0" w:space="0" w:color="auto"/>
                                    <w:right w:val="none" w:sz="0" w:space="0" w:color="auto"/>
                                  </w:divBdr>
                                  <w:divsChild>
                                    <w:div w:id="979502350">
                                      <w:marLeft w:val="0"/>
                                      <w:marRight w:val="0"/>
                                      <w:marTop w:val="0"/>
                                      <w:marBottom w:val="0"/>
                                      <w:divBdr>
                                        <w:top w:val="none" w:sz="0" w:space="0" w:color="auto"/>
                                        <w:left w:val="none" w:sz="0" w:space="0" w:color="auto"/>
                                        <w:bottom w:val="none" w:sz="0" w:space="0" w:color="auto"/>
                                        <w:right w:val="none" w:sz="0" w:space="0" w:color="auto"/>
                                      </w:divBdr>
                                      <w:divsChild>
                                        <w:div w:id="1196967072">
                                          <w:marLeft w:val="0"/>
                                          <w:marRight w:val="0"/>
                                          <w:marTop w:val="0"/>
                                          <w:marBottom w:val="0"/>
                                          <w:divBdr>
                                            <w:top w:val="none" w:sz="0" w:space="0" w:color="auto"/>
                                            <w:left w:val="none" w:sz="0" w:space="0" w:color="auto"/>
                                            <w:bottom w:val="none" w:sz="0" w:space="0" w:color="auto"/>
                                            <w:right w:val="none" w:sz="0" w:space="0" w:color="auto"/>
                                          </w:divBdr>
                                          <w:divsChild>
                                            <w:div w:id="479931904">
                                              <w:marLeft w:val="0"/>
                                              <w:marRight w:val="0"/>
                                              <w:marTop w:val="0"/>
                                              <w:marBottom w:val="0"/>
                                              <w:divBdr>
                                                <w:top w:val="none" w:sz="0" w:space="0" w:color="auto"/>
                                                <w:left w:val="none" w:sz="0" w:space="0" w:color="auto"/>
                                                <w:bottom w:val="none" w:sz="0" w:space="0" w:color="auto"/>
                                                <w:right w:val="none" w:sz="0" w:space="0" w:color="auto"/>
                                              </w:divBdr>
                                              <w:divsChild>
                                                <w:div w:id="1605108433">
                                                  <w:marLeft w:val="0"/>
                                                  <w:marRight w:val="0"/>
                                                  <w:marTop w:val="0"/>
                                                  <w:marBottom w:val="0"/>
                                                  <w:divBdr>
                                                    <w:top w:val="none" w:sz="0" w:space="0" w:color="auto"/>
                                                    <w:left w:val="none" w:sz="0" w:space="0" w:color="auto"/>
                                                    <w:bottom w:val="none" w:sz="0" w:space="0" w:color="auto"/>
                                                    <w:right w:val="none" w:sz="0" w:space="0" w:color="auto"/>
                                                  </w:divBdr>
                                                  <w:divsChild>
                                                    <w:div w:id="1298955378">
                                                      <w:marLeft w:val="0"/>
                                                      <w:marRight w:val="0"/>
                                                      <w:marTop w:val="0"/>
                                                      <w:marBottom w:val="0"/>
                                                      <w:divBdr>
                                                        <w:top w:val="none" w:sz="0" w:space="0" w:color="auto"/>
                                                        <w:left w:val="none" w:sz="0" w:space="0" w:color="auto"/>
                                                        <w:bottom w:val="none" w:sz="0" w:space="0" w:color="auto"/>
                                                        <w:right w:val="none" w:sz="0" w:space="0" w:color="auto"/>
                                                      </w:divBdr>
                                                      <w:divsChild>
                                                        <w:div w:id="1066802073">
                                                          <w:marLeft w:val="0"/>
                                                          <w:marRight w:val="0"/>
                                                          <w:marTop w:val="0"/>
                                                          <w:marBottom w:val="0"/>
                                                          <w:divBdr>
                                                            <w:top w:val="none" w:sz="0" w:space="0" w:color="auto"/>
                                                            <w:left w:val="none" w:sz="0" w:space="0" w:color="auto"/>
                                                            <w:bottom w:val="none" w:sz="0" w:space="0" w:color="auto"/>
                                                            <w:right w:val="none" w:sz="0" w:space="0" w:color="auto"/>
                                                          </w:divBdr>
                                                          <w:divsChild>
                                                            <w:div w:id="748039910">
                                                              <w:marLeft w:val="0"/>
                                                              <w:marRight w:val="0"/>
                                                              <w:marTop w:val="0"/>
                                                              <w:marBottom w:val="0"/>
                                                              <w:divBdr>
                                                                <w:top w:val="none" w:sz="0" w:space="0" w:color="auto"/>
                                                                <w:left w:val="none" w:sz="0" w:space="0" w:color="auto"/>
                                                                <w:bottom w:val="none" w:sz="0" w:space="0" w:color="auto"/>
                                                                <w:right w:val="none" w:sz="0" w:space="0" w:color="auto"/>
                                                              </w:divBdr>
                                                              <w:divsChild>
                                                                <w:div w:id="931663674">
                                                                  <w:marLeft w:val="0"/>
                                                                  <w:marRight w:val="0"/>
                                                                  <w:marTop w:val="0"/>
                                                                  <w:marBottom w:val="0"/>
                                                                  <w:divBdr>
                                                                    <w:top w:val="none" w:sz="0" w:space="0" w:color="auto"/>
                                                                    <w:left w:val="none" w:sz="0" w:space="0" w:color="auto"/>
                                                                    <w:bottom w:val="none" w:sz="0" w:space="0" w:color="auto"/>
                                                                    <w:right w:val="none" w:sz="0" w:space="0" w:color="auto"/>
                                                                  </w:divBdr>
                                                                  <w:divsChild>
                                                                    <w:div w:id="295452344">
                                                                      <w:marLeft w:val="0"/>
                                                                      <w:marRight w:val="0"/>
                                                                      <w:marTop w:val="0"/>
                                                                      <w:marBottom w:val="0"/>
                                                                      <w:divBdr>
                                                                        <w:top w:val="none" w:sz="0" w:space="0" w:color="auto"/>
                                                                        <w:left w:val="none" w:sz="0" w:space="0" w:color="auto"/>
                                                                        <w:bottom w:val="none" w:sz="0" w:space="0" w:color="auto"/>
                                                                        <w:right w:val="none" w:sz="0" w:space="0" w:color="auto"/>
                                                                      </w:divBdr>
                                                                      <w:divsChild>
                                                                        <w:div w:id="1663389342">
                                                                          <w:marLeft w:val="0"/>
                                                                          <w:marRight w:val="0"/>
                                                                          <w:marTop w:val="0"/>
                                                                          <w:marBottom w:val="300"/>
                                                                          <w:divBdr>
                                                                            <w:top w:val="none" w:sz="0" w:space="0" w:color="auto"/>
                                                                            <w:left w:val="none" w:sz="0" w:space="0" w:color="auto"/>
                                                                            <w:bottom w:val="none" w:sz="0" w:space="0" w:color="auto"/>
                                                                            <w:right w:val="none" w:sz="0" w:space="0" w:color="auto"/>
                                                                          </w:divBdr>
                                                                          <w:divsChild>
                                                                            <w:div w:id="252709057">
                                                                              <w:marLeft w:val="0"/>
                                                                              <w:marRight w:val="0"/>
                                                                              <w:marTop w:val="0"/>
                                                                              <w:marBottom w:val="0"/>
                                                                              <w:divBdr>
                                                                                <w:top w:val="none" w:sz="0" w:space="0" w:color="auto"/>
                                                                                <w:left w:val="none" w:sz="0" w:space="0" w:color="auto"/>
                                                                                <w:bottom w:val="none" w:sz="0" w:space="0" w:color="auto"/>
                                                                                <w:right w:val="none" w:sz="0" w:space="0" w:color="auto"/>
                                                                              </w:divBdr>
                                                                              <w:divsChild>
                                                                                <w:div w:id="1546987733">
                                                                                  <w:marLeft w:val="0"/>
                                                                                  <w:marRight w:val="0"/>
                                                                                  <w:marTop w:val="0"/>
                                                                                  <w:marBottom w:val="0"/>
                                                                                  <w:divBdr>
                                                                                    <w:top w:val="none" w:sz="0" w:space="0" w:color="auto"/>
                                                                                    <w:left w:val="none" w:sz="0" w:space="0" w:color="auto"/>
                                                                                    <w:bottom w:val="none" w:sz="0" w:space="0" w:color="auto"/>
                                                                                    <w:right w:val="none" w:sz="0" w:space="0" w:color="auto"/>
                                                                                  </w:divBdr>
                                                                                  <w:divsChild>
                                                                                    <w:div w:id="1754276815">
                                                                                      <w:marLeft w:val="0"/>
                                                                                      <w:marRight w:val="0"/>
                                                                                      <w:marTop w:val="0"/>
                                                                                      <w:marBottom w:val="0"/>
                                                                                      <w:divBdr>
                                                                                        <w:top w:val="none" w:sz="0" w:space="0" w:color="auto"/>
                                                                                        <w:left w:val="none" w:sz="0" w:space="0" w:color="auto"/>
                                                                                        <w:bottom w:val="none" w:sz="0" w:space="0" w:color="auto"/>
                                                                                        <w:right w:val="none" w:sz="0" w:space="0" w:color="auto"/>
                                                                                      </w:divBdr>
                                                                                      <w:divsChild>
                                                                                        <w:div w:id="638417040">
                                                                                          <w:marLeft w:val="0"/>
                                                                                          <w:marRight w:val="0"/>
                                                                                          <w:marTop w:val="0"/>
                                                                                          <w:marBottom w:val="0"/>
                                                                                          <w:divBdr>
                                                                                            <w:top w:val="none" w:sz="0" w:space="0" w:color="auto"/>
                                                                                            <w:left w:val="none" w:sz="0" w:space="0" w:color="auto"/>
                                                                                            <w:bottom w:val="none" w:sz="0" w:space="0" w:color="auto"/>
                                                                                            <w:right w:val="none" w:sz="0" w:space="0" w:color="auto"/>
                                                                                          </w:divBdr>
                                                                                          <w:divsChild>
                                                                                            <w:div w:id="1933707342">
                                                                                              <w:marLeft w:val="0"/>
                                                                                              <w:marRight w:val="0"/>
                                                                                              <w:marTop w:val="0"/>
                                                                                              <w:marBottom w:val="0"/>
                                                                                              <w:divBdr>
                                                                                                <w:top w:val="none" w:sz="0" w:space="0" w:color="auto"/>
                                                                                                <w:left w:val="none" w:sz="0" w:space="0" w:color="auto"/>
                                                                                                <w:bottom w:val="none" w:sz="0" w:space="0" w:color="auto"/>
                                                                                                <w:right w:val="none" w:sz="0" w:space="0" w:color="auto"/>
                                                                                              </w:divBdr>
                                                                                              <w:divsChild>
                                                                                                <w:div w:id="1514346204">
                                                                                                  <w:marLeft w:val="0"/>
                                                                                                  <w:marRight w:val="0"/>
                                                                                                  <w:marTop w:val="0"/>
                                                                                                  <w:marBottom w:val="0"/>
                                                                                                  <w:divBdr>
                                                                                                    <w:top w:val="none" w:sz="0" w:space="0" w:color="auto"/>
                                                                                                    <w:left w:val="none" w:sz="0" w:space="0" w:color="auto"/>
                                                                                                    <w:bottom w:val="none" w:sz="0" w:space="0" w:color="auto"/>
                                                                                                    <w:right w:val="none" w:sz="0" w:space="0" w:color="auto"/>
                                                                                                  </w:divBdr>
                                                                                                  <w:divsChild>
                                                                                                    <w:div w:id="867376706">
                                                                                                      <w:marLeft w:val="0"/>
                                                                                                      <w:marRight w:val="0"/>
                                                                                                      <w:marTop w:val="0"/>
                                                                                                      <w:marBottom w:val="0"/>
                                                                                                      <w:divBdr>
                                                                                                        <w:top w:val="none" w:sz="0" w:space="0" w:color="auto"/>
                                                                                                        <w:left w:val="none" w:sz="0" w:space="0" w:color="auto"/>
                                                                                                        <w:bottom w:val="none" w:sz="0" w:space="0" w:color="auto"/>
                                                                                                        <w:right w:val="none" w:sz="0" w:space="0" w:color="auto"/>
                                                                                                      </w:divBdr>
                                                                                                      <w:divsChild>
                                                                                                        <w:div w:id="253982226">
                                                                                                          <w:marLeft w:val="0"/>
                                                                                                          <w:marRight w:val="0"/>
                                                                                                          <w:marTop w:val="0"/>
                                                                                                          <w:marBottom w:val="0"/>
                                                                                                          <w:divBdr>
                                                                                                            <w:top w:val="none" w:sz="0" w:space="0" w:color="auto"/>
                                                                                                            <w:left w:val="none" w:sz="0" w:space="0" w:color="auto"/>
                                                                                                            <w:bottom w:val="none" w:sz="0" w:space="0" w:color="auto"/>
                                                                                                            <w:right w:val="none" w:sz="0" w:space="0" w:color="auto"/>
                                                                                                          </w:divBdr>
                                                                                                          <w:divsChild>
                                                                                                            <w:div w:id="971400696">
                                                                                                              <w:marLeft w:val="0"/>
                                                                                                              <w:marRight w:val="0"/>
                                                                                                              <w:marTop w:val="0"/>
                                                                                                              <w:marBottom w:val="0"/>
                                                                                                              <w:divBdr>
                                                                                                                <w:top w:val="none" w:sz="0" w:space="0" w:color="auto"/>
                                                                                                                <w:left w:val="none" w:sz="0" w:space="0" w:color="auto"/>
                                                                                                                <w:bottom w:val="none" w:sz="0" w:space="0" w:color="auto"/>
                                                                                                                <w:right w:val="none" w:sz="0" w:space="0" w:color="auto"/>
                                                                                                              </w:divBdr>
                                                                                                              <w:divsChild>
                                                                                                                <w:div w:id="1626885297">
                                                                                                                  <w:marLeft w:val="0"/>
                                                                                                                  <w:marRight w:val="0"/>
                                                                                                                  <w:marTop w:val="0"/>
                                                                                                                  <w:marBottom w:val="0"/>
                                                                                                                  <w:divBdr>
                                                                                                                    <w:top w:val="none" w:sz="0" w:space="0" w:color="auto"/>
                                                                                                                    <w:left w:val="none" w:sz="0" w:space="0" w:color="auto"/>
                                                                                                                    <w:bottom w:val="none" w:sz="0" w:space="0" w:color="auto"/>
                                                                                                                    <w:right w:val="none" w:sz="0" w:space="0" w:color="auto"/>
                                                                                                                  </w:divBdr>
                                                                                                                  <w:divsChild>
                                                                                                                    <w:div w:id="140707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6328023">
      <w:bodyDiv w:val="1"/>
      <w:marLeft w:val="0"/>
      <w:marRight w:val="0"/>
      <w:marTop w:val="0"/>
      <w:marBottom w:val="0"/>
      <w:divBdr>
        <w:top w:val="none" w:sz="0" w:space="0" w:color="auto"/>
        <w:left w:val="none" w:sz="0" w:space="0" w:color="auto"/>
        <w:bottom w:val="none" w:sz="0" w:space="0" w:color="auto"/>
        <w:right w:val="none" w:sz="0" w:space="0" w:color="auto"/>
      </w:divBdr>
    </w:div>
    <w:div w:id="1646935265">
      <w:bodyDiv w:val="1"/>
      <w:marLeft w:val="0"/>
      <w:marRight w:val="0"/>
      <w:marTop w:val="0"/>
      <w:marBottom w:val="0"/>
      <w:divBdr>
        <w:top w:val="none" w:sz="0" w:space="0" w:color="auto"/>
        <w:left w:val="none" w:sz="0" w:space="0" w:color="auto"/>
        <w:bottom w:val="none" w:sz="0" w:space="0" w:color="auto"/>
        <w:right w:val="none" w:sz="0" w:space="0" w:color="auto"/>
      </w:divBdr>
    </w:div>
    <w:div w:id="1649817377">
      <w:bodyDiv w:val="1"/>
      <w:marLeft w:val="0"/>
      <w:marRight w:val="0"/>
      <w:marTop w:val="0"/>
      <w:marBottom w:val="0"/>
      <w:divBdr>
        <w:top w:val="none" w:sz="0" w:space="0" w:color="auto"/>
        <w:left w:val="none" w:sz="0" w:space="0" w:color="auto"/>
        <w:bottom w:val="none" w:sz="0" w:space="0" w:color="auto"/>
        <w:right w:val="none" w:sz="0" w:space="0" w:color="auto"/>
      </w:divBdr>
    </w:div>
    <w:div w:id="1670257033">
      <w:bodyDiv w:val="1"/>
      <w:marLeft w:val="0"/>
      <w:marRight w:val="0"/>
      <w:marTop w:val="0"/>
      <w:marBottom w:val="0"/>
      <w:divBdr>
        <w:top w:val="none" w:sz="0" w:space="0" w:color="auto"/>
        <w:left w:val="none" w:sz="0" w:space="0" w:color="auto"/>
        <w:bottom w:val="none" w:sz="0" w:space="0" w:color="auto"/>
        <w:right w:val="none" w:sz="0" w:space="0" w:color="auto"/>
      </w:divBdr>
      <w:divsChild>
        <w:div w:id="398016445">
          <w:marLeft w:val="0"/>
          <w:marRight w:val="0"/>
          <w:marTop w:val="0"/>
          <w:marBottom w:val="0"/>
          <w:divBdr>
            <w:top w:val="none" w:sz="0" w:space="0" w:color="auto"/>
            <w:left w:val="none" w:sz="0" w:space="0" w:color="auto"/>
            <w:bottom w:val="none" w:sz="0" w:space="0" w:color="auto"/>
            <w:right w:val="none" w:sz="0" w:space="0" w:color="auto"/>
          </w:divBdr>
          <w:divsChild>
            <w:div w:id="1416323216">
              <w:marLeft w:val="0"/>
              <w:marRight w:val="0"/>
              <w:marTop w:val="0"/>
              <w:marBottom w:val="0"/>
              <w:divBdr>
                <w:top w:val="none" w:sz="0" w:space="0" w:color="auto"/>
                <w:left w:val="none" w:sz="0" w:space="0" w:color="auto"/>
                <w:bottom w:val="none" w:sz="0" w:space="0" w:color="auto"/>
                <w:right w:val="none" w:sz="0" w:space="0" w:color="auto"/>
              </w:divBdr>
              <w:divsChild>
                <w:div w:id="1398480146">
                  <w:marLeft w:val="0"/>
                  <w:marRight w:val="0"/>
                  <w:marTop w:val="0"/>
                  <w:marBottom w:val="0"/>
                  <w:divBdr>
                    <w:top w:val="none" w:sz="0" w:space="0" w:color="auto"/>
                    <w:left w:val="none" w:sz="0" w:space="0" w:color="auto"/>
                    <w:bottom w:val="none" w:sz="0" w:space="0" w:color="auto"/>
                    <w:right w:val="none" w:sz="0" w:space="0" w:color="auto"/>
                  </w:divBdr>
                  <w:divsChild>
                    <w:div w:id="1730499729">
                      <w:marLeft w:val="0"/>
                      <w:marRight w:val="0"/>
                      <w:marTop w:val="0"/>
                      <w:marBottom w:val="0"/>
                      <w:divBdr>
                        <w:top w:val="none" w:sz="0" w:space="0" w:color="auto"/>
                        <w:left w:val="none" w:sz="0" w:space="0" w:color="auto"/>
                        <w:bottom w:val="none" w:sz="0" w:space="0" w:color="auto"/>
                        <w:right w:val="none" w:sz="0" w:space="0" w:color="auto"/>
                      </w:divBdr>
                      <w:divsChild>
                        <w:div w:id="2042584543">
                          <w:marLeft w:val="0"/>
                          <w:marRight w:val="0"/>
                          <w:marTop w:val="0"/>
                          <w:marBottom w:val="0"/>
                          <w:divBdr>
                            <w:top w:val="none" w:sz="0" w:space="0" w:color="auto"/>
                            <w:left w:val="none" w:sz="0" w:space="0" w:color="auto"/>
                            <w:bottom w:val="none" w:sz="0" w:space="0" w:color="auto"/>
                            <w:right w:val="none" w:sz="0" w:space="0" w:color="auto"/>
                          </w:divBdr>
                          <w:divsChild>
                            <w:div w:id="1909144526">
                              <w:marLeft w:val="0"/>
                              <w:marRight w:val="0"/>
                              <w:marTop w:val="0"/>
                              <w:marBottom w:val="0"/>
                              <w:divBdr>
                                <w:top w:val="none" w:sz="0" w:space="0" w:color="auto"/>
                                <w:left w:val="none" w:sz="0" w:space="0" w:color="auto"/>
                                <w:bottom w:val="none" w:sz="0" w:space="0" w:color="auto"/>
                                <w:right w:val="none" w:sz="0" w:space="0" w:color="auto"/>
                              </w:divBdr>
                              <w:divsChild>
                                <w:div w:id="913659713">
                                  <w:marLeft w:val="0"/>
                                  <w:marRight w:val="0"/>
                                  <w:marTop w:val="0"/>
                                  <w:marBottom w:val="0"/>
                                  <w:divBdr>
                                    <w:top w:val="none" w:sz="0" w:space="0" w:color="auto"/>
                                    <w:left w:val="none" w:sz="0" w:space="0" w:color="auto"/>
                                    <w:bottom w:val="none" w:sz="0" w:space="0" w:color="auto"/>
                                    <w:right w:val="none" w:sz="0" w:space="0" w:color="auto"/>
                                  </w:divBdr>
                                  <w:divsChild>
                                    <w:div w:id="1786921450">
                                      <w:marLeft w:val="0"/>
                                      <w:marRight w:val="0"/>
                                      <w:marTop w:val="0"/>
                                      <w:marBottom w:val="0"/>
                                      <w:divBdr>
                                        <w:top w:val="none" w:sz="0" w:space="0" w:color="auto"/>
                                        <w:left w:val="none" w:sz="0" w:space="0" w:color="auto"/>
                                        <w:bottom w:val="none" w:sz="0" w:space="0" w:color="auto"/>
                                        <w:right w:val="none" w:sz="0" w:space="0" w:color="auto"/>
                                      </w:divBdr>
                                      <w:divsChild>
                                        <w:div w:id="1854106818">
                                          <w:marLeft w:val="0"/>
                                          <w:marRight w:val="0"/>
                                          <w:marTop w:val="0"/>
                                          <w:marBottom w:val="0"/>
                                          <w:divBdr>
                                            <w:top w:val="none" w:sz="0" w:space="0" w:color="auto"/>
                                            <w:left w:val="none" w:sz="0" w:space="0" w:color="auto"/>
                                            <w:bottom w:val="none" w:sz="0" w:space="0" w:color="auto"/>
                                            <w:right w:val="none" w:sz="0" w:space="0" w:color="auto"/>
                                          </w:divBdr>
                                          <w:divsChild>
                                            <w:div w:id="124999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70672603">
      <w:bodyDiv w:val="1"/>
      <w:marLeft w:val="0"/>
      <w:marRight w:val="0"/>
      <w:marTop w:val="0"/>
      <w:marBottom w:val="0"/>
      <w:divBdr>
        <w:top w:val="none" w:sz="0" w:space="0" w:color="auto"/>
        <w:left w:val="none" w:sz="0" w:space="0" w:color="auto"/>
        <w:bottom w:val="none" w:sz="0" w:space="0" w:color="auto"/>
        <w:right w:val="none" w:sz="0" w:space="0" w:color="auto"/>
      </w:divBdr>
    </w:div>
    <w:div w:id="1676764783">
      <w:bodyDiv w:val="1"/>
      <w:marLeft w:val="0"/>
      <w:marRight w:val="0"/>
      <w:marTop w:val="0"/>
      <w:marBottom w:val="0"/>
      <w:divBdr>
        <w:top w:val="none" w:sz="0" w:space="0" w:color="auto"/>
        <w:left w:val="none" w:sz="0" w:space="0" w:color="auto"/>
        <w:bottom w:val="none" w:sz="0" w:space="0" w:color="auto"/>
        <w:right w:val="none" w:sz="0" w:space="0" w:color="auto"/>
      </w:divBdr>
      <w:divsChild>
        <w:div w:id="119230015">
          <w:marLeft w:val="0"/>
          <w:marRight w:val="0"/>
          <w:marTop w:val="0"/>
          <w:marBottom w:val="0"/>
          <w:divBdr>
            <w:top w:val="none" w:sz="0" w:space="0" w:color="auto"/>
            <w:left w:val="none" w:sz="0" w:space="0" w:color="auto"/>
            <w:bottom w:val="none" w:sz="0" w:space="0" w:color="auto"/>
            <w:right w:val="none" w:sz="0" w:space="0" w:color="auto"/>
          </w:divBdr>
          <w:divsChild>
            <w:div w:id="1891959615">
              <w:marLeft w:val="-225"/>
              <w:marRight w:val="-225"/>
              <w:marTop w:val="0"/>
              <w:marBottom w:val="0"/>
              <w:divBdr>
                <w:top w:val="none" w:sz="0" w:space="0" w:color="auto"/>
                <w:left w:val="none" w:sz="0" w:space="0" w:color="auto"/>
                <w:bottom w:val="none" w:sz="0" w:space="0" w:color="auto"/>
                <w:right w:val="none" w:sz="0" w:space="0" w:color="auto"/>
              </w:divBdr>
              <w:divsChild>
                <w:div w:id="762411460">
                  <w:marLeft w:val="0"/>
                  <w:marRight w:val="0"/>
                  <w:marTop w:val="0"/>
                  <w:marBottom w:val="0"/>
                  <w:divBdr>
                    <w:top w:val="none" w:sz="0" w:space="0" w:color="auto"/>
                    <w:left w:val="none" w:sz="0" w:space="0" w:color="auto"/>
                    <w:bottom w:val="none" w:sz="0" w:space="0" w:color="auto"/>
                    <w:right w:val="none" w:sz="0" w:space="0" w:color="auto"/>
                  </w:divBdr>
                  <w:divsChild>
                    <w:div w:id="1251618533">
                      <w:marLeft w:val="0"/>
                      <w:marRight w:val="0"/>
                      <w:marTop w:val="0"/>
                      <w:marBottom w:val="0"/>
                      <w:divBdr>
                        <w:top w:val="none" w:sz="0" w:space="0" w:color="auto"/>
                        <w:left w:val="none" w:sz="0" w:space="0" w:color="auto"/>
                        <w:bottom w:val="none" w:sz="0" w:space="0" w:color="auto"/>
                        <w:right w:val="none" w:sz="0" w:space="0" w:color="auto"/>
                      </w:divBdr>
                      <w:divsChild>
                        <w:div w:id="475413854">
                          <w:marLeft w:val="0"/>
                          <w:marRight w:val="0"/>
                          <w:marTop w:val="0"/>
                          <w:marBottom w:val="0"/>
                          <w:divBdr>
                            <w:top w:val="none" w:sz="0" w:space="0" w:color="auto"/>
                            <w:left w:val="none" w:sz="0" w:space="0" w:color="auto"/>
                            <w:bottom w:val="none" w:sz="0" w:space="0" w:color="auto"/>
                            <w:right w:val="none" w:sz="0" w:space="0" w:color="auto"/>
                          </w:divBdr>
                          <w:divsChild>
                            <w:div w:id="92475544">
                              <w:marLeft w:val="0"/>
                              <w:marRight w:val="0"/>
                              <w:marTop w:val="0"/>
                              <w:marBottom w:val="240"/>
                              <w:divBdr>
                                <w:top w:val="none" w:sz="0" w:space="0" w:color="auto"/>
                                <w:left w:val="none" w:sz="0" w:space="0" w:color="auto"/>
                                <w:bottom w:val="none" w:sz="0" w:space="0" w:color="auto"/>
                                <w:right w:val="none" w:sz="0" w:space="0" w:color="auto"/>
                              </w:divBdr>
                              <w:divsChild>
                                <w:div w:id="1378356418">
                                  <w:marLeft w:val="0"/>
                                  <w:marRight w:val="0"/>
                                  <w:marTop w:val="0"/>
                                  <w:marBottom w:val="0"/>
                                  <w:divBdr>
                                    <w:top w:val="none" w:sz="0" w:space="0" w:color="auto"/>
                                    <w:left w:val="none" w:sz="0" w:space="0" w:color="auto"/>
                                    <w:bottom w:val="none" w:sz="0" w:space="0" w:color="auto"/>
                                    <w:right w:val="none" w:sz="0" w:space="0" w:color="auto"/>
                                  </w:divBdr>
                                  <w:divsChild>
                                    <w:div w:id="975377925">
                                      <w:marLeft w:val="0"/>
                                      <w:marRight w:val="0"/>
                                      <w:marTop w:val="0"/>
                                      <w:marBottom w:val="0"/>
                                      <w:divBdr>
                                        <w:top w:val="none" w:sz="0" w:space="0" w:color="auto"/>
                                        <w:left w:val="none" w:sz="0" w:space="0" w:color="auto"/>
                                        <w:bottom w:val="none" w:sz="0" w:space="0" w:color="auto"/>
                                        <w:right w:val="none" w:sz="0" w:space="0" w:color="auto"/>
                                      </w:divBdr>
                                      <w:divsChild>
                                        <w:div w:id="1723407900">
                                          <w:marLeft w:val="0"/>
                                          <w:marRight w:val="0"/>
                                          <w:marTop w:val="0"/>
                                          <w:marBottom w:val="0"/>
                                          <w:divBdr>
                                            <w:top w:val="none" w:sz="0" w:space="0" w:color="auto"/>
                                            <w:left w:val="none" w:sz="0" w:space="0" w:color="auto"/>
                                            <w:bottom w:val="none" w:sz="0" w:space="0" w:color="auto"/>
                                            <w:right w:val="none" w:sz="0" w:space="0" w:color="auto"/>
                                          </w:divBdr>
                                          <w:divsChild>
                                            <w:div w:id="23873674">
                                              <w:marLeft w:val="0"/>
                                              <w:marRight w:val="0"/>
                                              <w:marTop w:val="0"/>
                                              <w:marBottom w:val="0"/>
                                              <w:divBdr>
                                                <w:top w:val="none" w:sz="0" w:space="0" w:color="auto"/>
                                                <w:left w:val="none" w:sz="0" w:space="0" w:color="auto"/>
                                                <w:bottom w:val="none" w:sz="0" w:space="0" w:color="auto"/>
                                                <w:right w:val="none" w:sz="0" w:space="0" w:color="auto"/>
                                              </w:divBdr>
                                              <w:divsChild>
                                                <w:div w:id="735520017">
                                                  <w:marLeft w:val="0"/>
                                                  <w:marRight w:val="0"/>
                                                  <w:marTop w:val="0"/>
                                                  <w:marBottom w:val="0"/>
                                                  <w:divBdr>
                                                    <w:top w:val="none" w:sz="0" w:space="0" w:color="auto"/>
                                                    <w:left w:val="none" w:sz="0" w:space="0" w:color="auto"/>
                                                    <w:bottom w:val="none" w:sz="0" w:space="0" w:color="auto"/>
                                                    <w:right w:val="none" w:sz="0" w:space="0" w:color="auto"/>
                                                  </w:divBdr>
                                                  <w:divsChild>
                                                    <w:div w:id="2138794680">
                                                      <w:marLeft w:val="0"/>
                                                      <w:marRight w:val="0"/>
                                                      <w:marTop w:val="0"/>
                                                      <w:marBottom w:val="0"/>
                                                      <w:divBdr>
                                                        <w:top w:val="none" w:sz="0" w:space="0" w:color="auto"/>
                                                        <w:left w:val="none" w:sz="0" w:space="0" w:color="auto"/>
                                                        <w:bottom w:val="none" w:sz="0" w:space="0" w:color="auto"/>
                                                        <w:right w:val="none" w:sz="0" w:space="0" w:color="auto"/>
                                                      </w:divBdr>
                                                      <w:divsChild>
                                                        <w:div w:id="15538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13386907">
      <w:bodyDiv w:val="1"/>
      <w:marLeft w:val="0"/>
      <w:marRight w:val="0"/>
      <w:marTop w:val="0"/>
      <w:marBottom w:val="0"/>
      <w:divBdr>
        <w:top w:val="none" w:sz="0" w:space="0" w:color="auto"/>
        <w:left w:val="none" w:sz="0" w:space="0" w:color="auto"/>
        <w:bottom w:val="none" w:sz="0" w:space="0" w:color="auto"/>
        <w:right w:val="none" w:sz="0" w:space="0" w:color="auto"/>
      </w:divBdr>
    </w:div>
    <w:div w:id="1721317064">
      <w:bodyDiv w:val="1"/>
      <w:marLeft w:val="0"/>
      <w:marRight w:val="0"/>
      <w:marTop w:val="0"/>
      <w:marBottom w:val="0"/>
      <w:divBdr>
        <w:top w:val="none" w:sz="0" w:space="0" w:color="auto"/>
        <w:left w:val="none" w:sz="0" w:space="0" w:color="auto"/>
        <w:bottom w:val="none" w:sz="0" w:space="0" w:color="auto"/>
        <w:right w:val="none" w:sz="0" w:space="0" w:color="auto"/>
      </w:divBdr>
    </w:div>
    <w:div w:id="1732458069">
      <w:bodyDiv w:val="1"/>
      <w:marLeft w:val="0"/>
      <w:marRight w:val="0"/>
      <w:marTop w:val="0"/>
      <w:marBottom w:val="0"/>
      <w:divBdr>
        <w:top w:val="none" w:sz="0" w:space="0" w:color="auto"/>
        <w:left w:val="none" w:sz="0" w:space="0" w:color="auto"/>
        <w:bottom w:val="none" w:sz="0" w:space="0" w:color="auto"/>
        <w:right w:val="none" w:sz="0" w:space="0" w:color="auto"/>
      </w:divBdr>
    </w:div>
    <w:div w:id="1744519880">
      <w:bodyDiv w:val="1"/>
      <w:marLeft w:val="0"/>
      <w:marRight w:val="0"/>
      <w:marTop w:val="0"/>
      <w:marBottom w:val="0"/>
      <w:divBdr>
        <w:top w:val="none" w:sz="0" w:space="0" w:color="auto"/>
        <w:left w:val="none" w:sz="0" w:space="0" w:color="auto"/>
        <w:bottom w:val="none" w:sz="0" w:space="0" w:color="auto"/>
        <w:right w:val="none" w:sz="0" w:space="0" w:color="auto"/>
      </w:divBdr>
    </w:div>
    <w:div w:id="1800145942">
      <w:bodyDiv w:val="1"/>
      <w:marLeft w:val="0"/>
      <w:marRight w:val="0"/>
      <w:marTop w:val="0"/>
      <w:marBottom w:val="0"/>
      <w:divBdr>
        <w:top w:val="none" w:sz="0" w:space="0" w:color="auto"/>
        <w:left w:val="none" w:sz="0" w:space="0" w:color="auto"/>
        <w:bottom w:val="none" w:sz="0" w:space="0" w:color="auto"/>
        <w:right w:val="none" w:sz="0" w:space="0" w:color="auto"/>
      </w:divBdr>
    </w:div>
    <w:div w:id="1829057638">
      <w:bodyDiv w:val="1"/>
      <w:marLeft w:val="0"/>
      <w:marRight w:val="0"/>
      <w:marTop w:val="0"/>
      <w:marBottom w:val="0"/>
      <w:divBdr>
        <w:top w:val="none" w:sz="0" w:space="0" w:color="auto"/>
        <w:left w:val="none" w:sz="0" w:space="0" w:color="auto"/>
        <w:bottom w:val="none" w:sz="0" w:space="0" w:color="auto"/>
        <w:right w:val="none" w:sz="0" w:space="0" w:color="auto"/>
      </w:divBdr>
    </w:div>
    <w:div w:id="1829706808">
      <w:bodyDiv w:val="1"/>
      <w:marLeft w:val="0"/>
      <w:marRight w:val="0"/>
      <w:marTop w:val="0"/>
      <w:marBottom w:val="0"/>
      <w:divBdr>
        <w:top w:val="none" w:sz="0" w:space="0" w:color="auto"/>
        <w:left w:val="none" w:sz="0" w:space="0" w:color="auto"/>
        <w:bottom w:val="none" w:sz="0" w:space="0" w:color="auto"/>
        <w:right w:val="none" w:sz="0" w:space="0" w:color="auto"/>
      </w:divBdr>
      <w:divsChild>
        <w:div w:id="763037382">
          <w:marLeft w:val="0"/>
          <w:marRight w:val="0"/>
          <w:marTop w:val="0"/>
          <w:marBottom w:val="0"/>
          <w:divBdr>
            <w:top w:val="none" w:sz="0" w:space="0" w:color="auto"/>
            <w:left w:val="none" w:sz="0" w:space="0" w:color="auto"/>
            <w:bottom w:val="none" w:sz="0" w:space="0" w:color="auto"/>
            <w:right w:val="none" w:sz="0" w:space="0" w:color="auto"/>
          </w:divBdr>
          <w:divsChild>
            <w:div w:id="1804539793">
              <w:marLeft w:val="-225"/>
              <w:marRight w:val="-225"/>
              <w:marTop w:val="0"/>
              <w:marBottom w:val="0"/>
              <w:divBdr>
                <w:top w:val="none" w:sz="0" w:space="0" w:color="auto"/>
                <w:left w:val="none" w:sz="0" w:space="0" w:color="auto"/>
                <w:bottom w:val="none" w:sz="0" w:space="0" w:color="auto"/>
                <w:right w:val="none" w:sz="0" w:space="0" w:color="auto"/>
              </w:divBdr>
              <w:divsChild>
                <w:div w:id="651056317">
                  <w:marLeft w:val="0"/>
                  <w:marRight w:val="0"/>
                  <w:marTop w:val="0"/>
                  <w:marBottom w:val="0"/>
                  <w:divBdr>
                    <w:top w:val="none" w:sz="0" w:space="0" w:color="auto"/>
                    <w:left w:val="none" w:sz="0" w:space="0" w:color="auto"/>
                    <w:bottom w:val="none" w:sz="0" w:space="0" w:color="auto"/>
                    <w:right w:val="none" w:sz="0" w:space="0" w:color="auto"/>
                  </w:divBdr>
                  <w:divsChild>
                    <w:div w:id="782504879">
                      <w:marLeft w:val="0"/>
                      <w:marRight w:val="0"/>
                      <w:marTop w:val="0"/>
                      <w:marBottom w:val="0"/>
                      <w:divBdr>
                        <w:top w:val="none" w:sz="0" w:space="0" w:color="auto"/>
                        <w:left w:val="none" w:sz="0" w:space="0" w:color="auto"/>
                        <w:bottom w:val="none" w:sz="0" w:space="0" w:color="auto"/>
                        <w:right w:val="none" w:sz="0" w:space="0" w:color="auto"/>
                      </w:divBdr>
                      <w:divsChild>
                        <w:div w:id="1882742031">
                          <w:marLeft w:val="0"/>
                          <w:marRight w:val="0"/>
                          <w:marTop w:val="0"/>
                          <w:marBottom w:val="0"/>
                          <w:divBdr>
                            <w:top w:val="none" w:sz="0" w:space="0" w:color="auto"/>
                            <w:left w:val="none" w:sz="0" w:space="0" w:color="auto"/>
                            <w:bottom w:val="none" w:sz="0" w:space="0" w:color="auto"/>
                            <w:right w:val="none" w:sz="0" w:space="0" w:color="auto"/>
                          </w:divBdr>
                          <w:divsChild>
                            <w:div w:id="170142182">
                              <w:marLeft w:val="0"/>
                              <w:marRight w:val="0"/>
                              <w:marTop w:val="0"/>
                              <w:marBottom w:val="240"/>
                              <w:divBdr>
                                <w:top w:val="none" w:sz="0" w:space="0" w:color="auto"/>
                                <w:left w:val="none" w:sz="0" w:space="0" w:color="auto"/>
                                <w:bottom w:val="none" w:sz="0" w:space="0" w:color="auto"/>
                                <w:right w:val="none" w:sz="0" w:space="0" w:color="auto"/>
                              </w:divBdr>
                              <w:divsChild>
                                <w:div w:id="1227107465">
                                  <w:marLeft w:val="0"/>
                                  <w:marRight w:val="0"/>
                                  <w:marTop w:val="0"/>
                                  <w:marBottom w:val="0"/>
                                  <w:divBdr>
                                    <w:top w:val="none" w:sz="0" w:space="0" w:color="auto"/>
                                    <w:left w:val="none" w:sz="0" w:space="0" w:color="auto"/>
                                    <w:bottom w:val="none" w:sz="0" w:space="0" w:color="auto"/>
                                    <w:right w:val="none" w:sz="0" w:space="0" w:color="auto"/>
                                  </w:divBdr>
                                  <w:divsChild>
                                    <w:div w:id="25251584">
                                      <w:marLeft w:val="0"/>
                                      <w:marRight w:val="0"/>
                                      <w:marTop w:val="0"/>
                                      <w:marBottom w:val="0"/>
                                      <w:divBdr>
                                        <w:top w:val="none" w:sz="0" w:space="0" w:color="auto"/>
                                        <w:left w:val="none" w:sz="0" w:space="0" w:color="auto"/>
                                        <w:bottom w:val="none" w:sz="0" w:space="0" w:color="auto"/>
                                        <w:right w:val="none" w:sz="0" w:space="0" w:color="auto"/>
                                      </w:divBdr>
                                      <w:divsChild>
                                        <w:div w:id="1562980772">
                                          <w:marLeft w:val="0"/>
                                          <w:marRight w:val="0"/>
                                          <w:marTop w:val="0"/>
                                          <w:marBottom w:val="0"/>
                                          <w:divBdr>
                                            <w:top w:val="none" w:sz="0" w:space="0" w:color="auto"/>
                                            <w:left w:val="none" w:sz="0" w:space="0" w:color="auto"/>
                                            <w:bottom w:val="none" w:sz="0" w:space="0" w:color="auto"/>
                                            <w:right w:val="none" w:sz="0" w:space="0" w:color="auto"/>
                                          </w:divBdr>
                                          <w:divsChild>
                                            <w:div w:id="967055097">
                                              <w:marLeft w:val="0"/>
                                              <w:marRight w:val="0"/>
                                              <w:marTop w:val="0"/>
                                              <w:marBottom w:val="0"/>
                                              <w:divBdr>
                                                <w:top w:val="none" w:sz="0" w:space="0" w:color="auto"/>
                                                <w:left w:val="none" w:sz="0" w:space="0" w:color="auto"/>
                                                <w:bottom w:val="none" w:sz="0" w:space="0" w:color="auto"/>
                                                <w:right w:val="none" w:sz="0" w:space="0" w:color="auto"/>
                                              </w:divBdr>
                                              <w:divsChild>
                                                <w:div w:id="197258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2519637">
      <w:bodyDiv w:val="1"/>
      <w:marLeft w:val="0"/>
      <w:marRight w:val="0"/>
      <w:marTop w:val="0"/>
      <w:marBottom w:val="0"/>
      <w:divBdr>
        <w:top w:val="none" w:sz="0" w:space="0" w:color="auto"/>
        <w:left w:val="none" w:sz="0" w:space="0" w:color="auto"/>
        <w:bottom w:val="none" w:sz="0" w:space="0" w:color="auto"/>
        <w:right w:val="none" w:sz="0" w:space="0" w:color="auto"/>
      </w:divBdr>
      <w:divsChild>
        <w:div w:id="754936402">
          <w:marLeft w:val="0"/>
          <w:marRight w:val="0"/>
          <w:marTop w:val="0"/>
          <w:marBottom w:val="0"/>
          <w:divBdr>
            <w:top w:val="none" w:sz="0" w:space="0" w:color="auto"/>
            <w:left w:val="none" w:sz="0" w:space="0" w:color="auto"/>
            <w:bottom w:val="none" w:sz="0" w:space="0" w:color="auto"/>
            <w:right w:val="none" w:sz="0" w:space="0" w:color="auto"/>
          </w:divBdr>
          <w:divsChild>
            <w:div w:id="2038044328">
              <w:marLeft w:val="-225"/>
              <w:marRight w:val="-225"/>
              <w:marTop w:val="0"/>
              <w:marBottom w:val="0"/>
              <w:divBdr>
                <w:top w:val="none" w:sz="0" w:space="0" w:color="auto"/>
                <w:left w:val="none" w:sz="0" w:space="0" w:color="auto"/>
                <w:bottom w:val="none" w:sz="0" w:space="0" w:color="auto"/>
                <w:right w:val="none" w:sz="0" w:space="0" w:color="auto"/>
              </w:divBdr>
              <w:divsChild>
                <w:div w:id="125514231">
                  <w:marLeft w:val="0"/>
                  <w:marRight w:val="0"/>
                  <w:marTop w:val="0"/>
                  <w:marBottom w:val="0"/>
                  <w:divBdr>
                    <w:top w:val="none" w:sz="0" w:space="0" w:color="auto"/>
                    <w:left w:val="none" w:sz="0" w:space="0" w:color="auto"/>
                    <w:bottom w:val="none" w:sz="0" w:space="0" w:color="auto"/>
                    <w:right w:val="none" w:sz="0" w:space="0" w:color="auto"/>
                  </w:divBdr>
                  <w:divsChild>
                    <w:div w:id="673189078">
                      <w:marLeft w:val="0"/>
                      <w:marRight w:val="0"/>
                      <w:marTop w:val="0"/>
                      <w:marBottom w:val="0"/>
                      <w:divBdr>
                        <w:top w:val="none" w:sz="0" w:space="0" w:color="auto"/>
                        <w:left w:val="none" w:sz="0" w:space="0" w:color="auto"/>
                        <w:bottom w:val="none" w:sz="0" w:space="0" w:color="auto"/>
                        <w:right w:val="none" w:sz="0" w:space="0" w:color="auto"/>
                      </w:divBdr>
                      <w:divsChild>
                        <w:div w:id="1188525912">
                          <w:marLeft w:val="0"/>
                          <w:marRight w:val="0"/>
                          <w:marTop w:val="0"/>
                          <w:marBottom w:val="0"/>
                          <w:divBdr>
                            <w:top w:val="none" w:sz="0" w:space="0" w:color="auto"/>
                            <w:left w:val="none" w:sz="0" w:space="0" w:color="auto"/>
                            <w:bottom w:val="none" w:sz="0" w:space="0" w:color="auto"/>
                            <w:right w:val="none" w:sz="0" w:space="0" w:color="auto"/>
                          </w:divBdr>
                          <w:divsChild>
                            <w:div w:id="1128596165">
                              <w:marLeft w:val="0"/>
                              <w:marRight w:val="0"/>
                              <w:marTop w:val="0"/>
                              <w:marBottom w:val="240"/>
                              <w:divBdr>
                                <w:top w:val="none" w:sz="0" w:space="0" w:color="auto"/>
                                <w:left w:val="none" w:sz="0" w:space="0" w:color="auto"/>
                                <w:bottom w:val="none" w:sz="0" w:space="0" w:color="auto"/>
                                <w:right w:val="none" w:sz="0" w:space="0" w:color="auto"/>
                              </w:divBdr>
                              <w:divsChild>
                                <w:div w:id="123889820">
                                  <w:marLeft w:val="0"/>
                                  <w:marRight w:val="0"/>
                                  <w:marTop w:val="0"/>
                                  <w:marBottom w:val="0"/>
                                  <w:divBdr>
                                    <w:top w:val="none" w:sz="0" w:space="0" w:color="auto"/>
                                    <w:left w:val="none" w:sz="0" w:space="0" w:color="auto"/>
                                    <w:bottom w:val="none" w:sz="0" w:space="0" w:color="auto"/>
                                    <w:right w:val="none" w:sz="0" w:space="0" w:color="auto"/>
                                  </w:divBdr>
                                  <w:divsChild>
                                    <w:div w:id="1335962771">
                                      <w:marLeft w:val="0"/>
                                      <w:marRight w:val="0"/>
                                      <w:marTop w:val="0"/>
                                      <w:marBottom w:val="0"/>
                                      <w:divBdr>
                                        <w:top w:val="none" w:sz="0" w:space="0" w:color="auto"/>
                                        <w:left w:val="none" w:sz="0" w:space="0" w:color="auto"/>
                                        <w:bottom w:val="none" w:sz="0" w:space="0" w:color="auto"/>
                                        <w:right w:val="none" w:sz="0" w:space="0" w:color="auto"/>
                                      </w:divBdr>
                                      <w:divsChild>
                                        <w:div w:id="148325543">
                                          <w:marLeft w:val="0"/>
                                          <w:marRight w:val="0"/>
                                          <w:marTop w:val="0"/>
                                          <w:marBottom w:val="0"/>
                                          <w:divBdr>
                                            <w:top w:val="none" w:sz="0" w:space="0" w:color="auto"/>
                                            <w:left w:val="none" w:sz="0" w:space="0" w:color="auto"/>
                                            <w:bottom w:val="none" w:sz="0" w:space="0" w:color="auto"/>
                                            <w:right w:val="none" w:sz="0" w:space="0" w:color="auto"/>
                                          </w:divBdr>
                                          <w:divsChild>
                                            <w:div w:id="1806393478">
                                              <w:marLeft w:val="0"/>
                                              <w:marRight w:val="0"/>
                                              <w:marTop w:val="0"/>
                                              <w:marBottom w:val="0"/>
                                              <w:divBdr>
                                                <w:top w:val="none" w:sz="0" w:space="0" w:color="auto"/>
                                                <w:left w:val="none" w:sz="0" w:space="0" w:color="auto"/>
                                                <w:bottom w:val="none" w:sz="0" w:space="0" w:color="auto"/>
                                                <w:right w:val="none" w:sz="0" w:space="0" w:color="auto"/>
                                              </w:divBdr>
                                              <w:divsChild>
                                                <w:div w:id="148917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9343752">
      <w:bodyDiv w:val="1"/>
      <w:marLeft w:val="0"/>
      <w:marRight w:val="0"/>
      <w:marTop w:val="0"/>
      <w:marBottom w:val="0"/>
      <w:divBdr>
        <w:top w:val="none" w:sz="0" w:space="0" w:color="auto"/>
        <w:left w:val="none" w:sz="0" w:space="0" w:color="auto"/>
        <w:bottom w:val="none" w:sz="0" w:space="0" w:color="auto"/>
        <w:right w:val="none" w:sz="0" w:space="0" w:color="auto"/>
      </w:divBdr>
    </w:div>
    <w:div w:id="1899514962">
      <w:bodyDiv w:val="1"/>
      <w:marLeft w:val="0"/>
      <w:marRight w:val="0"/>
      <w:marTop w:val="0"/>
      <w:marBottom w:val="0"/>
      <w:divBdr>
        <w:top w:val="none" w:sz="0" w:space="0" w:color="auto"/>
        <w:left w:val="none" w:sz="0" w:space="0" w:color="auto"/>
        <w:bottom w:val="none" w:sz="0" w:space="0" w:color="auto"/>
        <w:right w:val="none" w:sz="0" w:space="0" w:color="auto"/>
      </w:divBdr>
      <w:divsChild>
        <w:div w:id="2145808838">
          <w:marLeft w:val="0"/>
          <w:marRight w:val="0"/>
          <w:marTop w:val="0"/>
          <w:marBottom w:val="0"/>
          <w:divBdr>
            <w:top w:val="none" w:sz="0" w:space="0" w:color="auto"/>
            <w:left w:val="none" w:sz="0" w:space="0" w:color="auto"/>
            <w:bottom w:val="none" w:sz="0" w:space="0" w:color="auto"/>
            <w:right w:val="none" w:sz="0" w:space="0" w:color="auto"/>
          </w:divBdr>
          <w:divsChild>
            <w:div w:id="1962223162">
              <w:marLeft w:val="0"/>
              <w:marRight w:val="0"/>
              <w:marTop w:val="0"/>
              <w:marBottom w:val="0"/>
              <w:divBdr>
                <w:top w:val="none" w:sz="0" w:space="0" w:color="auto"/>
                <w:left w:val="none" w:sz="0" w:space="0" w:color="auto"/>
                <w:bottom w:val="none" w:sz="0" w:space="0" w:color="auto"/>
                <w:right w:val="none" w:sz="0" w:space="0" w:color="auto"/>
              </w:divBdr>
              <w:divsChild>
                <w:div w:id="524832890">
                  <w:marLeft w:val="0"/>
                  <w:marRight w:val="0"/>
                  <w:marTop w:val="0"/>
                  <w:marBottom w:val="0"/>
                  <w:divBdr>
                    <w:top w:val="none" w:sz="0" w:space="0" w:color="auto"/>
                    <w:left w:val="none" w:sz="0" w:space="0" w:color="auto"/>
                    <w:bottom w:val="none" w:sz="0" w:space="0" w:color="auto"/>
                    <w:right w:val="none" w:sz="0" w:space="0" w:color="auto"/>
                  </w:divBdr>
                  <w:divsChild>
                    <w:div w:id="475531602">
                      <w:marLeft w:val="0"/>
                      <w:marRight w:val="0"/>
                      <w:marTop w:val="0"/>
                      <w:marBottom w:val="0"/>
                      <w:divBdr>
                        <w:top w:val="none" w:sz="0" w:space="0" w:color="auto"/>
                        <w:left w:val="none" w:sz="0" w:space="0" w:color="auto"/>
                        <w:bottom w:val="none" w:sz="0" w:space="0" w:color="auto"/>
                        <w:right w:val="none" w:sz="0" w:space="0" w:color="auto"/>
                      </w:divBdr>
                      <w:divsChild>
                        <w:div w:id="1587615089">
                          <w:marLeft w:val="0"/>
                          <w:marRight w:val="0"/>
                          <w:marTop w:val="0"/>
                          <w:marBottom w:val="0"/>
                          <w:divBdr>
                            <w:top w:val="none" w:sz="0" w:space="0" w:color="auto"/>
                            <w:left w:val="none" w:sz="0" w:space="0" w:color="auto"/>
                            <w:bottom w:val="none" w:sz="0" w:space="0" w:color="auto"/>
                            <w:right w:val="none" w:sz="0" w:space="0" w:color="auto"/>
                          </w:divBdr>
                          <w:divsChild>
                            <w:div w:id="1342930191">
                              <w:marLeft w:val="0"/>
                              <w:marRight w:val="0"/>
                              <w:marTop w:val="0"/>
                              <w:marBottom w:val="0"/>
                              <w:divBdr>
                                <w:top w:val="none" w:sz="0" w:space="0" w:color="auto"/>
                                <w:left w:val="none" w:sz="0" w:space="0" w:color="auto"/>
                                <w:bottom w:val="none" w:sz="0" w:space="0" w:color="auto"/>
                                <w:right w:val="none" w:sz="0" w:space="0" w:color="auto"/>
                              </w:divBdr>
                              <w:divsChild>
                                <w:div w:id="345982629">
                                  <w:marLeft w:val="0"/>
                                  <w:marRight w:val="0"/>
                                  <w:marTop w:val="0"/>
                                  <w:marBottom w:val="0"/>
                                  <w:divBdr>
                                    <w:top w:val="none" w:sz="0" w:space="0" w:color="auto"/>
                                    <w:left w:val="none" w:sz="0" w:space="0" w:color="auto"/>
                                    <w:bottom w:val="none" w:sz="0" w:space="0" w:color="auto"/>
                                    <w:right w:val="none" w:sz="0" w:space="0" w:color="auto"/>
                                  </w:divBdr>
                                  <w:divsChild>
                                    <w:div w:id="135420181">
                                      <w:marLeft w:val="0"/>
                                      <w:marRight w:val="0"/>
                                      <w:marTop w:val="0"/>
                                      <w:marBottom w:val="0"/>
                                      <w:divBdr>
                                        <w:top w:val="none" w:sz="0" w:space="0" w:color="auto"/>
                                        <w:left w:val="none" w:sz="0" w:space="0" w:color="auto"/>
                                        <w:bottom w:val="none" w:sz="0" w:space="0" w:color="auto"/>
                                        <w:right w:val="none" w:sz="0" w:space="0" w:color="auto"/>
                                      </w:divBdr>
                                      <w:divsChild>
                                        <w:div w:id="1528985075">
                                          <w:marLeft w:val="0"/>
                                          <w:marRight w:val="0"/>
                                          <w:marTop w:val="0"/>
                                          <w:marBottom w:val="0"/>
                                          <w:divBdr>
                                            <w:top w:val="none" w:sz="0" w:space="0" w:color="auto"/>
                                            <w:left w:val="none" w:sz="0" w:space="0" w:color="auto"/>
                                            <w:bottom w:val="none" w:sz="0" w:space="0" w:color="auto"/>
                                            <w:right w:val="none" w:sz="0" w:space="0" w:color="auto"/>
                                          </w:divBdr>
                                          <w:divsChild>
                                            <w:div w:id="1852839423">
                                              <w:marLeft w:val="0"/>
                                              <w:marRight w:val="0"/>
                                              <w:marTop w:val="0"/>
                                              <w:marBottom w:val="0"/>
                                              <w:divBdr>
                                                <w:top w:val="none" w:sz="0" w:space="0" w:color="auto"/>
                                                <w:left w:val="none" w:sz="0" w:space="0" w:color="auto"/>
                                                <w:bottom w:val="none" w:sz="0" w:space="0" w:color="auto"/>
                                                <w:right w:val="none" w:sz="0" w:space="0" w:color="auto"/>
                                              </w:divBdr>
                                              <w:divsChild>
                                                <w:div w:id="161161791">
                                                  <w:marLeft w:val="0"/>
                                                  <w:marRight w:val="0"/>
                                                  <w:marTop w:val="0"/>
                                                  <w:marBottom w:val="0"/>
                                                  <w:divBdr>
                                                    <w:top w:val="none" w:sz="0" w:space="0" w:color="auto"/>
                                                    <w:left w:val="none" w:sz="0" w:space="0" w:color="auto"/>
                                                    <w:bottom w:val="none" w:sz="0" w:space="0" w:color="auto"/>
                                                    <w:right w:val="none" w:sz="0" w:space="0" w:color="auto"/>
                                                  </w:divBdr>
                                                  <w:divsChild>
                                                    <w:div w:id="1841971138">
                                                      <w:marLeft w:val="0"/>
                                                      <w:marRight w:val="0"/>
                                                      <w:marTop w:val="0"/>
                                                      <w:marBottom w:val="0"/>
                                                      <w:divBdr>
                                                        <w:top w:val="none" w:sz="0" w:space="0" w:color="auto"/>
                                                        <w:left w:val="none" w:sz="0" w:space="0" w:color="auto"/>
                                                        <w:bottom w:val="none" w:sz="0" w:space="0" w:color="auto"/>
                                                        <w:right w:val="none" w:sz="0" w:space="0" w:color="auto"/>
                                                      </w:divBdr>
                                                      <w:divsChild>
                                                        <w:div w:id="802969886">
                                                          <w:marLeft w:val="0"/>
                                                          <w:marRight w:val="0"/>
                                                          <w:marTop w:val="0"/>
                                                          <w:marBottom w:val="0"/>
                                                          <w:divBdr>
                                                            <w:top w:val="none" w:sz="0" w:space="0" w:color="auto"/>
                                                            <w:left w:val="none" w:sz="0" w:space="0" w:color="auto"/>
                                                            <w:bottom w:val="none" w:sz="0" w:space="0" w:color="auto"/>
                                                            <w:right w:val="none" w:sz="0" w:space="0" w:color="auto"/>
                                                          </w:divBdr>
                                                          <w:divsChild>
                                                            <w:div w:id="1010328934">
                                                              <w:marLeft w:val="0"/>
                                                              <w:marRight w:val="0"/>
                                                              <w:marTop w:val="0"/>
                                                              <w:marBottom w:val="0"/>
                                                              <w:divBdr>
                                                                <w:top w:val="none" w:sz="0" w:space="0" w:color="auto"/>
                                                                <w:left w:val="none" w:sz="0" w:space="0" w:color="auto"/>
                                                                <w:bottom w:val="none" w:sz="0" w:space="0" w:color="auto"/>
                                                                <w:right w:val="none" w:sz="0" w:space="0" w:color="auto"/>
                                                              </w:divBdr>
                                                              <w:divsChild>
                                                                <w:div w:id="779566156">
                                                                  <w:marLeft w:val="0"/>
                                                                  <w:marRight w:val="0"/>
                                                                  <w:marTop w:val="0"/>
                                                                  <w:marBottom w:val="0"/>
                                                                  <w:divBdr>
                                                                    <w:top w:val="none" w:sz="0" w:space="0" w:color="auto"/>
                                                                    <w:left w:val="none" w:sz="0" w:space="0" w:color="auto"/>
                                                                    <w:bottom w:val="none" w:sz="0" w:space="0" w:color="auto"/>
                                                                    <w:right w:val="none" w:sz="0" w:space="0" w:color="auto"/>
                                                                  </w:divBdr>
                                                                  <w:divsChild>
                                                                    <w:div w:id="63067440">
                                                                      <w:marLeft w:val="0"/>
                                                                      <w:marRight w:val="0"/>
                                                                      <w:marTop w:val="0"/>
                                                                      <w:marBottom w:val="0"/>
                                                                      <w:divBdr>
                                                                        <w:top w:val="none" w:sz="0" w:space="0" w:color="auto"/>
                                                                        <w:left w:val="none" w:sz="0" w:space="0" w:color="auto"/>
                                                                        <w:bottom w:val="none" w:sz="0" w:space="0" w:color="auto"/>
                                                                        <w:right w:val="none" w:sz="0" w:space="0" w:color="auto"/>
                                                                      </w:divBdr>
                                                                      <w:divsChild>
                                                                        <w:div w:id="1662465521">
                                                                          <w:marLeft w:val="0"/>
                                                                          <w:marRight w:val="0"/>
                                                                          <w:marTop w:val="0"/>
                                                                          <w:marBottom w:val="0"/>
                                                                          <w:divBdr>
                                                                            <w:top w:val="none" w:sz="0" w:space="0" w:color="auto"/>
                                                                            <w:left w:val="none" w:sz="0" w:space="0" w:color="auto"/>
                                                                            <w:bottom w:val="none" w:sz="0" w:space="0" w:color="auto"/>
                                                                            <w:right w:val="none" w:sz="0" w:space="0" w:color="auto"/>
                                                                          </w:divBdr>
                                                                          <w:divsChild>
                                                                            <w:div w:id="1474178991">
                                                                              <w:marLeft w:val="0"/>
                                                                              <w:marRight w:val="0"/>
                                                                              <w:marTop w:val="0"/>
                                                                              <w:marBottom w:val="0"/>
                                                                              <w:divBdr>
                                                                                <w:top w:val="none" w:sz="0" w:space="0" w:color="auto"/>
                                                                                <w:left w:val="none" w:sz="0" w:space="0" w:color="auto"/>
                                                                                <w:bottom w:val="none" w:sz="0" w:space="0" w:color="auto"/>
                                                                                <w:right w:val="none" w:sz="0" w:space="0" w:color="auto"/>
                                                                              </w:divBdr>
                                                                              <w:divsChild>
                                                                                <w:div w:id="349525130">
                                                                                  <w:marLeft w:val="0"/>
                                                                                  <w:marRight w:val="0"/>
                                                                                  <w:marTop w:val="0"/>
                                                                                  <w:marBottom w:val="0"/>
                                                                                  <w:divBdr>
                                                                                    <w:top w:val="none" w:sz="0" w:space="0" w:color="auto"/>
                                                                                    <w:left w:val="none" w:sz="0" w:space="0" w:color="auto"/>
                                                                                    <w:bottom w:val="none" w:sz="0" w:space="0" w:color="auto"/>
                                                                                    <w:right w:val="none" w:sz="0" w:space="0" w:color="auto"/>
                                                                                  </w:divBdr>
                                                                                  <w:divsChild>
                                                                                    <w:div w:id="2010210858">
                                                                                      <w:marLeft w:val="0"/>
                                                                                      <w:marRight w:val="0"/>
                                                                                      <w:marTop w:val="0"/>
                                                                                      <w:marBottom w:val="0"/>
                                                                                      <w:divBdr>
                                                                                        <w:top w:val="none" w:sz="0" w:space="0" w:color="auto"/>
                                                                                        <w:left w:val="none" w:sz="0" w:space="0" w:color="auto"/>
                                                                                        <w:bottom w:val="none" w:sz="0" w:space="0" w:color="auto"/>
                                                                                        <w:right w:val="none" w:sz="0" w:space="0" w:color="auto"/>
                                                                                      </w:divBdr>
                                                                                      <w:divsChild>
                                                                                        <w:div w:id="1910338101">
                                                                                          <w:marLeft w:val="0"/>
                                                                                          <w:marRight w:val="0"/>
                                                                                          <w:marTop w:val="0"/>
                                                                                          <w:marBottom w:val="0"/>
                                                                                          <w:divBdr>
                                                                                            <w:top w:val="none" w:sz="0" w:space="0" w:color="auto"/>
                                                                                            <w:left w:val="none" w:sz="0" w:space="0" w:color="auto"/>
                                                                                            <w:bottom w:val="none" w:sz="0" w:space="0" w:color="auto"/>
                                                                                            <w:right w:val="none" w:sz="0" w:space="0" w:color="auto"/>
                                                                                          </w:divBdr>
                                                                                          <w:divsChild>
                                                                                            <w:div w:id="1924678870">
                                                                                              <w:marLeft w:val="0"/>
                                                                                              <w:marRight w:val="0"/>
                                                                                              <w:marTop w:val="0"/>
                                                                                              <w:marBottom w:val="0"/>
                                                                                              <w:divBdr>
                                                                                                <w:top w:val="none" w:sz="0" w:space="0" w:color="auto"/>
                                                                                                <w:left w:val="none" w:sz="0" w:space="0" w:color="auto"/>
                                                                                                <w:bottom w:val="none" w:sz="0" w:space="0" w:color="auto"/>
                                                                                                <w:right w:val="none" w:sz="0" w:space="0" w:color="auto"/>
                                                                                              </w:divBdr>
                                                                                              <w:divsChild>
                                                                                                <w:div w:id="938024465">
                                                                                                  <w:marLeft w:val="0"/>
                                                                                                  <w:marRight w:val="0"/>
                                                                                                  <w:marTop w:val="0"/>
                                                                                                  <w:marBottom w:val="0"/>
                                                                                                  <w:divBdr>
                                                                                                    <w:top w:val="none" w:sz="0" w:space="0" w:color="auto"/>
                                                                                                    <w:left w:val="none" w:sz="0" w:space="0" w:color="auto"/>
                                                                                                    <w:bottom w:val="none" w:sz="0" w:space="0" w:color="auto"/>
                                                                                                    <w:right w:val="none" w:sz="0" w:space="0" w:color="auto"/>
                                                                                                  </w:divBdr>
                                                                                                  <w:divsChild>
                                                                                                    <w:div w:id="1817793410">
                                                                                                      <w:marLeft w:val="0"/>
                                                                                                      <w:marRight w:val="0"/>
                                                                                                      <w:marTop w:val="0"/>
                                                                                                      <w:marBottom w:val="0"/>
                                                                                                      <w:divBdr>
                                                                                                        <w:top w:val="none" w:sz="0" w:space="0" w:color="auto"/>
                                                                                                        <w:left w:val="none" w:sz="0" w:space="0" w:color="auto"/>
                                                                                                        <w:bottom w:val="none" w:sz="0" w:space="0" w:color="auto"/>
                                                                                                        <w:right w:val="none" w:sz="0" w:space="0" w:color="auto"/>
                                                                                                      </w:divBdr>
                                                                                                      <w:divsChild>
                                                                                                        <w:div w:id="2009285649">
                                                                                                          <w:marLeft w:val="0"/>
                                                                                                          <w:marRight w:val="0"/>
                                                                                                          <w:marTop w:val="0"/>
                                                                                                          <w:marBottom w:val="0"/>
                                                                                                          <w:divBdr>
                                                                                                            <w:top w:val="none" w:sz="0" w:space="0" w:color="auto"/>
                                                                                                            <w:left w:val="none" w:sz="0" w:space="0" w:color="auto"/>
                                                                                                            <w:bottom w:val="none" w:sz="0" w:space="0" w:color="auto"/>
                                                                                                            <w:right w:val="none" w:sz="0" w:space="0" w:color="auto"/>
                                                                                                          </w:divBdr>
                                                                                                          <w:divsChild>
                                                                                                            <w:div w:id="1364403569">
                                                                                                              <w:marLeft w:val="0"/>
                                                                                                              <w:marRight w:val="0"/>
                                                                                                              <w:marTop w:val="0"/>
                                                                                                              <w:marBottom w:val="0"/>
                                                                                                              <w:divBdr>
                                                                                                                <w:top w:val="none" w:sz="0" w:space="0" w:color="auto"/>
                                                                                                                <w:left w:val="none" w:sz="0" w:space="0" w:color="auto"/>
                                                                                                                <w:bottom w:val="none" w:sz="0" w:space="0" w:color="auto"/>
                                                                                                                <w:right w:val="none" w:sz="0" w:space="0" w:color="auto"/>
                                                                                                              </w:divBdr>
                                                                                                              <w:divsChild>
                                                                                                                <w:div w:id="1624774313">
                                                                                                                  <w:marLeft w:val="0"/>
                                                                                                                  <w:marRight w:val="0"/>
                                                                                                                  <w:marTop w:val="0"/>
                                                                                                                  <w:marBottom w:val="0"/>
                                                                                                                  <w:divBdr>
                                                                                                                    <w:top w:val="none" w:sz="0" w:space="0" w:color="auto"/>
                                                                                                                    <w:left w:val="none" w:sz="0" w:space="0" w:color="auto"/>
                                                                                                                    <w:bottom w:val="none" w:sz="0" w:space="0" w:color="auto"/>
                                                                                                                    <w:right w:val="none" w:sz="0" w:space="0" w:color="auto"/>
                                                                                                                  </w:divBdr>
                                                                                                                  <w:divsChild>
                                                                                                                    <w:div w:id="1635256667">
                                                                                                                      <w:marLeft w:val="0"/>
                                                                                                                      <w:marRight w:val="0"/>
                                                                                                                      <w:marTop w:val="0"/>
                                                                                                                      <w:marBottom w:val="0"/>
                                                                                                                      <w:divBdr>
                                                                                                                        <w:top w:val="none" w:sz="0" w:space="0" w:color="auto"/>
                                                                                                                        <w:left w:val="none" w:sz="0" w:space="0" w:color="auto"/>
                                                                                                                        <w:bottom w:val="none" w:sz="0" w:space="0" w:color="auto"/>
                                                                                                                        <w:right w:val="none" w:sz="0" w:space="0" w:color="auto"/>
                                                                                                                      </w:divBdr>
                                                                                                                      <w:divsChild>
                                                                                                                        <w:div w:id="666439360">
                                                                                                                          <w:marLeft w:val="0"/>
                                                                                                                          <w:marRight w:val="0"/>
                                                                                                                          <w:marTop w:val="0"/>
                                                                                                                          <w:marBottom w:val="0"/>
                                                                                                                          <w:divBdr>
                                                                                                                            <w:top w:val="none" w:sz="0" w:space="0" w:color="auto"/>
                                                                                                                            <w:left w:val="none" w:sz="0" w:space="0" w:color="auto"/>
                                                                                                                            <w:bottom w:val="none" w:sz="0" w:space="0" w:color="auto"/>
                                                                                                                            <w:right w:val="none" w:sz="0" w:space="0" w:color="auto"/>
                                                                                                                          </w:divBdr>
                                                                                                                          <w:divsChild>
                                                                                                                            <w:div w:id="193759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7493769">
      <w:bodyDiv w:val="1"/>
      <w:marLeft w:val="0"/>
      <w:marRight w:val="0"/>
      <w:marTop w:val="0"/>
      <w:marBottom w:val="0"/>
      <w:divBdr>
        <w:top w:val="none" w:sz="0" w:space="0" w:color="auto"/>
        <w:left w:val="none" w:sz="0" w:space="0" w:color="auto"/>
        <w:bottom w:val="none" w:sz="0" w:space="0" w:color="auto"/>
        <w:right w:val="none" w:sz="0" w:space="0" w:color="auto"/>
      </w:divBdr>
      <w:divsChild>
        <w:div w:id="1397782272">
          <w:marLeft w:val="0"/>
          <w:marRight w:val="0"/>
          <w:marTop w:val="0"/>
          <w:marBottom w:val="0"/>
          <w:divBdr>
            <w:top w:val="none" w:sz="0" w:space="0" w:color="auto"/>
            <w:left w:val="none" w:sz="0" w:space="0" w:color="auto"/>
            <w:bottom w:val="none" w:sz="0" w:space="0" w:color="auto"/>
            <w:right w:val="none" w:sz="0" w:space="0" w:color="auto"/>
          </w:divBdr>
          <w:divsChild>
            <w:div w:id="1249072850">
              <w:marLeft w:val="0"/>
              <w:marRight w:val="0"/>
              <w:marTop w:val="100"/>
              <w:marBottom w:val="100"/>
              <w:divBdr>
                <w:top w:val="none" w:sz="0" w:space="0" w:color="auto"/>
                <w:left w:val="none" w:sz="0" w:space="0" w:color="auto"/>
                <w:bottom w:val="none" w:sz="0" w:space="0" w:color="auto"/>
                <w:right w:val="none" w:sz="0" w:space="0" w:color="auto"/>
              </w:divBdr>
              <w:divsChild>
                <w:div w:id="2004241275">
                  <w:marLeft w:val="0"/>
                  <w:marRight w:val="0"/>
                  <w:marTop w:val="0"/>
                  <w:marBottom w:val="0"/>
                  <w:divBdr>
                    <w:top w:val="none" w:sz="0" w:space="0" w:color="auto"/>
                    <w:left w:val="none" w:sz="0" w:space="0" w:color="auto"/>
                    <w:bottom w:val="none" w:sz="0" w:space="0" w:color="auto"/>
                    <w:right w:val="none" w:sz="0" w:space="0" w:color="auto"/>
                  </w:divBdr>
                  <w:divsChild>
                    <w:div w:id="566301125">
                      <w:marLeft w:val="0"/>
                      <w:marRight w:val="0"/>
                      <w:marTop w:val="0"/>
                      <w:marBottom w:val="0"/>
                      <w:divBdr>
                        <w:top w:val="none" w:sz="0" w:space="0" w:color="auto"/>
                        <w:left w:val="none" w:sz="0" w:space="0" w:color="auto"/>
                        <w:bottom w:val="none" w:sz="0" w:space="0" w:color="auto"/>
                        <w:right w:val="none" w:sz="0" w:space="0" w:color="auto"/>
                      </w:divBdr>
                    </w:div>
                    <w:div w:id="1217426910">
                      <w:marLeft w:val="0"/>
                      <w:marRight w:val="0"/>
                      <w:marTop w:val="0"/>
                      <w:marBottom w:val="0"/>
                      <w:divBdr>
                        <w:top w:val="none" w:sz="0" w:space="0" w:color="auto"/>
                        <w:left w:val="none" w:sz="0" w:space="0" w:color="auto"/>
                        <w:bottom w:val="none" w:sz="0" w:space="0" w:color="auto"/>
                        <w:right w:val="none" w:sz="0" w:space="0" w:color="auto"/>
                      </w:divBdr>
                    </w:div>
                    <w:div w:id="1682509711">
                      <w:marLeft w:val="0"/>
                      <w:marRight w:val="0"/>
                      <w:marTop w:val="0"/>
                      <w:marBottom w:val="0"/>
                      <w:divBdr>
                        <w:top w:val="none" w:sz="0" w:space="0" w:color="auto"/>
                        <w:left w:val="none" w:sz="0" w:space="0" w:color="auto"/>
                        <w:bottom w:val="none" w:sz="0" w:space="0" w:color="auto"/>
                        <w:right w:val="none" w:sz="0" w:space="0" w:color="auto"/>
                      </w:divBdr>
                      <w:divsChild>
                        <w:div w:id="1687557451">
                          <w:marLeft w:val="0"/>
                          <w:marRight w:val="0"/>
                          <w:marTop w:val="180"/>
                          <w:marBottom w:val="0"/>
                          <w:divBdr>
                            <w:top w:val="none" w:sz="0" w:space="0" w:color="auto"/>
                            <w:left w:val="none" w:sz="0" w:space="0" w:color="auto"/>
                            <w:bottom w:val="none" w:sz="0" w:space="0" w:color="auto"/>
                            <w:right w:val="none" w:sz="0" w:space="0" w:color="auto"/>
                          </w:divBdr>
                        </w:div>
                        <w:div w:id="1459490045">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921791531">
      <w:bodyDiv w:val="1"/>
      <w:marLeft w:val="0"/>
      <w:marRight w:val="0"/>
      <w:marTop w:val="0"/>
      <w:marBottom w:val="0"/>
      <w:divBdr>
        <w:top w:val="none" w:sz="0" w:space="0" w:color="auto"/>
        <w:left w:val="none" w:sz="0" w:space="0" w:color="auto"/>
        <w:bottom w:val="none" w:sz="0" w:space="0" w:color="auto"/>
        <w:right w:val="none" w:sz="0" w:space="0" w:color="auto"/>
      </w:divBdr>
    </w:div>
    <w:div w:id="1946883991">
      <w:bodyDiv w:val="1"/>
      <w:marLeft w:val="0"/>
      <w:marRight w:val="0"/>
      <w:marTop w:val="0"/>
      <w:marBottom w:val="0"/>
      <w:divBdr>
        <w:top w:val="none" w:sz="0" w:space="0" w:color="auto"/>
        <w:left w:val="none" w:sz="0" w:space="0" w:color="auto"/>
        <w:bottom w:val="none" w:sz="0" w:space="0" w:color="auto"/>
        <w:right w:val="none" w:sz="0" w:space="0" w:color="auto"/>
      </w:divBdr>
    </w:div>
    <w:div w:id="1950893017">
      <w:bodyDiv w:val="1"/>
      <w:marLeft w:val="0"/>
      <w:marRight w:val="0"/>
      <w:marTop w:val="0"/>
      <w:marBottom w:val="1575"/>
      <w:divBdr>
        <w:top w:val="none" w:sz="0" w:space="0" w:color="auto"/>
        <w:left w:val="none" w:sz="0" w:space="0" w:color="auto"/>
        <w:bottom w:val="none" w:sz="0" w:space="0" w:color="auto"/>
        <w:right w:val="none" w:sz="0" w:space="0" w:color="auto"/>
      </w:divBdr>
      <w:divsChild>
        <w:div w:id="274365942">
          <w:marLeft w:val="-225"/>
          <w:marRight w:val="-225"/>
          <w:marTop w:val="0"/>
          <w:marBottom w:val="0"/>
          <w:divBdr>
            <w:top w:val="none" w:sz="0" w:space="0" w:color="auto"/>
            <w:left w:val="none" w:sz="0" w:space="0" w:color="auto"/>
            <w:bottom w:val="none" w:sz="0" w:space="0" w:color="auto"/>
            <w:right w:val="none" w:sz="0" w:space="0" w:color="auto"/>
          </w:divBdr>
          <w:divsChild>
            <w:div w:id="1164080223">
              <w:marLeft w:val="0"/>
              <w:marRight w:val="0"/>
              <w:marTop w:val="0"/>
              <w:marBottom w:val="0"/>
              <w:divBdr>
                <w:top w:val="none" w:sz="0" w:space="0" w:color="auto"/>
                <w:left w:val="none" w:sz="0" w:space="0" w:color="auto"/>
                <w:bottom w:val="none" w:sz="0" w:space="0" w:color="auto"/>
                <w:right w:val="none" w:sz="0" w:space="0" w:color="auto"/>
              </w:divBdr>
              <w:divsChild>
                <w:div w:id="97730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323090">
      <w:bodyDiv w:val="1"/>
      <w:marLeft w:val="0"/>
      <w:marRight w:val="0"/>
      <w:marTop w:val="0"/>
      <w:marBottom w:val="0"/>
      <w:divBdr>
        <w:top w:val="none" w:sz="0" w:space="0" w:color="auto"/>
        <w:left w:val="none" w:sz="0" w:space="0" w:color="auto"/>
        <w:bottom w:val="none" w:sz="0" w:space="0" w:color="auto"/>
        <w:right w:val="none" w:sz="0" w:space="0" w:color="auto"/>
      </w:divBdr>
      <w:divsChild>
        <w:div w:id="957680784">
          <w:marLeft w:val="0"/>
          <w:marRight w:val="0"/>
          <w:marTop w:val="0"/>
          <w:marBottom w:val="0"/>
          <w:divBdr>
            <w:top w:val="none" w:sz="0" w:space="0" w:color="auto"/>
            <w:left w:val="none" w:sz="0" w:space="0" w:color="auto"/>
            <w:bottom w:val="none" w:sz="0" w:space="0" w:color="auto"/>
            <w:right w:val="none" w:sz="0" w:space="0" w:color="auto"/>
          </w:divBdr>
          <w:divsChild>
            <w:div w:id="933589235">
              <w:marLeft w:val="-225"/>
              <w:marRight w:val="-225"/>
              <w:marTop w:val="0"/>
              <w:marBottom w:val="0"/>
              <w:divBdr>
                <w:top w:val="none" w:sz="0" w:space="0" w:color="auto"/>
                <w:left w:val="none" w:sz="0" w:space="0" w:color="auto"/>
                <w:bottom w:val="none" w:sz="0" w:space="0" w:color="auto"/>
                <w:right w:val="none" w:sz="0" w:space="0" w:color="auto"/>
              </w:divBdr>
              <w:divsChild>
                <w:div w:id="879971565">
                  <w:marLeft w:val="0"/>
                  <w:marRight w:val="0"/>
                  <w:marTop w:val="0"/>
                  <w:marBottom w:val="0"/>
                  <w:divBdr>
                    <w:top w:val="none" w:sz="0" w:space="0" w:color="auto"/>
                    <w:left w:val="none" w:sz="0" w:space="0" w:color="auto"/>
                    <w:bottom w:val="none" w:sz="0" w:space="0" w:color="auto"/>
                    <w:right w:val="none" w:sz="0" w:space="0" w:color="auto"/>
                  </w:divBdr>
                  <w:divsChild>
                    <w:div w:id="1814833453">
                      <w:marLeft w:val="0"/>
                      <w:marRight w:val="0"/>
                      <w:marTop w:val="0"/>
                      <w:marBottom w:val="0"/>
                      <w:divBdr>
                        <w:top w:val="none" w:sz="0" w:space="0" w:color="auto"/>
                        <w:left w:val="none" w:sz="0" w:space="0" w:color="auto"/>
                        <w:bottom w:val="none" w:sz="0" w:space="0" w:color="auto"/>
                        <w:right w:val="none" w:sz="0" w:space="0" w:color="auto"/>
                      </w:divBdr>
                      <w:divsChild>
                        <w:div w:id="882516697">
                          <w:marLeft w:val="0"/>
                          <w:marRight w:val="0"/>
                          <w:marTop w:val="0"/>
                          <w:marBottom w:val="0"/>
                          <w:divBdr>
                            <w:top w:val="none" w:sz="0" w:space="0" w:color="auto"/>
                            <w:left w:val="none" w:sz="0" w:space="0" w:color="auto"/>
                            <w:bottom w:val="none" w:sz="0" w:space="0" w:color="auto"/>
                            <w:right w:val="none" w:sz="0" w:space="0" w:color="auto"/>
                          </w:divBdr>
                          <w:divsChild>
                            <w:div w:id="1216625166">
                              <w:marLeft w:val="0"/>
                              <w:marRight w:val="0"/>
                              <w:marTop w:val="0"/>
                              <w:marBottom w:val="240"/>
                              <w:divBdr>
                                <w:top w:val="none" w:sz="0" w:space="0" w:color="auto"/>
                                <w:left w:val="none" w:sz="0" w:space="0" w:color="auto"/>
                                <w:bottom w:val="none" w:sz="0" w:space="0" w:color="auto"/>
                                <w:right w:val="none" w:sz="0" w:space="0" w:color="auto"/>
                              </w:divBdr>
                              <w:divsChild>
                                <w:div w:id="795370655">
                                  <w:marLeft w:val="0"/>
                                  <w:marRight w:val="0"/>
                                  <w:marTop w:val="0"/>
                                  <w:marBottom w:val="0"/>
                                  <w:divBdr>
                                    <w:top w:val="none" w:sz="0" w:space="0" w:color="auto"/>
                                    <w:left w:val="none" w:sz="0" w:space="0" w:color="auto"/>
                                    <w:bottom w:val="none" w:sz="0" w:space="0" w:color="auto"/>
                                    <w:right w:val="none" w:sz="0" w:space="0" w:color="auto"/>
                                  </w:divBdr>
                                  <w:divsChild>
                                    <w:div w:id="1271086272">
                                      <w:marLeft w:val="0"/>
                                      <w:marRight w:val="0"/>
                                      <w:marTop w:val="0"/>
                                      <w:marBottom w:val="0"/>
                                      <w:divBdr>
                                        <w:top w:val="none" w:sz="0" w:space="0" w:color="auto"/>
                                        <w:left w:val="none" w:sz="0" w:space="0" w:color="auto"/>
                                        <w:bottom w:val="none" w:sz="0" w:space="0" w:color="auto"/>
                                        <w:right w:val="none" w:sz="0" w:space="0" w:color="auto"/>
                                      </w:divBdr>
                                      <w:divsChild>
                                        <w:div w:id="629360730">
                                          <w:marLeft w:val="0"/>
                                          <w:marRight w:val="0"/>
                                          <w:marTop w:val="0"/>
                                          <w:marBottom w:val="0"/>
                                          <w:divBdr>
                                            <w:top w:val="none" w:sz="0" w:space="0" w:color="auto"/>
                                            <w:left w:val="none" w:sz="0" w:space="0" w:color="auto"/>
                                            <w:bottom w:val="none" w:sz="0" w:space="0" w:color="auto"/>
                                            <w:right w:val="none" w:sz="0" w:space="0" w:color="auto"/>
                                          </w:divBdr>
                                          <w:divsChild>
                                            <w:div w:id="1543059421">
                                              <w:marLeft w:val="0"/>
                                              <w:marRight w:val="0"/>
                                              <w:marTop w:val="0"/>
                                              <w:marBottom w:val="0"/>
                                              <w:divBdr>
                                                <w:top w:val="none" w:sz="0" w:space="0" w:color="auto"/>
                                                <w:left w:val="none" w:sz="0" w:space="0" w:color="auto"/>
                                                <w:bottom w:val="none" w:sz="0" w:space="0" w:color="auto"/>
                                                <w:right w:val="none" w:sz="0" w:space="0" w:color="auto"/>
                                              </w:divBdr>
                                              <w:divsChild>
                                                <w:div w:id="1907376795">
                                                  <w:marLeft w:val="0"/>
                                                  <w:marRight w:val="0"/>
                                                  <w:marTop w:val="0"/>
                                                  <w:marBottom w:val="0"/>
                                                  <w:divBdr>
                                                    <w:top w:val="none" w:sz="0" w:space="0" w:color="auto"/>
                                                    <w:left w:val="none" w:sz="0" w:space="0" w:color="auto"/>
                                                    <w:bottom w:val="none" w:sz="0" w:space="0" w:color="auto"/>
                                                    <w:right w:val="none" w:sz="0" w:space="0" w:color="auto"/>
                                                  </w:divBdr>
                                                  <w:divsChild>
                                                    <w:div w:id="57213441">
                                                      <w:marLeft w:val="0"/>
                                                      <w:marRight w:val="0"/>
                                                      <w:marTop w:val="0"/>
                                                      <w:marBottom w:val="0"/>
                                                      <w:divBdr>
                                                        <w:top w:val="none" w:sz="0" w:space="0" w:color="auto"/>
                                                        <w:left w:val="none" w:sz="0" w:space="0" w:color="auto"/>
                                                        <w:bottom w:val="none" w:sz="0" w:space="0" w:color="auto"/>
                                                        <w:right w:val="none" w:sz="0" w:space="0" w:color="auto"/>
                                                      </w:divBdr>
                                                      <w:divsChild>
                                                        <w:div w:id="169314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57442934">
      <w:bodyDiv w:val="1"/>
      <w:marLeft w:val="0"/>
      <w:marRight w:val="0"/>
      <w:marTop w:val="0"/>
      <w:marBottom w:val="0"/>
      <w:divBdr>
        <w:top w:val="none" w:sz="0" w:space="0" w:color="auto"/>
        <w:left w:val="none" w:sz="0" w:space="0" w:color="auto"/>
        <w:bottom w:val="none" w:sz="0" w:space="0" w:color="auto"/>
        <w:right w:val="none" w:sz="0" w:space="0" w:color="auto"/>
      </w:divBdr>
      <w:divsChild>
        <w:div w:id="695541798">
          <w:marLeft w:val="0"/>
          <w:marRight w:val="0"/>
          <w:marTop w:val="0"/>
          <w:marBottom w:val="0"/>
          <w:divBdr>
            <w:top w:val="none" w:sz="0" w:space="0" w:color="auto"/>
            <w:left w:val="none" w:sz="0" w:space="0" w:color="auto"/>
            <w:bottom w:val="none" w:sz="0" w:space="0" w:color="auto"/>
            <w:right w:val="none" w:sz="0" w:space="0" w:color="auto"/>
          </w:divBdr>
          <w:divsChild>
            <w:div w:id="714818375">
              <w:marLeft w:val="0"/>
              <w:marRight w:val="0"/>
              <w:marTop w:val="0"/>
              <w:marBottom w:val="0"/>
              <w:divBdr>
                <w:top w:val="none" w:sz="0" w:space="0" w:color="auto"/>
                <w:left w:val="none" w:sz="0" w:space="0" w:color="auto"/>
                <w:bottom w:val="none" w:sz="0" w:space="0" w:color="auto"/>
                <w:right w:val="none" w:sz="0" w:space="0" w:color="auto"/>
              </w:divBdr>
              <w:divsChild>
                <w:div w:id="59987607">
                  <w:marLeft w:val="0"/>
                  <w:marRight w:val="0"/>
                  <w:marTop w:val="0"/>
                  <w:marBottom w:val="0"/>
                  <w:divBdr>
                    <w:top w:val="none" w:sz="0" w:space="0" w:color="auto"/>
                    <w:left w:val="none" w:sz="0" w:space="0" w:color="auto"/>
                    <w:bottom w:val="none" w:sz="0" w:space="0" w:color="auto"/>
                    <w:right w:val="none" w:sz="0" w:space="0" w:color="auto"/>
                  </w:divBdr>
                  <w:divsChild>
                    <w:div w:id="44547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001926">
      <w:bodyDiv w:val="1"/>
      <w:marLeft w:val="0"/>
      <w:marRight w:val="0"/>
      <w:marTop w:val="0"/>
      <w:marBottom w:val="0"/>
      <w:divBdr>
        <w:top w:val="none" w:sz="0" w:space="0" w:color="auto"/>
        <w:left w:val="none" w:sz="0" w:space="0" w:color="auto"/>
        <w:bottom w:val="none" w:sz="0" w:space="0" w:color="auto"/>
        <w:right w:val="none" w:sz="0" w:space="0" w:color="auto"/>
      </w:divBdr>
    </w:div>
    <w:div w:id="1988590544">
      <w:bodyDiv w:val="1"/>
      <w:marLeft w:val="0"/>
      <w:marRight w:val="0"/>
      <w:marTop w:val="0"/>
      <w:marBottom w:val="0"/>
      <w:divBdr>
        <w:top w:val="none" w:sz="0" w:space="0" w:color="auto"/>
        <w:left w:val="none" w:sz="0" w:space="0" w:color="auto"/>
        <w:bottom w:val="none" w:sz="0" w:space="0" w:color="auto"/>
        <w:right w:val="none" w:sz="0" w:space="0" w:color="auto"/>
      </w:divBdr>
    </w:div>
    <w:div w:id="2006590468">
      <w:bodyDiv w:val="1"/>
      <w:marLeft w:val="0"/>
      <w:marRight w:val="0"/>
      <w:marTop w:val="0"/>
      <w:marBottom w:val="0"/>
      <w:divBdr>
        <w:top w:val="none" w:sz="0" w:space="0" w:color="auto"/>
        <w:left w:val="none" w:sz="0" w:space="0" w:color="auto"/>
        <w:bottom w:val="none" w:sz="0" w:space="0" w:color="auto"/>
        <w:right w:val="none" w:sz="0" w:space="0" w:color="auto"/>
      </w:divBdr>
    </w:div>
    <w:div w:id="2009096097">
      <w:bodyDiv w:val="1"/>
      <w:marLeft w:val="0"/>
      <w:marRight w:val="0"/>
      <w:marTop w:val="0"/>
      <w:marBottom w:val="0"/>
      <w:divBdr>
        <w:top w:val="none" w:sz="0" w:space="0" w:color="auto"/>
        <w:left w:val="none" w:sz="0" w:space="0" w:color="auto"/>
        <w:bottom w:val="none" w:sz="0" w:space="0" w:color="auto"/>
        <w:right w:val="none" w:sz="0" w:space="0" w:color="auto"/>
      </w:divBdr>
    </w:div>
    <w:div w:id="2038197439">
      <w:bodyDiv w:val="1"/>
      <w:marLeft w:val="0"/>
      <w:marRight w:val="0"/>
      <w:marTop w:val="0"/>
      <w:marBottom w:val="0"/>
      <w:divBdr>
        <w:top w:val="none" w:sz="0" w:space="0" w:color="auto"/>
        <w:left w:val="none" w:sz="0" w:space="0" w:color="auto"/>
        <w:bottom w:val="none" w:sz="0" w:space="0" w:color="auto"/>
        <w:right w:val="none" w:sz="0" w:space="0" w:color="auto"/>
      </w:divBdr>
      <w:divsChild>
        <w:div w:id="264653585">
          <w:marLeft w:val="0"/>
          <w:marRight w:val="0"/>
          <w:marTop w:val="0"/>
          <w:marBottom w:val="0"/>
          <w:divBdr>
            <w:top w:val="none" w:sz="0" w:space="0" w:color="auto"/>
            <w:left w:val="none" w:sz="0" w:space="0" w:color="auto"/>
            <w:bottom w:val="none" w:sz="0" w:space="0" w:color="auto"/>
            <w:right w:val="none" w:sz="0" w:space="0" w:color="auto"/>
          </w:divBdr>
        </w:div>
      </w:divsChild>
    </w:div>
  </w:divs>
  <w:encoding w:val="macintos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cid:65892f97-a7ce-4a16-907d-534d116be8c1@ausprd01.prod.outlook.com" TargetMode="External"/><Relationship Id="rId42" Type="http://schemas.openxmlformats.org/officeDocument/2006/relationships/image" Target="media/image17.png"/><Relationship Id="rId63" Type="http://schemas.openxmlformats.org/officeDocument/2006/relationships/image" Target="media/image38.PNG"/><Relationship Id="rId84" Type="http://schemas.openxmlformats.org/officeDocument/2006/relationships/image" Target="media/image59.png"/><Relationship Id="rId138" Type="http://schemas.openxmlformats.org/officeDocument/2006/relationships/image" Target="media/image112.png"/><Relationship Id="rId159" Type="http://schemas.openxmlformats.org/officeDocument/2006/relationships/image" Target="media/image132.png"/><Relationship Id="rId170" Type="http://schemas.openxmlformats.org/officeDocument/2006/relationships/image" Target="media/image143.png"/><Relationship Id="rId191" Type="http://schemas.openxmlformats.org/officeDocument/2006/relationships/image" Target="media/image164.png"/><Relationship Id="rId205" Type="http://schemas.openxmlformats.org/officeDocument/2006/relationships/image" Target="media/image178.png"/><Relationship Id="rId226" Type="http://schemas.openxmlformats.org/officeDocument/2006/relationships/image" Target="media/image199.png"/><Relationship Id="rId247" Type="http://schemas.openxmlformats.org/officeDocument/2006/relationships/image" Target="media/image220.png"/><Relationship Id="rId107" Type="http://schemas.openxmlformats.org/officeDocument/2006/relationships/image" Target="media/image81.png"/><Relationship Id="rId268" Type="http://schemas.openxmlformats.org/officeDocument/2006/relationships/image" Target="media/image240.png"/><Relationship Id="rId11" Type="http://schemas.openxmlformats.org/officeDocument/2006/relationships/footer" Target="footer1.xml"/><Relationship Id="rId32" Type="http://schemas.openxmlformats.org/officeDocument/2006/relationships/image" Target="media/image7.png"/><Relationship Id="rId53" Type="http://schemas.openxmlformats.org/officeDocument/2006/relationships/image" Target="media/image28.png"/><Relationship Id="rId74" Type="http://schemas.openxmlformats.org/officeDocument/2006/relationships/image" Target="media/image49.png"/><Relationship Id="rId128" Type="http://schemas.openxmlformats.org/officeDocument/2006/relationships/image" Target="media/image102.png"/><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hyperlink" Target="https://www.education.vic.gov.au/about/research/Pages/vcamsindicator.aspx" TargetMode="External"/><Relationship Id="rId160" Type="http://schemas.openxmlformats.org/officeDocument/2006/relationships/image" Target="media/image133.png"/><Relationship Id="rId181" Type="http://schemas.openxmlformats.org/officeDocument/2006/relationships/image" Target="media/image154.png"/><Relationship Id="rId216" Type="http://schemas.openxmlformats.org/officeDocument/2006/relationships/image" Target="media/image189.png"/><Relationship Id="rId237" Type="http://schemas.openxmlformats.org/officeDocument/2006/relationships/image" Target="media/image210.png"/><Relationship Id="rId258" Type="http://schemas.openxmlformats.org/officeDocument/2006/relationships/image" Target="media/image230.png"/><Relationship Id="rId22" Type="http://schemas.openxmlformats.org/officeDocument/2006/relationships/hyperlink" Target="https://www2.health.vic.gov.au/about/health-strategies/cancer-care" TargetMode="External"/><Relationship Id="rId43" Type="http://schemas.openxmlformats.org/officeDocument/2006/relationships/image" Target="media/image18.png"/><Relationship Id="rId64" Type="http://schemas.openxmlformats.org/officeDocument/2006/relationships/image" Target="media/image39.png"/><Relationship Id="rId118" Type="http://schemas.openxmlformats.org/officeDocument/2006/relationships/image" Target="media/image92.png"/><Relationship Id="rId139" Type="http://schemas.openxmlformats.org/officeDocument/2006/relationships/image" Target="media/image113.png"/><Relationship Id="rId85" Type="http://schemas.openxmlformats.org/officeDocument/2006/relationships/image" Target="media/image60.png"/><Relationship Id="rId150" Type="http://schemas.openxmlformats.org/officeDocument/2006/relationships/image" Target="media/image124.png"/><Relationship Id="rId171" Type="http://schemas.openxmlformats.org/officeDocument/2006/relationships/image" Target="media/image144.png"/><Relationship Id="rId192" Type="http://schemas.openxmlformats.org/officeDocument/2006/relationships/image" Target="media/image165.png"/><Relationship Id="rId206" Type="http://schemas.openxmlformats.org/officeDocument/2006/relationships/image" Target="media/image179.png"/><Relationship Id="rId227" Type="http://schemas.openxmlformats.org/officeDocument/2006/relationships/image" Target="media/image200.png"/><Relationship Id="rId248" Type="http://schemas.openxmlformats.org/officeDocument/2006/relationships/chart" Target="charts/chart2.xml"/><Relationship Id="rId269" Type="http://schemas.openxmlformats.org/officeDocument/2006/relationships/fontTable" Target="fontTable.xml"/><Relationship Id="rId12" Type="http://schemas.openxmlformats.org/officeDocument/2006/relationships/footer" Target="footer2.xml"/><Relationship Id="rId33" Type="http://schemas.openxmlformats.org/officeDocument/2006/relationships/image" Target="media/image8.png"/><Relationship Id="rId108" Type="http://schemas.openxmlformats.org/officeDocument/2006/relationships/image" Target="media/image82.png"/><Relationship Id="rId129" Type="http://schemas.openxmlformats.org/officeDocument/2006/relationships/image" Target="media/image103.png"/><Relationship Id="rId54" Type="http://schemas.openxmlformats.org/officeDocument/2006/relationships/image" Target="media/image29.png"/><Relationship Id="rId75" Type="http://schemas.openxmlformats.org/officeDocument/2006/relationships/image" Target="media/image50.png"/><Relationship Id="rId96" Type="http://schemas.openxmlformats.org/officeDocument/2006/relationships/image" Target="media/image70.png"/><Relationship Id="rId140" Type="http://schemas.openxmlformats.org/officeDocument/2006/relationships/image" Target="media/image114.png"/><Relationship Id="rId161" Type="http://schemas.openxmlformats.org/officeDocument/2006/relationships/image" Target="media/image134.png"/><Relationship Id="rId182" Type="http://schemas.openxmlformats.org/officeDocument/2006/relationships/image" Target="media/image155.png"/><Relationship Id="rId217" Type="http://schemas.openxmlformats.org/officeDocument/2006/relationships/image" Target="media/image190.png"/><Relationship Id="rId6" Type="http://schemas.openxmlformats.org/officeDocument/2006/relationships/footnotes" Target="footnotes.xml"/><Relationship Id="rId238" Type="http://schemas.openxmlformats.org/officeDocument/2006/relationships/image" Target="media/image211.png"/><Relationship Id="rId259" Type="http://schemas.openxmlformats.org/officeDocument/2006/relationships/image" Target="media/image231.png"/><Relationship Id="rId23" Type="http://schemas.openxmlformats.org/officeDocument/2006/relationships/header" Target="header4.xml"/><Relationship Id="rId28" Type="http://schemas.openxmlformats.org/officeDocument/2006/relationships/footer" Target="footer6.xml"/><Relationship Id="rId49" Type="http://schemas.openxmlformats.org/officeDocument/2006/relationships/image" Target="media/image24.png"/><Relationship Id="rId114" Type="http://schemas.openxmlformats.org/officeDocument/2006/relationships/image" Target="media/image88.png"/><Relationship Id="rId119" Type="http://schemas.openxmlformats.org/officeDocument/2006/relationships/image" Target="media/image93.png"/><Relationship Id="rId270" Type="http://schemas.openxmlformats.org/officeDocument/2006/relationships/theme" Target="theme/theme1.xml"/><Relationship Id="rId44" Type="http://schemas.openxmlformats.org/officeDocument/2006/relationships/image" Target="media/image19.png"/><Relationship Id="rId60" Type="http://schemas.openxmlformats.org/officeDocument/2006/relationships/image" Target="media/image35.emf"/><Relationship Id="rId65" Type="http://schemas.openxmlformats.org/officeDocument/2006/relationships/image" Target="media/image40.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104.png"/><Relationship Id="rId135" Type="http://schemas.openxmlformats.org/officeDocument/2006/relationships/image" Target="media/image109.png"/><Relationship Id="rId151" Type="http://schemas.openxmlformats.org/officeDocument/2006/relationships/image" Target="media/image125.png"/><Relationship Id="rId156" Type="http://schemas.openxmlformats.org/officeDocument/2006/relationships/image" Target="media/image130.png"/><Relationship Id="rId177" Type="http://schemas.openxmlformats.org/officeDocument/2006/relationships/image" Target="media/image150.png"/><Relationship Id="rId198" Type="http://schemas.openxmlformats.org/officeDocument/2006/relationships/image" Target="media/image171.png"/><Relationship Id="rId172" Type="http://schemas.openxmlformats.org/officeDocument/2006/relationships/image" Target="media/image145.png"/><Relationship Id="rId193" Type="http://schemas.openxmlformats.org/officeDocument/2006/relationships/image" Target="media/image166.png"/><Relationship Id="rId202" Type="http://schemas.openxmlformats.org/officeDocument/2006/relationships/image" Target="media/image175.png"/><Relationship Id="rId207" Type="http://schemas.openxmlformats.org/officeDocument/2006/relationships/image" Target="media/image180.png"/><Relationship Id="rId223" Type="http://schemas.openxmlformats.org/officeDocument/2006/relationships/image" Target="media/image196.png"/><Relationship Id="rId228" Type="http://schemas.openxmlformats.org/officeDocument/2006/relationships/image" Target="media/image201.png"/><Relationship Id="rId244" Type="http://schemas.openxmlformats.org/officeDocument/2006/relationships/image" Target="media/image217.png"/><Relationship Id="rId249" Type="http://schemas.openxmlformats.org/officeDocument/2006/relationships/image" Target="media/image221.png"/><Relationship Id="rId13" Type="http://schemas.openxmlformats.org/officeDocument/2006/relationships/header" Target="header3.xml"/><Relationship Id="rId18" Type="http://schemas.openxmlformats.org/officeDocument/2006/relationships/image" Target="cid:image002.jpg@01D57922.BF32BCC0" TargetMode="External"/><Relationship Id="rId39" Type="http://schemas.openxmlformats.org/officeDocument/2006/relationships/image" Target="media/image14.png"/><Relationship Id="rId109" Type="http://schemas.openxmlformats.org/officeDocument/2006/relationships/image" Target="media/image83.png"/><Relationship Id="rId260" Type="http://schemas.openxmlformats.org/officeDocument/2006/relationships/image" Target="media/image232.png"/><Relationship Id="rId265" Type="http://schemas.openxmlformats.org/officeDocument/2006/relationships/image" Target="media/image237.png"/><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40.png"/><Relationship Id="rId188" Type="http://schemas.openxmlformats.org/officeDocument/2006/relationships/image" Target="media/image161.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7.png"/><Relationship Id="rId162" Type="http://schemas.openxmlformats.org/officeDocument/2006/relationships/image" Target="media/image135.png"/><Relationship Id="rId183" Type="http://schemas.openxmlformats.org/officeDocument/2006/relationships/image" Target="media/image156.png"/><Relationship Id="rId213" Type="http://schemas.openxmlformats.org/officeDocument/2006/relationships/image" Target="media/image186.png"/><Relationship Id="rId218" Type="http://schemas.openxmlformats.org/officeDocument/2006/relationships/image" Target="media/image191.png"/><Relationship Id="rId234" Type="http://schemas.openxmlformats.org/officeDocument/2006/relationships/image" Target="media/image207.png"/><Relationship Id="rId239" Type="http://schemas.openxmlformats.org/officeDocument/2006/relationships/image" Target="media/image212.png"/><Relationship Id="rId2" Type="http://schemas.openxmlformats.org/officeDocument/2006/relationships/numbering" Target="numbering.xml"/><Relationship Id="rId29" Type="http://schemas.openxmlformats.org/officeDocument/2006/relationships/image" Target="media/image4.png"/><Relationship Id="rId250" Type="http://schemas.openxmlformats.org/officeDocument/2006/relationships/image" Target="media/image222.png"/><Relationship Id="rId255" Type="http://schemas.openxmlformats.org/officeDocument/2006/relationships/image" Target="media/image227.png"/><Relationship Id="rId24" Type="http://schemas.openxmlformats.org/officeDocument/2006/relationships/header" Target="header5.xm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41.emf"/><Relationship Id="rId87" Type="http://schemas.openxmlformats.org/officeDocument/2006/relationships/image" Target="media/image62.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chart" Target="charts/chart1.xml"/><Relationship Id="rId178" Type="http://schemas.openxmlformats.org/officeDocument/2006/relationships/image" Target="media/image151.png"/><Relationship Id="rId61" Type="http://schemas.openxmlformats.org/officeDocument/2006/relationships/image" Target="media/image36.png"/><Relationship Id="rId82" Type="http://schemas.openxmlformats.org/officeDocument/2006/relationships/image" Target="media/image57.png"/><Relationship Id="rId152" Type="http://schemas.openxmlformats.org/officeDocument/2006/relationships/image" Target="media/image126.png"/><Relationship Id="rId173" Type="http://schemas.openxmlformats.org/officeDocument/2006/relationships/image" Target="media/image146.png"/><Relationship Id="rId194" Type="http://schemas.openxmlformats.org/officeDocument/2006/relationships/image" Target="media/image167.png"/><Relationship Id="rId199" Type="http://schemas.openxmlformats.org/officeDocument/2006/relationships/image" Target="media/image172.png"/><Relationship Id="rId203" Type="http://schemas.openxmlformats.org/officeDocument/2006/relationships/image" Target="media/image176.png"/><Relationship Id="rId208" Type="http://schemas.openxmlformats.org/officeDocument/2006/relationships/image" Target="media/image181.png"/><Relationship Id="rId229" Type="http://schemas.openxmlformats.org/officeDocument/2006/relationships/image" Target="media/image202.png"/><Relationship Id="rId19" Type="http://schemas.openxmlformats.org/officeDocument/2006/relationships/hyperlink" Target="https://www2.health.vic.gov.au/about/health-strategies/cancer-care" TargetMode="External"/><Relationship Id="rId224" Type="http://schemas.openxmlformats.org/officeDocument/2006/relationships/image" Target="media/image197.png"/><Relationship Id="rId240" Type="http://schemas.openxmlformats.org/officeDocument/2006/relationships/image" Target="media/image213.png"/><Relationship Id="rId245" Type="http://schemas.openxmlformats.org/officeDocument/2006/relationships/image" Target="media/image218.png"/><Relationship Id="rId261" Type="http://schemas.openxmlformats.org/officeDocument/2006/relationships/image" Target="media/image233.png"/><Relationship Id="rId266" Type="http://schemas.openxmlformats.org/officeDocument/2006/relationships/image" Target="media/image238.png"/><Relationship Id="rId14" Type="http://schemas.openxmlformats.org/officeDocument/2006/relationships/footer" Target="footer3.xml"/><Relationship Id="rId30" Type="http://schemas.openxmlformats.org/officeDocument/2006/relationships/image" Target="media/image5.png"/><Relationship Id="rId35" Type="http://schemas.openxmlformats.org/officeDocument/2006/relationships/image" Target="media/image10.png"/><Relationship Id="rId56" Type="http://schemas.openxmlformats.org/officeDocument/2006/relationships/image" Target="media/image31.png"/><Relationship Id="rId77" Type="http://schemas.openxmlformats.org/officeDocument/2006/relationships/image" Target="media/image52.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1.png"/><Relationship Id="rId8" Type="http://schemas.openxmlformats.org/officeDocument/2006/relationships/image" Target="media/image1.jpg"/><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16.png"/><Relationship Id="rId163" Type="http://schemas.openxmlformats.org/officeDocument/2006/relationships/image" Target="media/image136.png"/><Relationship Id="rId184" Type="http://schemas.openxmlformats.org/officeDocument/2006/relationships/image" Target="media/image157.png"/><Relationship Id="rId189" Type="http://schemas.openxmlformats.org/officeDocument/2006/relationships/image" Target="media/image162.png"/><Relationship Id="rId219" Type="http://schemas.openxmlformats.org/officeDocument/2006/relationships/image" Target="media/image192.png"/><Relationship Id="rId3" Type="http://schemas.openxmlformats.org/officeDocument/2006/relationships/styles" Target="styles.xml"/><Relationship Id="rId214" Type="http://schemas.openxmlformats.org/officeDocument/2006/relationships/image" Target="media/image187.png"/><Relationship Id="rId230" Type="http://schemas.openxmlformats.org/officeDocument/2006/relationships/image" Target="media/image203.png"/><Relationship Id="rId235" Type="http://schemas.openxmlformats.org/officeDocument/2006/relationships/image" Target="media/image208.png"/><Relationship Id="rId251" Type="http://schemas.openxmlformats.org/officeDocument/2006/relationships/image" Target="media/image223.png"/><Relationship Id="rId256" Type="http://schemas.openxmlformats.org/officeDocument/2006/relationships/image" Target="media/image228.png"/><Relationship Id="rId25" Type="http://schemas.openxmlformats.org/officeDocument/2006/relationships/footer" Target="footer4.xml"/><Relationship Id="rId46" Type="http://schemas.openxmlformats.org/officeDocument/2006/relationships/image" Target="media/image21.PNG"/><Relationship Id="rId67" Type="http://schemas.openxmlformats.org/officeDocument/2006/relationships/image" Target="media/image42.png"/><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31.png"/><Relationship Id="rId20" Type="http://schemas.openxmlformats.org/officeDocument/2006/relationships/image" Target="media/image3.png"/><Relationship Id="rId41" Type="http://schemas.openxmlformats.org/officeDocument/2006/relationships/image" Target="media/image16.png"/><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5.png"/><Relationship Id="rId132" Type="http://schemas.openxmlformats.org/officeDocument/2006/relationships/image" Target="media/image106.png"/><Relationship Id="rId153" Type="http://schemas.openxmlformats.org/officeDocument/2006/relationships/image" Target="media/image127.png"/><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8.png"/><Relationship Id="rId209" Type="http://schemas.openxmlformats.org/officeDocument/2006/relationships/image" Target="media/image182.png"/><Relationship Id="rId190" Type="http://schemas.openxmlformats.org/officeDocument/2006/relationships/image" Target="media/image163.png"/><Relationship Id="rId204" Type="http://schemas.openxmlformats.org/officeDocument/2006/relationships/image" Target="media/image177.png"/><Relationship Id="rId220" Type="http://schemas.openxmlformats.org/officeDocument/2006/relationships/image" Target="media/image193.png"/><Relationship Id="rId225" Type="http://schemas.openxmlformats.org/officeDocument/2006/relationships/image" Target="media/image198.png"/><Relationship Id="rId241" Type="http://schemas.openxmlformats.org/officeDocument/2006/relationships/image" Target="media/image214.png"/><Relationship Id="rId246" Type="http://schemas.openxmlformats.org/officeDocument/2006/relationships/image" Target="media/image219.png"/><Relationship Id="rId267" Type="http://schemas.openxmlformats.org/officeDocument/2006/relationships/image" Target="media/image239.png"/><Relationship Id="rId15" Type="http://schemas.openxmlformats.org/officeDocument/2006/relationships/hyperlink" Target="mailto:cancerplanning@dhhs.vic.gov.au" TargetMode="External"/><Relationship Id="rId36" Type="http://schemas.openxmlformats.org/officeDocument/2006/relationships/image" Target="media/image11.png"/><Relationship Id="rId57" Type="http://schemas.openxmlformats.org/officeDocument/2006/relationships/image" Target="media/image32.png"/><Relationship Id="rId106" Type="http://schemas.openxmlformats.org/officeDocument/2006/relationships/image" Target="media/image80.emf"/><Relationship Id="rId127" Type="http://schemas.openxmlformats.org/officeDocument/2006/relationships/image" Target="media/image101.png"/><Relationship Id="rId262" Type="http://schemas.openxmlformats.org/officeDocument/2006/relationships/image" Target="media/image234.png"/><Relationship Id="rId10" Type="http://schemas.openxmlformats.org/officeDocument/2006/relationships/header" Target="header2.xml"/><Relationship Id="rId31" Type="http://schemas.openxmlformats.org/officeDocument/2006/relationships/image" Target="media/image6.png"/><Relationship Id="rId52" Type="http://schemas.openxmlformats.org/officeDocument/2006/relationships/image" Target="media/image27.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7.png"/><Relationship Id="rId169" Type="http://schemas.openxmlformats.org/officeDocument/2006/relationships/image" Target="media/image142.png"/><Relationship Id="rId185" Type="http://schemas.openxmlformats.org/officeDocument/2006/relationships/image" Target="media/image158.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53.png"/><Relationship Id="rId210" Type="http://schemas.openxmlformats.org/officeDocument/2006/relationships/image" Target="media/image183.png"/><Relationship Id="rId215" Type="http://schemas.openxmlformats.org/officeDocument/2006/relationships/image" Target="media/image188.png"/><Relationship Id="rId236" Type="http://schemas.openxmlformats.org/officeDocument/2006/relationships/image" Target="media/image209.png"/><Relationship Id="rId257" Type="http://schemas.openxmlformats.org/officeDocument/2006/relationships/image" Target="media/image229.png"/><Relationship Id="rId26" Type="http://schemas.openxmlformats.org/officeDocument/2006/relationships/footer" Target="footer5.xml"/><Relationship Id="rId231" Type="http://schemas.openxmlformats.org/officeDocument/2006/relationships/image" Target="media/image204.png"/><Relationship Id="rId252" Type="http://schemas.openxmlformats.org/officeDocument/2006/relationships/image" Target="media/image224.png"/><Relationship Id="rId47" Type="http://schemas.openxmlformats.org/officeDocument/2006/relationships/image" Target="media/image22.png"/><Relationship Id="rId68" Type="http://schemas.openxmlformats.org/officeDocument/2006/relationships/image" Target="media/image43.png"/><Relationship Id="rId89" Type="http://schemas.openxmlformats.org/officeDocument/2006/relationships/image" Target="media/image64.png"/><Relationship Id="rId112" Type="http://schemas.openxmlformats.org/officeDocument/2006/relationships/image" Target="media/image86.png"/><Relationship Id="rId133" Type="http://schemas.openxmlformats.org/officeDocument/2006/relationships/image" Target="media/image107.png"/><Relationship Id="rId154" Type="http://schemas.openxmlformats.org/officeDocument/2006/relationships/image" Target="media/image128.png"/><Relationship Id="rId175" Type="http://schemas.openxmlformats.org/officeDocument/2006/relationships/image" Target="media/image148.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hyperlink" Target="https://commons.wikimedia.org/wiki/File:Nordpfeil.png" TargetMode="External"/><Relationship Id="rId221" Type="http://schemas.openxmlformats.org/officeDocument/2006/relationships/image" Target="media/image194.png"/><Relationship Id="rId242" Type="http://schemas.openxmlformats.org/officeDocument/2006/relationships/image" Target="media/image215.png"/><Relationship Id="rId263" Type="http://schemas.openxmlformats.org/officeDocument/2006/relationships/image" Target="media/image235.png"/><Relationship Id="rId37" Type="http://schemas.openxmlformats.org/officeDocument/2006/relationships/image" Target="media/image12.png"/><Relationship Id="rId58" Type="http://schemas.openxmlformats.org/officeDocument/2006/relationships/image" Target="media/image33.PNG"/><Relationship Id="rId79" Type="http://schemas.openxmlformats.org/officeDocument/2006/relationships/image" Target="media/image54.png"/><Relationship Id="rId102" Type="http://schemas.openxmlformats.org/officeDocument/2006/relationships/image" Target="media/image76.png"/><Relationship Id="rId123" Type="http://schemas.openxmlformats.org/officeDocument/2006/relationships/image" Target="media/image97.png"/><Relationship Id="rId144" Type="http://schemas.openxmlformats.org/officeDocument/2006/relationships/image" Target="media/image118.png"/><Relationship Id="rId90" Type="http://schemas.openxmlformats.org/officeDocument/2006/relationships/image" Target="media/image65.png"/><Relationship Id="rId165" Type="http://schemas.openxmlformats.org/officeDocument/2006/relationships/image" Target="media/image138.png"/><Relationship Id="rId186" Type="http://schemas.openxmlformats.org/officeDocument/2006/relationships/image" Target="media/image159.png"/><Relationship Id="rId211" Type="http://schemas.openxmlformats.org/officeDocument/2006/relationships/image" Target="media/image184.png"/><Relationship Id="rId232" Type="http://schemas.openxmlformats.org/officeDocument/2006/relationships/image" Target="media/image205.png"/><Relationship Id="rId253" Type="http://schemas.openxmlformats.org/officeDocument/2006/relationships/image" Target="media/image225.png"/><Relationship Id="rId27" Type="http://schemas.openxmlformats.org/officeDocument/2006/relationships/header" Target="header6.xml"/><Relationship Id="rId48" Type="http://schemas.openxmlformats.org/officeDocument/2006/relationships/image" Target="media/image23.png"/><Relationship Id="rId69" Type="http://schemas.openxmlformats.org/officeDocument/2006/relationships/image" Target="media/image44.PNG"/><Relationship Id="rId113" Type="http://schemas.openxmlformats.org/officeDocument/2006/relationships/image" Target="media/image87.png"/><Relationship Id="rId134" Type="http://schemas.openxmlformats.org/officeDocument/2006/relationships/image" Target="media/image108.png"/><Relationship Id="rId80" Type="http://schemas.openxmlformats.org/officeDocument/2006/relationships/image" Target="media/image55.png"/><Relationship Id="rId155" Type="http://schemas.openxmlformats.org/officeDocument/2006/relationships/image" Target="media/image129.png"/><Relationship Id="rId176" Type="http://schemas.openxmlformats.org/officeDocument/2006/relationships/image" Target="media/image149.pn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image" Target="media/image195.png"/><Relationship Id="rId243" Type="http://schemas.openxmlformats.org/officeDocument/2006/relationships/image" Target="media/image216.png"/><Relationship Id="rId264" Type="http://schemas.openxmlformats.org/officeDocument/2006/relationships/image" Target="media/image236.png"/><Relationship Id="rId17" Type="http://schemas.openxmlformats.org/officeDocument/2006/relationships/image" Target="media/image2.jpeg"/><Relationship Id="rId38" Type="http://schemas.openxmlformats.org/officeDocument/2006/relationships/image" Target="media/image13.png"/><Relationship Id="rId59" Type="http://schemas.openxmlformats.org/officeDocument/2006/relationships/image" Target="media/image34.png"/><Relationship Id="rId103" Type="http://schemas.openxmlformats.org/officeDocument/2006/relationships/image" Target="media/image77.png"/><Relationship Id="rId124" Type="http://schemas.openxmlformats.org/officeDocument/2006/relationships/image" Target="media/image98.png"/><Relationship Id="rId70" Type="http://schemas.openxmlformats.org/officeDocument/2006/relationships/image" Target="media/image45.png"/><Relationship Id="rId91" Type="http://schemas.openxmlformats.org/officeDocument/2006/relationships/image" Target="media/image66.png"/><Relationship Id="rId145" Type="http://schemas.openxmlformats.org/officeDocument/2006/relationships/image" Target="media/image119.png"/><Relationship Id="rId166" Type="http://schemas.openxmlformats.org/officeDocument/2006/relationships/image" Target="media/image139.png"/><Relationship Id="rId187" Type="http://schemas.openxmlformats.org/officeDocument/2006/relationships/image" Target="media/image160.pn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6.png"/><Relationship Id="rId254" Type="http://schemas.openxmlformats.org/officeDocument/2006/relationships/image" Target="media/image226.png"/></Relationships>
</file>

<file path=word/_rels/footnotes.xml.rels><?xml version="1.0" encoding="UTF-8" standalone="yes"?>
<Relationships xmlns="http://schemas.openxmlformats.org/package/2006/relationships"><Relationship Id="rId1" Type="http://schemas.openxmlformats.org/officeDocument/2006/relationships/hyperlink" Target="https://www.aihw.gov.au/reports/cancer/cancer-data-in-australia/acim-book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Baseline%20report\Outcomes\4.%20Detect%20cancers%20early\Copy%20of%20OutputTables2019-02-08_Measures%2012.4%20and%2012.5.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G:\Baseline%20report\Draft%20Baseline%20Report\Copy%20of%20survival%20rate%20analysis%202013%20data_Sep2015.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79070741030053"/>
          <c:y val="5.0925925925925923E-2"/>
          <c:w val="0.80771201216470467"/>
          <c:h val="0.60034357086304091"/>
        </c:manualLayout>
      </c:layout>
      <c:barChart>
        <c:barDir val="col"/>
        <c:grouping val="clustered"/>
        <c:varyColors val="0"/>
        <c:ser>
          <c:idx val="0"/>
          <c:order val="0"/>
          <c:tx>
            <c:strRef>
              <c:f>'CRC graphs'!$B$5</c:f>
              <c:strCache>
                <c:ptCount val="1"/>
                <c:pt idx="0">
                  <c:v>Female</c:v>
                </c:pt>
              </c:strCache>
            </c:strRef>
          </c:tx>
          <c:spPr>
            <a:solidFill>
              <a:schemeClr val="accent1"/>
            </a:solidFill>
            <a:ln>
              <a:noFill/>
            </a:ln>
            <a:effectLst/>
          </c:spPr>
          <c:invertIfNegative val="0"/>
          <c:cat>
            <c:multiLvlStrRef>
              <c:f>'CRC graphs'!$C$3:$K$4</c:f>
              <c:multiLvlStrCache>
                <c:ptCount val="9"/>
                <c:lvl>
                  <c:pt idx="0">
                    <c:v>All</c:v>
                  </c:pt>
                  <c:pt idx="1">
                    <c:v>Surgery First</c:v>
                  </c:pt>
                  <c:pt idx="2">
                    <c:v>Chemo First</c:v>
                  </c:pt>
                  <c:pt idx="3">
                    <c:v>All</c:v>
                  </c:pt>
                  <c:pt idx="4">
                    <c:v>Surgery First</c:v>
                  </c:pt>
                  <c:pt idx="5">
                    <c:v>Chemo First</c:v>
                  </c:pt>
                  <c:pt idx="6">
                    <c:v>All</c:v>
                  </c:pt>
                  <c:pt idx="7">
                    <c:v>Surgery First</c:v>
                  </c:pt>
                  <c:pt idx="8">
                    <c:v>Chemo First</c:v>
                  </c:pt>
                </c:lvl>
                <c:lvl>
                  <c:pt idx="0">
                    <c:v>2014</c:v>
                  </c:pt>
                  <c:pt idx="3">
                    <c:v>2015</c:v>
                  </c:pt>
                  <c:pt idx="6">
                    <c:v>2016</c:v>
                  </c:pt>
                </c:lvl>
              </c:multiLvlStrCache>
            </c:multiLvlStrRef>
          </c:cat>
          <c:val>
            <c:numRef>
              <c:f>'CRC graphs'!$C$5:$K$5</c:f>
              <c:numCache>
                <c:formatCode>General</c:formatCode>
                <c:ptCount val="9"/>
                <c:pt idx="0">
                  <c:v>54.9</c:v>
                </c:pt>
                <c:pt idx="1">
                  <c:v>66.900000000000006</c:v>
                </c:pt>
                <c:pt idx="2">
                  <c:v>28.7</c:v>
                </c:pt>
                <c:pt idx="3">
                  <c:v>59.7</c:v>
                </c:pt>
                <c:pt idx="4">
                  <c:v>71.3</c:v>
                </c:pt>
                <c:pt idx="5">
                  <c:v>34.299999999999997</c:v>
                </c:pt>
                <c:pt idx="6">
                  <c:v>56.7</c:v>
                </c:pt>
                <c:pt idx="7">
                  <c:v>71.7</c:v>
                </c:pt>
                <c:pt idx="8">
                  <c:v>25</c:v>
                </c:pt>
              </c:numCache>
            </c:numRef>
          </c:val>
          <c:extLst>
            <c:ext xmlns:c16="http://schemas.microsoft.com/office/drawing/2014/chart" uri="{C3380CC4-5D6E-409C-BE32-E72D297353CC}">
              <c16:uniqueId val="{00000000-4531-4D2B-8D21-4698A07BEA34}"/>
            </c:ext>
          </c:extLst>
        </c:ser>
        <c:ser>
          <c:idx val="1"/>
          <c:order val="1"/>
          <c:tx>
            <c:strRef>
              <c:f>'CRC graphs'!$B$6</c:f>
              <c:strCache>
                <c:ptCount val="1"/>
                <c:pt idx="0">
                  <c:v>Male</c:v>
                </c:pt>
              </c:strCache>
            </c:strRef>
          </c:tx>
          <c:spPr>
            <a:solidFill>
              <a:schemeClr val="accent2"/>
            </a:solidFill>
            <a:ln>
              <a:noFill/>
            </a:ln>
            <a:effectLst/>
          </c:spPr>
          <c:invertIfNegative val="0"/>
          <c:cat>
            <c:multiLvlStrRef>
              <c:f>'CRC graphs'!$C$3:$K$4</c:f>
              <c:multiLvlStrCache>
                <c:ptCount val="9"/>
                <c:lvl>
                  <c:pt idx="0">
                    <c:v>All</c:v>
                  </c:pt>
                  <c:pt idx="1">
                    <c:v>Surgery First</c:v>
                  </c:pt>
                  <c:pt idx="2">
                    <c:v>Chemo First</c:v>
                  </c:pt>
                  <c:pt idx="3">
                    <c:v>All</c:v>
                  </c:pt>
                  <c:pt idx="4">
                    <c:v>Surgery First</c:v>
                  </c:pt>
                  <c:pt idx="5">
                    <c:v>Chemo First</c:v>
                  </c:pt>
                  <c:pt idx="6">
                    <c:v>All</c:v>
                  </c:pt>
                  <c:pt idx="7">
                    <c:v>Surgery First</c:v>
                  </c:pt>
                  <c:pt idx="8">
                    <c:v>Chemo First</c:v>
                  </c:pt>
                </c:lvl>
                <c:lvl>
                  <c:pt idx="0">
                    <c:v>2014</c:v>
                  </c:pt>
                  <c:pt idx="3">
                    <c:v>2015</c:v>
                  </c:pt>
                  <c:pt idx="6">
                    <c:v>2016</c:v>
                  </c:pt>
                </c:lvl>
              </c:multiLvlStrCache>
            </c:multiLvlStrRef>
          </c:cat>
          <c:val>
            <c:numRef>
              <c:f>'CRC graphs'!$C$6:$K$6</c:f>
              <c:numCache>
                <c:formatCode>General</c:formatCode>
                <c:ptCount val="9"/>
                <c:pt idx="0">
                  <c:v>51.2</c:v>
                </c:pt>
                <c:pt idx="1">
                  <c:v>70.2</c:v>
                </c:pt>
                <c:pt idx="2">
                  <c:v>22.6</c:v>
                </c:pt>
                <c:pt idx="3">
                  <c:v>52.3</c:v>
                </c:pt>
                <c:pt idx="4">
                  <c:v>72.2</c:v>
                </c:pt>
                <c:pt idx="5">
                  <c:v>25.2</c:v>
                </c:pt>
                <c:pt idx="6">
                  <c:v>52.6</c:v>
                </c:pt>
                <c:pt idx="7">
                  <c:v>69.8</c:v>
                </c:pt>
                <c:pt idx="8">
                  <c:v>25.3</c:v>
                </c:pt>
              </c:numCache>
            </c:numRef>
          </c:val>
          <c:extLst>
            <c:ext xmlns:c16="http://schemas.microsoft.com/office/drawing/2014/chart" uri="{C3380CC4-5D6E-409C-BE32-E72D297353CC}">
              <c16:uniqueId val="{00000001-4531-4D2B-8D21-4698A07BEA34}"/>
            </c:ext>
          </c:extLst>
        </c:ser>
        <c:dLbls>
          <c:showLegendKey val="0"/>
          <c:showVal val="0"/>
          <c:showCatName val="0"/>
          <c:showSerName val="0"/>
          <c:showPercent val="0"/>
          <c:showBubbleSize val="0"/>
        </c:dLbls>
        <c:gapWidth val="219"/>
        <c:overlap val="-27"/>
        <c:axId val="594828768"/>
        <c:axId val="594829424"/>
      </c:barChart>
      <c:catAx>
        <c:axId val="5948287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94829424"/>
        <c:crosses val="autoZero"/>
        <c:auto val="1"/>
        <c:lblAlgn val="ctr"/>
        <c:lblOffset val="100"/>
        <c:noMultiLvlLbl val="0"/>
      </c:catAx>
      <c:valAx>
        <c:axId val="594829424"/>
        <c:scaling>
          <c:orientation val="minMax"/>
          <c:max val="90"/>
        </c:scaling>
        <c:delete val="0"/>
        <c:axPos val="l"/>
        <c:majorGridlines>
          <c:spPr>
            <a:ln w="6350" cap="flat" cmpd="sng" algn="ctr">
              <a:solidFill>
                <a:schemeClr val="bg1">
                  <a:lumMod val="6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94828768"/>
        <c:crosses val="autoZero"/>
        <c:crossBetween val="between"/>
      </c:valAx>
      <c:spPr>
        <a:noFill/>
        <a:ln>
          <a:noFill/>
        </a:ln>
        <a:effectLst/>
      </c:spPr>
    </c:plotArea>
    <c:legend>
      <c:legendPos val="b"/>
      <c:layout>
        <c:manualLayout>
          <c:xMode val="edge"/>
          <c:yMode val="edge"/>
          <c:x val="0.70561125876784248"/>
          <c:y val="5.7993190599140453E-2"/>
          <c:w val="0.27289663913961976"/>
          <c:h val="6.3619495479731697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en-AU" sz="1000" b="1">
                <a:solidFill>
                  <a:schemeClr val="tx1"/>
                </a:solidFill>
                <a:latin typeface="Arial" panose="020B0604020202020204" pitchFamily="34" charset="0"/>
                <a:cs typeface="Arial" panose="020B0604020202020204" pitchFamily="34" charset="0"/>
              </a:rPr>
              <a:t>Five-year</a:t>
            </a:r>
            <a:r>
              <a:rPr lang="en-AU" sz="1000" b="1" baseline="0">
                <a:solidFill>
                  <a:schemeClr val="tx1"/>
                </a:solidFill>
                <a:latin typeface="Arial" panose="020B0604020202020204" pitchFamily="34" charset="0"/>
                <a:cs typeface="Arial" panose="020B0604020202020204" pitchFamily="34" charset="0"/>
              </a:rPr>
              <a:t> relative survival (%)</a:t>
            </a:r>
            <a:endParaRPr lang="en-AU" sz="1000" b="1">
              <a:solidFill>
                <a:schemeClr val="tx1"/>
              </a:solidFill>
              <a:latin typeface="Arial" panose="020B0604020202020204" pitchFamily="34" charset="0"/>
              <a:cs typeface="Arial" panose="020B0604020202020204" pitchFamily="34" charset="0"/>
            </a:endParaRPr>
          </a:p>
        </c:rich>
      </c:tx>
      <c:layout>
        <c:manualLayout>
          <c:xMode val="edge"/>
          <c:yMode val="edge"/>
          <c:x val="2.6273225642795456E-4"/>
          <c:y val="3.8734378386187955E-3"/>
        </c:manualLayout>
      </c:layout>
      <c:overlay val="0"/>
      <c:spPr>
        <a:noFill/>
        <a:ln w="25400">
          <a:noFill/>
        </a:ln>
      </c:spPr>
    </c:title>
    <c:autoTitleDeleted val="0"/>
    <c:plotArea>
      <c:layout>
        <c:manualLayout>
          <c:layoutTarget val="inner"/>
          <c:xMode val="edge"/>
          <c:yMode val="edge"/>
          <c:x val="4.8941872381273593E-2"/>
          <c:y val="0.10401317945493034"/>
          <c:w val="0.92689557956820467"/>
          <c:h val="0.60002321848781293"/>
        </c:manualLayout>
      </c:layout>
      <c:barChart>
        <c:barDir val="col"/>
        <c:grouping val="clustered"/>
        <c:varyColors val="0"/>
        <c:ser>
          <c:idx val="0"/>
          <c:order val="0"/>
          <c:spPr>
            <a:solidFill>
              <a:srgbClr val="969696"/>
            </a:solidFill>
            <a:ln>
              <a:noFill/>
            </a:ln>
            <a:effectLst/>
          </c:spPr>
          <c:invertIfNegative val="0"/>
          <c:errBars>
            <c:errBarType val="both"/>
            <c:errValType val="cust"/>
            <c:noEndCap val="0"/>
            <c:plus>
              <c:numRef>
                <c:f>Brain!$E$13:$E$20</c:f>
                <c:numCache>
                  <c:formatCode>General</c:formatCode>
                  <c:ptCount val="8"/>
                  <c:pt idx="0">
                    <c:v>8</c:v>
                  </c:pt>
                  <c:pt idx="1">
                    <c:v>7.6</c:v>
                  </c:pt>
                  <c:pt idx="2">
                    <c:v>10.199999999999999</c:v>
                  </c:pt>
                  <c:pt idx="3">
                    <c:v>13.2</c:v>
                  </c:pt>
                  <c:pt idx="4">
                    <c:v>16.2</c:v>
                  </c:pt>
                  <c:pt idx="5">
                    <c:v>19.8</c:v>
                  </c:pt>
                  <c:pt idx="6">
                    <c:v>14.5</c:v>
                  </c:pt>
                  <c:pt idx="7">
                    <c:v>16</c:v>
                  </c:pt>
                </c:numCache>
              </c:numRef>
            </c:plus>
            <c:minus>
              <c:numRef>
                <c:f>Brain!$F$13:$F$20</c:f>
                <c:numCache>
                  <c:formatCode>General</c:formatCode>
                  <c:ptCount val="8"/>
                  <c:pt idx="0">
                    <c:v>8</c:v>
                  </c:pt>
                  <c:pt idx="1">
                    <c:v>7.6</c:v>
                  </c:pt>
                  <c:pt idx="2">
                    <c:v>10.199999999999999</c:v>
                  </c:pt>
                  <c:pt idx="3">
                    <c:v>13.2</c:v>
                  </c:pt>
                  <c:pt idx="4">
                    <c:v>16.2</c:v>
                  </c:pt>
                  <c:pt idx="5">
                    <c:v>19.8</c:v>
                  </c:pt>
                  <c:pt idx="6">
                    <c:v>14.5</c:v>
                  </c:pt>
                  <c:pt idx="7">
                    <c:v>16</c:v>
                  </c:pt>
                </c:numCache>
              </c:numRef>
            </c:minus>
            <c:spPr>
              <a:noFill/>
              <a:ln w="15875" cap="flat" cmpd="sng" algn="ctr">
                <a:solidFill>
                  <a:schemeClr val="tx1"/>
                </a:solidFill>
                <a:round/>
              </a:ln>
              <a:effectLst/>
            </c:spPr>
          </c:errBars>
          <c:cat>
            <c:strRef>
              <c:f>Brain!$A$13:$A$20</c:f>
              <c:strCache>
                <c:ptCount val="8"/>
                <c:pt idx="0">
                  <c:v>NEMICS</c:v>
                </c:pt>
                <c:pt idx="1">
                  <c:v>SMICS</c:v>
                </c:pt>
                <c:pt idx="2">
                  <c:v>WCMICS</c:v>
                </c:pt>
                <c:pt idx="3">
                  <c:v>BSWRICS</c:v>
                </c:pt>
                <c:pt idx="4">
                  <c:v>GRICS</c:v>
                </c:pt>
                <c:pt idx="5">
                  <c:v>HRICS</c:v>
                </c:pt>
                <c:pt idx="6">
                  <c:v>LMICS</c:v>
                </c:pt>
                <c:pt idx="7">
                  <c:v>GICS</c:v>
                </c:pt>
              </c:strCache>
            </c:strRef>
          </c:cat>
          <c:val>
            <c:numRef>
              <c:f>Brain!$B$13:$B$20</c:f>
              <c:numCache>
                <c:formatCode>General</c:formatCode>
                <c:ptCount val="8"/>
                <c:pt idx="0">
                  <c:v>23.9</c:v>
                </c:pt>
                <c:pt idx="1">
                  <c:v>23.4</c:v>
                </c:pt>
                <c:pt idx="2">
                  <c:v>32.799999999999997</c:v>
                </c:pt>
                <c:pt idx="3">
                  <c:v>17.8</c:v>
                </c:pt>
                <c:pt idx="4">
                  <c:v>17.8</c:v>
                </c:pt>
                <c:pt idx="5">
                  <c:v>31.1</c:v>
                </c:pt>
                <c:pt idx="6">
                  <c:v>21.5</c:v>
                </c:pt>
                <c:pt idx="7">
                  <c:v>21.8</c:v>
                </c:pt>
              </c:numCache>
            </c:numRef>
          </c:val>
          <c:extLst>
            <c:ext xmlns:c16="http://schemas.microsoft.com/office/drawing/2014/chart" uri="{C3380CC4-5D6E-409C-BE32-E72D297353CC}">
              <c16:uniqueId val="{00000000-4557-4A6E-8949-E23FE735ECB1}"/>
            </c:ext>
          </c:extLst>
        </c:ser>
        <c:dLbls>
          <c:showLegendKey val="0"/>
          <c:showVal val="0"/>
          <c:showCatName val="0"/>
          <c:showSerName val="0"/>
          <c:showPercent val="0"/>
          <c:showBubbleSize val="0"/>
        </c:dLbls>
        <c:gapWidth val="219"/>
        <c:overlap val="-27"/>
        <c:axId val="444385008"/>
        <c:axId val="444388928"/>
      </c:barChart>
      <c:catAx>
        <c:axId val="4443850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44388928"/>
        <c:crosses val="autoZero"/>
        <c:auto val="1"/>
        <c:lblAlgn val="ctr"/>
        <c:lblOffset val="100"/>
        <c:noMultiLvlLbl val="0"/>
      </c:catAx>
      <c:valAx>
        <c:axId val="444388928"/>
        <c:scaling>
          <c:orientation val="minMax"/>
        </c:scaling>
        <c:delete val="0"/>
        <c:axPos val="l"/>
        <c:majorGridlines>
          <c:spPr>
            <a:ln w="6350">
              <a:solidFill>
                <a:schemeClr val="bg1">
                  <a:lumMod val="50000"/>
                </a:schemeClr>
              </a:solidFill>
            </a:ln>
          </c:spPr>
        </c:majorGridlines>
        <c:numFmt formatCode="General" sourceLinked="1"/>
        <c:majorTickMark val="out"/>
        <c:minorTickMark val="none"/>
        <c:tickLblPos val="nextTo"/>
        <c:spPr>
          <a:noFill/>
          <a:ln w="9525">
            <a:solidFill>
              <a:schemeClr val="tx1"/>
            </a:solid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44385008"/>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0.01664</cdr:x>
      <cdr:y>0.04951</cdr:y>
    </cdr:from>
    <cdr:to>
      <cdr:x>0.08675</cdr:x>
      <cdr:y>0.65597</cdr:y>
    </cdr:to>
    <cdr:sp macro="" textlink="">
      <cdr:nvSpPr>
        <cdr:cNvPr id="3" name="TextBox 1"/>
        <cdr:cNvSpPr txBox="1"/>
      </cdr:nvSpPr>
      <cdr:spPr>
        <a:xfrm xmlns:a="http://schemas.openxmlformats.org/drawingml/2006/main" rot="16200000">
          <a:off x="-572281" y="743894"/>
          <a:ext cx="1466850" cy="21854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AU" sz="900" b="1">
              <a:latin typeface="Arial" panose="020B0604020202020204" pitchFamily="34" charset="0"/>
              <a:cs typeface="Arial" panose="020B0604020202020204" pitchFamily="34" charset="0"/>
            </a:rPr>
            <a:t>Proportion (%)</a:t>
          </a:r>
        </a:p>
      </cdr:txBody>
    </cdr:sp>
  </cdr:relSizeAnchor>
</c:userShapes>
</file>

<file path=word/drawings/drawing2.xml><?xml version="1.0" encoding="utf-8"?>
<c:userShapes xmlns:c="http://schemas.openxmlformats.org/drawingml/2006/chart">
  <cdr:relSizeAnchor xmlns:cdr="http://schemas.openxmlformats.org/drawingml/2006/chartDrawing">
    <cdr:from>
      <cdr:x>0.13274</cdr:x>
      <cdr:y>0.90553</cdr:y>
    </cdr:from>
    <cdr:to>
      <cdr:x>0.96206</cdr:x>
      <cdr:y>0.99634</cdr:y>
    </cdr:to>
    <cdr:sp macro="" textlink="">
      <cdr:nvSpPr>
        <cdr:cNvPr id="2" name="Text Box 2"/>
        <cdr:cNvSpPr txBox="1">
          <a:spLocks xmlns:a="http://schemas.openxmlformats.org/drawingml/2006/main" noChangeArrowheads="1"/>
        </cdr:cNvSpPr>
      </cdr:nvSpPr>
      <cdr:spPr bwMode="auto">
        <a:xfrm xmlns:a="http://schemas.openxmlformats.org/drawingml/2006/main">
          <a:off x="417306" y="2457036"/>
          <a:ext cx="2607310" cy="246380"/>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ctr">
            <a:spcAft>
              <a:spcPts val="0"/>
            </a:spcAft>
          </a:pPr>
          <a:r>
            <a:rPr lang="en-AU" sz="1000" b="1">
              <a:effectLst/>
              <a:latin typeface="Arial" panose="020B0604020202020204" pitchFamily="34" charset="0"/>
              <a:ea typeface="Times New Roman" panose="02020603050405020304" pitchFamily="18" charset="0"/>
            </a:rPr>
            <a:t>Integrated Cancer Service</a:t>
          </a:r>
          <a:endParaRPr lang="en-AU" sz="1000">
            <a:effectLst/>
            <a:latin typeface="Times New Roman" panose="02020603050405020304" pitchFamily="18" charset="0"/>
            <a:ea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DHHS cancer framework">
      <a:dk1>
        <a:srgbClr val="000000"/>
      </a:dk1>
      <a:lt1>
        <a:sysClr val="window" lastClr="FFFFFF"/>
      </a:lt1>
      <a:dk2>
        <a:srgbClr val="53565A"/>
      </a:dk2>
      <a:lt2>
        <a:srgbClr val="DDDDDD"/>
      </a:lt2>
      <a:accent1>
        <a:srgbClr val="AF272F"/>
      </a:accent1>
      <a:accent2>
        <a:srgbClr val="00828D"/>
      </a:accent2>
      <a:accent3>
        <a:srgbClr val="D4481C"/>
      </a:accent3>
      <a:accent4>
        <a:srgbClr val="008B20"/>
      </a:accent4>
      <a:accent5>
        <a:srgbClr val="8C28A0"/>
      </a:accent5>
      <a:accent6>
        <a:srgbClr val="0072CE"/>
      </a:accent6>
      <a:hlink>
        <a:srgbClr val="0072CE"/>
      </a:hlink>
      <a:folHlink>
        <a:srgbClr val="87189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662E57-46EC-4493-94C6-C4946D4699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240</Pages>
  <Words>47065</Words>
  <Characters>268276</Characters>
  <Application>Microsoft Office Word</Application>
  <DocSecurity>0</DocSecurity>
  <Lines>2235</Lines>
  <Paragraphs>629</Paragraphs>
  <ScaleCrop>false</ScaleCrop>
  <HeadingPairs>
    <vt:vector size="2" baseType="variant">
      <vt:variant>
        <vt:lpstr>Title</vt:lpstr>
      </vt:variant>
      <vt:variant>
        <vt:i4>1</vt:i4>
      </vt:variant>
    </vt:vector>
  </HeadingPairs>
  <TitlesOfParts>
    <vt:vector size="1" baseType="lpstr">
      <vt:lpstr>Victorian cancer plan monitoring and evaluation framework: baseline report</vt:lpstr>
    </vt:vector>
  </TitlesOfParts>
  <Company>Department of Health and Human Services</Company>
  <LinksUpToDate>false</LinksUpToDate>
  <CharactersWithSpaces>314712</CharactersWithSpaces>
  <SharedDoc>false</SharedDoc>
  <HyperlinkBase/>
  <HLinks>
    <vt:vector size="252" baseType="variant">
      <vt:variant>
        <vt:i4>2359376</vt:i4>
      </vt:variant>
      <vt:variant>
        <vt:i4>216</vt:i4>
      </vt:variant>
      <vt:variant>
        <vt:i4>0</vt:i4>
      </vt:variant>
      <vt:variant>
        <vt:i4>5</vt:i4>
      </vt:variant>
      <vt:variant>
        <vt:lpwstr>mailto:Suzanne.hasthorpe@health.vic.gov.au</vt:lpwstr>
      </vt:variant>
      <vt:variant>
        <vt:lpwstr/>
      </vt:variant>
      <vt:variant>
        <vt:i4>4587590</vt:i4>
      </vt:variant>
      <vt:variant>
        <vt:i4>213</vt:i4>
      </vt:variant>
      <vt:variant>
        <vt:i4>0</vt:i4>
      </vt:variant>
      <vt:variant>
        <vt:i4>5</vt:i4>
      </vt:variant>
      <vt:variant>
        <vt:lpwstr>mailto:chelsea.brown2@mh.org.au%3cmailto:chelsea.brown2@mh.org.au</vt:lpwstr>
      </vt:variant>
      <vt:variant>
        <vt:lpwstr/>
      </vt:variant>
      <vt:variant>
        <vt:i4>80</vt:i4>
      </vt:variant>
      <vt:variant>
        <vt:i4>210</vt:i4>
      </vt:variant>
      <vt:variant>
        <vt:i4>0</vt:i4>
      </vt:variant>
      <vt:variant>
        <vt:i4>5</vt:i4>
      </vt:variant>
      <vt:variant>
        <vt:lpwstr>https://www.tobaccoinaustralia.org.au/chapter-1-prevalence/1-6-prevalence-of-smoking-teenagers</vt:lpwstr>
      </vt:variant>
      <vt:variant>
        <vt:lpwstr>x3.</vt:lpwstr>
      </vt:variant>
      <vt:variant>
        <vt:i4>1048636</vt:i4>
      </vt:variant>
      <vt:variant>
        <vt:i4>203</vt:i4>
      </vt:variant>
      <vt:variant>
        <vt:i4>0</vt:i4>
      </vt:variant>
      <vt:variant>
        <vt:i4>5</vt:i4>
      </vt:variant>
      <vt:variant>
        <vt:lpwstr/>
      </vt:variant>
      <vt:variant>
        <vt:lpwstr>_Toc536478885</vt:lpwstr>
      </vt:variant>
      <vt:variant>
        <vt:i4>1048636</vt:i4>
      </vt:variant>
      <vt:variant>
        <vt:i4>197</vt:i4>
      </vt:variant>
      <vt:variant>
        <vt:i4>0</vt:i4>
      </vt:variant>
      <vt:variant>
        <vt:i4>5</vt:i4>
      </vt:variant>
      <vt:variant>
        <vt:lpwstr/>
      </vt:variant>
      <vt:variant>
        <vt:lpwstr>_Toc536478884</vt:lpwstr>
      </vt:variant>
      <vt:variant>
        <vt:i4>1048636</vt:i4>
      </vt:variant>
      <vt:variant>
        <vt:i4>191</vt:i4>
      </vt:variant>
      <vt:variant>
        <vt:i4>0</vt:i4>
      </vt:variant>
      <vt:variant>
        <vt:i4>5</vt:i4>
      </vt:variant>
      <vt:variant>
        <vt:lpwstr/>
      </vt:variant>
      <vt:variant>
        <vt:lpwstr>_Toc536478883</vt:lpwstr>
      </vt:variant>
      <vt:variant>
        <vt:i4>1048636</vt:i4>
      </vt:variant>
      <vt:variant>
        <vt:i4>185</vt:i4>
      </vt:variant>
      <vt:variant>
        <vt:i4>0</vt:i4>
      </vt:variant>
      <vt:variant>
        <vt:i4>5</vt:i4>
      </vt:variant>
      <vt:variant>
        <vt:lpwstr/>
      </vt:variant>
      <vt:variant>
        <vt:lpwstr>_Toc536478882</vt:lpwstr>
      </vt:variant>
      <vt:variant>
        <vt:i4>1048636</vt:i4>
      </vt:variant>
      <vt:variant>
        <vt:i4>179</vt:i4>
      </vt:variant>
      <vt:variant>
        <vt:i4>0</vt:i4>
      </vt:variant>
      <vt:variant>
        <vt:i4>5</vt:i4>
      </vt:variant>
      <vt:variant>
        <vt:lpwstr/>
      </vt:variant>
      <vt:variant>
        <vt:lpwstr>_Toc536478881</vt:lpwstr>
      </vt:variant>
      <vt:variant>
        <vt:i4>1048636</vt:i4>
      </vt:variant>
      <vt:variant>
        <vt:i4>173</vt:i4>
      </vt:variant>
      <vt:variant>
        <vt:i4>0</vt:i4>
      </vt:variant>
      <vt:variant>
        <vt:i4>5</vt:i4>
      </vt:variant>
      <vt:variant>
        <vt:lpwstr/>
      </vt:variant>
      <vt:variant>
        <vt:lpwstr>_Toc536478880</vt:lpwstr>
      </vt:variant>
      <vt:variant>
        <vt:i4>2031676</vt:i4>
      </vt:variant>
      <vt:variant>
        <vt:i4>167</vt:i4>
      </vt:variant>
      <vt:variant>
        <vt:i4>0</vt:i4>
      </vt:variant>
      <vt:variant>
        <vt:i4>5</vt:i4>
      </vt:variant>
      <vt:variant>
        <vt:lpwstr/>
      </vt:variant>
      <vt:variant>
        <vt:lpwstr>_Toc536478879</vt:lpwstr>
      </vt:variant>
      <vt:variant>
        <vt:i4>2031676</vt:i4>
      </vt:variant>
      <vt:variant>
        <vt:i4>161</vt:i4>
      </vt:variant>
      <vt:variant>
        <vt:i4>0</vt:i4>
      </vt:variant>
      <vt:variant>
        <vt:i4>5</vt:i4>
      </vt:variant>
      <vt:variant>
        <vt:lpwstr/>
      </vt:variant>
      <vt:variant>
        <vt:lpwstr>_Toc536478878</vt:lpwstr>
      </vt:variant>
      <vt:variant>
        <vt:i4>2031676</vt:i4>
      </vt:variant>
      <vt:variant>
        <vt:i4>155</vt:i4>
      </vt:variant>
      <vt:variant>
        <vt:i4>0</vt:i4>
      </vt:variant>
      <vt:variant>
        <vt:i4>5</vt:i4>
      </vt:variant>
      <vt:variant>
        <vt:lpwstr/>
      </vt:variant>
      <vt:variant>
        <vt:lpwstr>_Toc536478877</vt:lpwstr>
      </vt:variant>
      <vt:variant>
        <vt:i4>2031676</vt:i4>
      </vt:variant>
      <vt:variant>
        <vt:i4>149</vt:i4>
      </vt:variant>
      <vt:variant>
        <vt:i4>0</vt:i4>
      </vt:variant>
      <vt:variant>
        <vt:i4>5</vt:i4>
      </vt:variant>
      <vt:variant>
        <vt:lpwstr/>
      </vt:variant>
      <vt:variant>
        <vt:lpwstr>_Toc536478876</vt:lpwstr>
      </vt:variant>
      <vt:variant>
        <vt:i4>2031676</vt:i4>
      </vt:variant>
      <vt:variant>
        <vt:i4>143</vt:i4>
      </vt:variant>
      <vt:variant>
        <vt:i4>0</vt:i4>
      </vt:variant>
      <vt:variant>
        <vt:i4>5</vt:i4>
      </vt:variant>
      <vt:variant>
        <vt:lpwstr/>
      </vt:variant>
      <vt:variant>
        <vt:lpwstr>_Toc536478875</vt:lpwstr>
      </vt:variant>
      <vt:variant>
        <vt:i4>2031676</vt:i4>
      </vt:variant>
      <vt:variant>
        <vt:i4>137</vt:i4>
      </vt:variant>
      <vt:variant>
        <vt:i4>0</vt:i4>
      </vt:variant>
      <vt:variant>
        <vt:i4>5</vt:i4>
      </vt:variant>
      <vt:variant>
        <vt:lpwstr/>
      </vt:variant>
      <vt:variant>
        <vt:lpwstr>_Toc536478874</vt:lpwstr>
      </vt:variant>
      <vt:variant>
        <vt:i4>2031676</vt:i4>
      </vt:variant>
      <vt:variant>
        <vt:i4>131</vt:i4>
      </vt:variant>
      <vt:variant>
        <vt:i4>0</vt:i4>
      </vt:variant>
      <vt:variant>
        <vt:i4>5</vt:i4>
      </vt:variant>
      <vt:variant>
        <vt:lpwstr/>
      </vt:variant>
      <vt:variant>
        <vt:lpwstr>_Toc536478873</vt:lpwstr>
      </vt:variant>
      <vt:variant>
        <vt:i4>2031676</vt:i4>
      </vt:variant>
      <vt:variant>
        <vt:i4>125</vt:i4>
      </vt:variant>
      <vt:variant>
        <vt:i4>0</vt:i4>
      </vt:variant>
      <vt:variant>
        <vt:i4>5</vt:i4>
      </vt:variant>
      <vt:variant>
        <vt:lpwstr/>
      </vt:variant>
      <vt:variant>
        <vt:lpwstr>_Toc536478872</vt:lpwstr>
      </vt:variant>
      <vt:variant>
        <vt:i4>2031676</vt:i4>
      </vt:variant>
      <vt:variant>
        <vt:i4>119</vt:i4>
      </vt:variant>
      <vt:variant>
        <vt:i4>0</vt:i4>
      </vt:variant>
      <vt:variant>
        <vt:i4>5</vt:i4>
      </vt:variant>
      <vt:variant>
        <vt:lpwstr/>
      </vt:variant>
      <vt:variant>
        <vt:lpwstr>_Toc536478871</vt:lpwstr>
      </vt:variant>
      <vt:variant>
        <vt:i4>2031676</vt:i4>
      </vt:variant>
      <vt:variant>
        <vt:i4>113</vt:i4>
      </vt:variant>
      <vt:variant>
        <vt:i4>0</vt:i4>
      </vt:variant>
      <vt:variant>
        <vt:i4>5</vt:i4>
      </vt:variant>
      <vt:variant>
        <vt:lpwstr/>
      </vt:variant>
      <vt:variant>
        <vt:lpwstr>_Toc536478870</vt:lpwstr>
      </vt:variant>
      <vt:variant>
        <vt:i4>1966140</vt:i4>
      </vt:variant>
      <vt:variant>
        <vt:i4>107</vt:i4>
      </vt:variant>
      <vt:variant>
        <vt:i4>0</vt:i4>
      </vt:variant>
      <vt:variant>
        <vt:i4>5</vt:i4>
      </vt:variant>
      <vt:variant>
        <vt:lpwstr/>
      </vt:variant>
      <vt:variant>
        <vt:lpwstr>_Toc536478869</vt:lpwstr>
      </vt:variant>
      <vt:variant>
        <vt:i4>1966140</vt:i4>
      </vt:variant>
      <vt:variant>
        <vt:i4>101</vt:i4>
      </vt:variant>
      <vt:variant>
        <vt:i4>0</vt:i4>
      </vt:variant>
      <vt:variant>
        <vt:i4>5</vt:i4>
      </vt:variant>
      <vt:variant>
        <vt:lpwstr/>
      </vt:variant>
      <vt:variant>
        <vt:lpwstr>_Toc536478868</vt:lpwstr>
      </vt:variant>
      <vt:variant>
        <vt:i4>1966140</vt:i4>
      </vt:variant>
      <vt:variant>
        <vt:i4>95</vt:i4>
      </vt:variant>
      <vt:variant>
        <vt:i4>0</vt:i4>
      </vt:variant>
      <vt:variant>
        <vt:i4>5</vt:i4>
      </vt:variant>
      <vt:variant>
        <vt:lpwstr/>
      </vt:variant>
      <vt:variant>
        <vt:lpwstr>_Toc536478867</vt:lpwstr>
      </vt:variant>
      <vt:variant>
        <vt:i4>1966140</vt:i4>
      </vt:variant>
      <vt:variant>
        <vt:i4>89</vt:i4>
      </vt:variant>
      <vt:variant>
        <vt:i4>0</vt:i4>
      </vt:variant>
      <vt:variant>
        <vt:i4>5</vt:i4>
      </vt:variant>
      <vt:variant>
        <vt:lpwstr/>
      </vt:variant>
      <vt:variant>
        <vt:lpwstr>_Toc536478866</vt:lpwstr>
      </vt:variant>
      <vt:variant>
        <vt:i4>1966140</vt:i4>
      </vt:variant>
      <vt:variant>
        <vt:i4>83</vt:i4>
      </vt:variant>
      <vt:variant>
        <vt:i4>0</vt:i4>
      </vt:variant>
      <vt:variant>
        <vt:i4>5</vt:i4>
      </vt:variant>
      <vt:variant>
        <vt:lpwstr/>
      </vt:variant>
      <vt:variant>
        <vt:lpwstr>_Toc536478865</vt:lpwstr>
      </vt:variant>
      <vt:variant>
        <vt:i4>1966140</vt:i4>
      </vt:variant>
      <vt:variant>
        <vt:i4>77</vt:i4>
      </vt:variant>
      <vt:variant>
        <vt:i4>0</vt:i4>
      </vt:variant>
      <vt:variant>
        <vt:i4>5</vt:i4>
      </vt:variant>
      <vt:variant>
        <vt:lpwstr/>
      </vt:variant>
      <vt:variant>
        <vt:lpwstr>_Toc536478864</vt:lpwstr>
      </vt:variant>
      <vt:variant>
        <vt:i4>1966140</vt:i4>
      </vt:variant>
      <vt:variant>
        <vt:i4>71</vt:i4>
      </vt:variant>
      <vt:variant>
        <vt:i4>0</vt:i4>
      </vt:variant>
      <vt:variant>
        <vt:i4>5</vt:i4>
      </vt:variant>
      <vt:variant>
        <vt:lpwstr/>
      </vt:variant>
      <vt:variant>
        <vt:lpwstr>_Toc536478863</vt:lpwstr>
      </vt:variant>
      <vt:variant>
        <vt:i4>1966140</vt:i4>
      </vt:variant>
      <vt:variant>
        <vt:i4>65</vt:i4>
      </vt:variant>
      <vt:variant>
        <vt:i4>0</vt:i4>
      </vt:variant>
      <vt:variant>
        <vt:i4>5</vt:i4>
      </vt:variant>
      <vt:variant>
        <vt:lpwstr/>
      </vt:variant>
      <vt:variant>
        <vt:lpwstr>_Toc536478862</vt:lpwstr>
      </vt:variant>
      <vt:variant>
        <vt:i4>1966140</vt:i4>
      </vt:variant>
      <vt:variant>
        <vt:i4>59</vt:i4>
      </vt:variant>
      <vt:variant>
        <vt:i4>0</vt:i4>
      </vt:variant>
      <vt:variant>
        <vt:i4>5</vt:i4>
      </vt:variant>
      <vt:variant>
        <vt:lpwstr/>
      </vt:variant>
      <vt:variant>
        <vt:lpwstr>_Toc536478861</vt:lpwstr>
      </vt:variant>
      <vt:variant>
        <vt:i4>1966140</vt:i4>
      </vt:variant>
      <vt:variant>
        <vt:i4>53</vt:i4>
      </vt:variant>
      <vt:variant>
        <vt:i4>0</vt:i4>
      </vt:variant>
      <vt:variant>
        <vt:i4>5</vt:i4>
      </vt:variant>
      <vt:variant>
        <vt:lpwstr/>
      </vt:variant>
      <vt:variant>
        <vt:lpwstr>_Toc536478860</vt:lpwstr>
      </vt:variant>
      <vt:variant>
        <vt:i4>1900604</vt:i4>
      </vt:variant>
      <vt:variant>
        <vt:i4>47</vt:i4>
      </vt:variant>
      <vt:variant>
        <vt:i4>0</vt:i4>
      </vt:variant>
      <vt:variant>
        <vt:i4>5</vt:i4>
      </vt:variant>
      <vt:variant>
        <vt:lpwstr/>
      </vt:variant>
      <vt:variant>
        <vt:lpwstr>_Toc536478859</vt:lpwstr>
      </vt:variant>
      <vt:variant>
        <vt:i4>1900604</vt:i4>
      </vt:variant>
      <vt:variant>
        <vt:i4>41</vt:i4>
      </vt:variant>
      <vt:variant>
        <vt:i4>0</vt:i4>
      </vt:variant>
      <vt:variant>
        <vt:i4>5</vt:i4>
      </vt:variant>
      <vt:variant>
        <vt:lpwstr/>
      </vt:variant>
      <vt:variant>
        <vt:lpwstr>_Toc536478858</vt:lpwstr>
      </vt:variant>
      <vt:variant>
        <vt:i4>1900604</vt:i4>
      </vt:variant>
      <vt:variant>
        <vt:i4>35</vt:i4>
      </vt:variant>
      <vt:variant>
        <vt:i4>0</vt:i4>
      </vt:variant>
      <vt:variant>
        <vt:i4>5</vt:i4>
      </vt:variant>
      <vt:variant>
        <vt:lpwstr/>
      </vt:variant>
      <vt:variant>
        <vt:lpwstr>_Toc536478857</vt:lpwstr>
      </vt:variant>
      <vt:variant>
        <vt:i4>1900604</vt:i4>
      </vt:variant>
      <vt:variant>
        <vt:i4>29</vt:i4>
      </vt:variant>
      <vt:variant>
        <vt:i4>0</vt:i4>
      </vt:variant>
      <vt:variant>
        <vt:i4>5</vt:i4>
      </vt:variant>
      <vt:variant>
        <vt:lpwstr/>
      </vt:variant>
      <vt:variant>
        <vt:lpwstr>_Toc536478856</vt:lpwstr>
      </vt:variant>
      <vt:variant>
        <vt:i4>1900604</vt:i4>
      </vt:variant>
      <vt:variant>
        <vt:i4>23</vt:i4>
      </vt:variant>
      <vt:variant>
        <vt:i4>0</vt:i4>
      </vt:variant>
      <vt:variant>
        <vt:i4>5</vt:i4>
      </vt:variant>
      <vt:variant>
        <vt:lpwstr/>
      </vt:variant>
      <vt:variant>
        <vt:lpwstr>_Toc536478855</vt:lpwstr>
      </vt:variant>
      <vt:variant>
        <vt:i4>1900604</vt:i4>
      </vt:variant>
      <vt:variant>
        <vt:i4>17</vt:i4>
      </vt:variant>
      <vt:variant>
        <vt:i4>0</vt:i4>
      </vt:variant>
      <vt:variant>
        <vt:i4>5</vt:i4>
      </vt:variant>
      <vt:variant>
        <vt:lpwstr/>
      </vt:variant>
      <vt:variant>
        <vt:lpwstr>_Toc536478854</vt:lpwstr>
      </vt:variant>
      <vt:variant>
        <vt:i4>1900604</vt:i4>
      </vt:variant>
      <vt:variant>
        <vt:i4>11</vt:i4>
      </vt:variant>
      <vt:variant>
        <vt:i4>0</vt:i4>
      </vt:variant>
      <vt:variant>
        <vt:i4>5</vt:i4>
      </vt:variant>
      <vt:variant>
        <vt:lpwstr/>
      </vt:variant>
      <vt:variant>
        <vt:lpwstr>_Toc536478853</vt:lpwstr>
      </vt:variant>
      <vt:variant>
        <vt:i4>7667749</vt:i4>
      </vt:variant>
      <vt:variant>
        <vt:i4>6</vt:i4>
      </vt:variant>
      <vt:variant>
        <vt:i4>0</vt:i4>
      </vt:variant>
      <vt:variant>
        <vt:i4>5</vt:i4>
      </vt:variant>
      <vt:variant>
        <vt:lpwstr>https://www2.health.vic.gov.au/about/health-strategies/cancer-care</vt:lpwstr>
      </vt:variant>
      <vt:variant>
        <vt:lpwstr/>
      </vt:variant>
      <vt:variant>
        <vt:i4>2555941</vt:i4>
      </vt:variant>
      <vt:variant>
        <vt:i4>3</vt:i4>
      </vt:variant>
      <vt:variant>
        <vt:i4>0</vt:i4>
      </vt:variant>
      <vt:variant>
        <vt:i4>5</vt:i4>
      </vt:variant>
      <vt:variant>
        <vt:lpwstr>http://survey.tool.tempdomain.info/TakeSurveycss.asp?SurveyID=3K33p3LIm66MG</vt:lpwstr>
      </vt:variant>
      <vt:variant>
        <vt:lpwstr/>
      </vt:variant>
      <vt:variant>
        <vt:i4>3145752</vt:i4>
      </vt:variant>
      <vt:variant>
        <vt:i4>0</vt:i4>
      </vt:variant>
      <vt:variant>
        <vt:i4>0</vt:i4>
      </vt:variant>
      <vt:variant>
        <vt:i4>5</vt:i4>
      </vt:variant>
      <vt:variant>
        <vt:lpwstr>http://library.intranet.vic.gov.au/client/en_US/vglsweb-dh-dhs/;jsessionid=CC61035498BF1611F26BEBCD4A100F9A.enterprise-14600?rm=ISBN0%7C%7C%7C1%7C%7C%7C0%7C%7C%7Ctrue</vt:lpwstr>
      </vt:variant>
      <vt:variant>
        <vt:lpwstr/>
      </vt:variant>
      <vt:variant>
        <vt:i4>16</vt:i4>
      </vt:variant>
      <vt:variant>
        <vt:i4>6</vt:i4>
      </vt:variant>
      <vt:variant>
        <vt:i4>0</vt:i4>
      </vt:variant>
      <vt:variant>
        <vt:i4>5</vt:i4>
      </vt:variant>
      <vt:variant>
        <vt:lpwstr>https://www.tobaccoinaustralia.org.au/chapter-1-prevalence/1-5-prevalence-of-smoking-middle-aged-and-older-ad</vt:lpwstr>
      </vt:variant>
      <vt:variant>
        <vt:lpwstr/>
      </vt:variant>
      <vt:variant>
        <vt:i4>7340091</vt:i4>
      </vt:variant>
      <vt:variant>
        <vt:i4>3</vt:i4>
      </vt:variant>
      <vt:variant>
        <vt:i4>0</vt:i4>
      </vt:variant>
      <vt:variant>
        <vt:i4>5</vt:i4>
      </vt:variant>
      <vt:variant>
        <vt:lpwstr>http://www.cdc.gov/tobacco/data_statistics/sgr/sgr_1994/index.htm</vt:lpwstr>
      </vt:variant>
      <vt:variant>
        <vt:lpwstr/>
      </vt:variant>
      <vt:variant>
        <vt:i4>7667749</vt:i4>
      </vt:variant>
      <vt:variant>
        <vt:i4>0</vt:i4>
      </vt:variant>
      <vt:variant>
        <vt:i4>0</vt:i4>
      </vt:variant>
      <vt:variant>
        <vt:i4>5</vt:i4>
      </vt:variant>
      <vt:variant>
        <vt:lpwstr>https://www2.health.vic.gov.au/about/health-strategies/cancer-care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cancer plan monitoring and evaluation framework: baseline report</dc:title>
  <dc:subject>Victorian cancer plan monitoring and evaluation framework: baseline report</dc:subject>
  <dc:creator>Cancer Strategy and Development</dc:creator>
  <cp:keywords>Victorian cancer plan, monitoring, evaluation, framework, baseline report</cp:keywords>
  <dc:description/>
  <cp:lastModifiedBy>Hayden Nicholls (DHHS)</cp:lastModifiedBy>
  <cp:revision>6</cp:revision>
  <cp:lastPrinted>2020-02-19T09:23:00Z</cp:lastPrinted>
  <dcterms:created xsi:type="dcterms:W3CDTF">2020-02-24T07:03:00Z</dcterms:created>
  <dcterms:modified xsi:type="dcterms:W3CDTF">2020-02-25T04:10:00Z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ies>
</file>