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615BF" w14:textId="77777777" w:rsidR="0074696E" w:rsidRPr="004C6EEE" w:rsidRDefault="00951D03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 wp14:anchorId="3B8C930B" wp14:editId="0AD87B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1" name="Picture 31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490">
        <w:tab/>
      </w:r>
    </w:p>
    <w:p w14:paraId="5A7D2337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22B2994B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0DBCE53A" w14:textId="77777777" w:rsidR="00AD784C" w:rsidRPr="00161AA0" w:rsidRDefault="00951D03" w:rsidP="00A91406">
            <w:pPr>
              <w:pStyle w:val="DHHSmainheading"/>
            </w:pPr>
            <w:r>
              <w:t>HDSS Bulletin</w:t>
            </w:r>
          </w:p>
        </w:tc>
      </w:tr>
      <w:tr w:rsidR="00AD784C" w14:paraId="45A90254" w14:textId="77777777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38AFA711" w14:textId="62DE9B4A" w:rsidR="00357B4E" w:rsidRPr="00DE5658" w:rsidRDefault="00951D03" w:rsidP="00A57348">
            <w:pPr>
              <w:pStyle w:val="DHHSmainsubheading"/>
              <w:rPr>
                <w:szCs w:val="28"/>
              </w:rPr>
            </w:pPr>
            <w:r w:rsidRPr="00DE5658">
              <w:rPr>
                <w:color w:val="FFFFFF" w:themeColor="background1"/>
                <w:szCs w:val="28"/>
              </w:rPr>
              <w:t>Issue 2</w:t>
            </w:r>
            <w:r w:rsidR="00410E7E" w:rsidRPr="00DE5658">
              <w:rPr>
                <w:color w:val="FFFFFF" w:themeColor="background1"/>
                <w:szCs w:val="28"/>
              </w:rPr>
              <w:t>2</w:t>
            </w:r>
            <w:r w:rsidR="00980C7C">
              <w:rPr>
                <w:color w:val="FFFFFF" w:themeColor="background1"/>
                <w:szCs w:val="28"/>
              </w:rPr>
              <w:t>5</w:t>
            </w:r>
            <w:r w:rsidR="002C2537" w:rsidRPr="00DE5658">
              <w:rPr>
                <w:color w:val="FFFFFF" w:themeColor="background1"/>
                <w:szCs w:val="28"/>
              </w:rPr>
              <w:t xml:space="preserve">: </w:t>
            </w:r>
            <w:r w:rsidR="00E06B48">
              <w:rPr>
                <w:color w:val="FFFFFF" w:themeColor="background1"/>
                <w:szCs w:val="28"/>
              </w:rPr>
              <w:t>20</w:t>
            </w:r>
            <w:r w:rsidR="00CA2D66" w:rsidRPr="00DE5658">
              <w:rPr>
                <w:color w:val="FFFFFF" w:themeColor="background1"/>
                <w:szCs w:val="28"/>
              </w:rPr>
              <w:t xml:space="preserve"> </w:t>
            </w:r>
            <w:r w:rsidR="00865B63">
              <w:rPr>
                <w:color w:val="FFFFFF" w:themeColor="background1"/>
                <w:szCs w:val="28"/>
              </w:rPr>
              <w:t>November</w:t>
            </w:r>
            <w:r w:rsidR="00410E7E" w:rsidRPr="00DE5658">
              <w:rPr>
                <w:color w:val="FFFFFF" w:themeColor="background1"/>
                <w:szCs w:val="28"/>
              </w:rPr>
              <w:t xml:space="preserve"> 2019</w:t>
            </w:r>
          </w:p>
        </w:tc>
      </w:tr>
    </w:tbl>
    <w:p w14:paraId="7FCB3178" w14:textId="77777777" w:rsidR="00AD784C" w:rsidRPr="000A6666" w:rsidRDefault="00AD784C" w:rsidP="006F5D2B">
      <w:pPr>
        <w:pStyle w:val="DHHSTOCheadingfactsheet"/>
        <w:numPr>
          <w:ilvl w:val="0"/>
          <w:numId w:val="0"/>
        </w:numPr>
      </w:pPr>
      <w:r w:rsidRPr="000A6666">
        <w:t>Contents</w:t>
      </w:r>
    </w:p>
    <w:bookmarkStart w:id="0" w:name="_GoBack"/>
    <w:bookmarkEnd w:id="0"/>
    <w:p w14:paraId="7A4E7E54" w14:textId="50663210" w:rsidR="00E06B48" w:rsidRDefault="00AD784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25152356" w:history="1">
        <w:r w:rsidR="00E06B48" w:rsidRPr="00686A9C">
          <w:rPr>
            <w:rStyle w:val="Hyperlink"/>
          </w:rPr>
          <w:t>Global update</w:t>
        </w:r>
        <w:r w:rsidR="00E06B48">
          <w:rPr>
            <w:webHidden/>
          </w:rPr>
          <w:tab/>
        </w:r>
        <w:r w:rsidR="00E06B48">
          <w:rPr>
            <w:webHidden/>
          </w:rPr>
          <w:fldChar w:fldCharType="begin"/>
        </w:r>
        <w:r w:rsidR="00E06B48">
          <w:rPr>
            <w:webHidden/>
          </w:rPr>
          <w:instrText xml:space="preserve"> PAGEREF _Toc25152356 \h </w:instrText>
        </w:r>
        <w:r w:rsidR="00E06B48">
          <w:rPr>
            <w:webHidden/>
          </w:rPr>
        </w:r>
        <w:r w:rsidR="00E06B48">
          <w:rPr>
            <w:webHidden/>
          </w:rPr>
          <w:fldChar w:fldCharType="separate"/>
        </w:r>
        <w:r w:rsidR="00E06B48">
          <w:rPr>
            <w:webHidden/>
          </w:rPr>
          <w:t>1</w:t>
        </w:r>
        <w:r w:rsidR="00E06B48">
          <w:rPr>
            <w:webHidden/>
          </w:rPr>
          <w:fldChar w:fldCharType="end"/>
        </w:r>
      </w:hyperlink>
    </w:p>
    <w:p w14:paraId="30515FF1" w14:textId="2BF14C92" w:rsidR="00E06B48" w:rsidRDefault="00E06B48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25152357" w:history="1">
        <w:r w:rsidRPr="00686A9C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225.1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86A9C">
          <w:rPr>
            <w:rStyle w:val="Hyperlink"/>
          </w:rPr>
          <w:t>Circulars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_Toc25152357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3CDA6B1B" w14:textId="0C605548" w:rsidR="00E06B48" w:rsidRDefault="00E06B48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25152358" w:history="1">
        <w:r w:rsidRPr="00686A9C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225.2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86A9C">
          <w:rPr>
            <w:rStyle w:val="Hyperlink"/>
          </w:rPr>
          <w:t>Annual changes update – revisions to data collections for 2020–21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_Toc25152358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224BBA62" w14:textId="2B7138C1" w:rsidR="00E06B48" w:rsidRDefault="00E06B48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25152359" w:history="1">
        <w:r w:rsidRPr="00686A9C">
          <w:rPr>
            <w:rStyle w:val="Hyperlink"/>
          </w:rPr>
          <w:t>Elective Surgery Information System (ESIS)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_Toc25152359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4E3A17B2" w14:textId="61995F95" w:rsidR="00E06B48" w:rsidRDefault="00E06B48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25152360" w:history="1">
        <w:r w:rsidRPr="00686A9C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225.3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86A9C">
          <w:rPr>
            <w:rStyle w:val="Hyperlink"/>
          </w:rPr>
          <w:t>Monitoring reporting of non-specific Intended Procedure (IP) 888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_Toc25152360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25ABD631" w14:textId="51403DD2" w:rsidR="00E06B48" w:rsidRDefault="00E06B48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25152361" w:history="1">
        <w:r w:rsidRPr="00686A9C">
          <w:rPr>
            <w:rStyle w:val="Hyperlink"/>
          </w:rPr>
          <w:t>Victorian Admitted Episodes Dataset (VAED)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_Toc25152361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C44D710" w14:textId="4EB14D23" w:rsidR="00E06B48" w:rsidRDefault="00E06B48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25152362" w:history="1">
        <w:r w:rsidRPr="00686A9C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225.4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86A9C">
          <w:rPr>
            <w:rStyle w:val="Hyperlink"/>
          </w:rPr>
          <w:t>CFA B reports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_Toc25152362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7FB62AC" w14:textId="5F9AB094" w:rsidR="00E06B48" w:rsidRDefault="00E06B48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25152363" w:history="1">
        <w:r w:rsidRPr="00686A9C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225.5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86A9C">
          <w:rPr>
            <w:rStyle w:val="Hyperlink"/>
          </w:rPr>
          <w:t>Correction to Reporting guide by Contract Type / Role table in VAED manual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_Toc25152363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2051C80" w14:textId="0D693FAA" w:rsidR="00E06B48" w:rsidRDefault="00E06B48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25152364" w:history="1">
        <w:r w:rsidRPr="00686A9C">
          <w:rPr>
            <w:rStyle w:val="Hyperlink"/>
          </w:rPr>
          <w:t>Victorian Integrated Non-Admitted Health Minimum Dataset (VINAH)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_Toc25152364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923474C" w14:textId="07B408F0" w:rsidR="00E06B48" w:rsidRDefault="00E06B48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25152365" w:history="1">
        <w:r w:rsidRPr="00686A9C">
          <w:rPr>
            <w:rStyle w:val="Hyperlink"/>
            <w:rFonts w:eastAsia="Tim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225.6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86A9C">
          <w:rPr>
            <w:rStyle w:val="Hyperlink"/>
            <w:rFonts w:eastAsia="Times"/>
          </w:rPr>
          <w:t>Amendment to Referral End Reason in VINAH manual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_Toc25152365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972FE8F" w14:textId="33221BFD" w:rsidR="00E06B48" w:rsidRDefault="00E06B48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25152366" w:history="1">
        <w:r w:rsidRPr="00686A9C">
          <w:rPr>
            <w:rStyle w:val="Hyperlink"/>
          </w:rPr>
          <w:t>Non–Admitted Activity Reporting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_Toc25152366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5B9C8685" w14:textId="736A1574" w:rsidR="00E06B48" w:rsidRDefault="00E06B48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25152367" w:history="1">
        <w:r w:rsidRPr="00686A9C">
          <w:rPr>
            <w:rStyle w:val="Hyperlink"/>
            <w:rFonts w:eastAsia="MS Gothic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225.7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86A9C">
          <w:rPr>
            <w:rStyle w:val="Hyperlink"/>
            <w:rFonts w:eastAsia="MS Gothic"/>
          </w:rPr>
          <w:t>Patient–Level Reporting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_Toc25152367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EE17C9A" w14:textId="04655701" w:rsidR="00E06B48" w:rsidRDefault="00E06B48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25152368" w:history="1">
        <w:r w:rsidRPr="00686A9C">
          <w:rPr>
            <w:rStyle w:val="Hyperlink"/>
          </w:rPr>
          <w:t>Contact details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_Toc25152368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670253DF" w14:textId="2278407B" w:rsidR="007173CA" w:rsidRDefault="00AD784C" w:rsidP="000B52A3">
      <w:pPr>
        <w:pStyle w:val="DHHSbody"/>
        <w:spacing w:before="240"/>
      </w:pPr>
      <w:r>
        <w:fldChar w:fldCharType="end"/>
      </w:r>
    </w:p>
    <w:p w14:paraId="5F587DAF" w14:textId="77777777" w:rsidR="007173CA" w:rsidRDefault="007173CA" w:rsidP="00D82FED">
      <w:pPr>
        <w:pStyle w:val="DHHSbody"/>
        <w:numPr>
          <w:ilvl w:val="0"/>
          <w:numId w:val="45"/>
        </w:numPr>
        <w:sectPr w:rsidR="007173CA" w:rsidSect="00F01E5F">
          <w:headerReference w:type="default" r:id="rId10"/>
          <w:footerReference w:type="default" r:id="rId11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14:paraId="60DA7D16" w14:textId="77777777" w:rsidR="00893AF6" w:rsidRPr="00B57329" w:rsidRDefault="00951D03" w:rsidP="000A6666">
      <w:pPr>
        <w:pStyle w:val="Heading1"/>
        <w:spacing w:before="0"/>
      </w:pPr>
      <w:bookmarkStart w:id="1" w:name="_Toc25152356"/>
      <w:r>
        <w:t>Global update</w:t>
      </w:r>
      <w:bookmarkEnd w:id="1"/>
    </w:p>
    <w:p w14:paraId="38FD9F04" w14:textId="77777777" w:rsidR="00996739" w:rsidRPr="00EA0C53" w:rsidRDefault="00996739" w:rsidP="00980C7C">
      <w:pPr>
        <w:pStyle w:val="Heading2"/>
      </w:pPr>
      <w:bookmarkStart w:id="2" w:name="_Toc25152357"/>
      <w:r w:rsidRPr="00EA0C53">
        <w:t>Circulars</w:t>
      </w:r>
      <w:bookmarkEnd w:id="2"/>
    </w:p>
    <w:p w14:paraId="2070B28F" w14:textId="677B5909" w:rsidR="00401692" w:rsidRPr="00401692" w:rsidRDefault="00B649CD" w:rsidP="000F7423">
      <w:pPr>
        <w:pStyle w:val="DHHSbody"/>
      </w:pPr>
      <w:r>
        <w:rPr>
          <w:lang w:eastAsia="en-AU"/>
        </w:rPr>
        <w:t xml:space="preserve">Access </w:t>
      </w:r>
      <w:r w:rsidR="000B7EFC">
        <w:rPr>
          <w:lang w:eastAsia="en-AU"/>
        </w:rPr>
        <w:t>private hospital</w:t>
      </w:r>
      <w:r w:rsidR="00DA08FE">
        <w:rPr>
          <w:lang w:eastAsia="en-AU"/>
        </w:rPr>
        <w:t xml:space="preserve"> </w:t>
      </w:r>
      <w:r w:rsidR="00401692" w:rsidRPr="00401692">
        <w:rPr>
          <w:lang w:eastAsia="en-AU"/>
        </w:rPr>
        <w:t>circulars</w:t>
      </w:r>
      <w:r w:rsidR="00DA08FE">
        <w:rPr>
          <w:lang w:eastAsia="en-AU"/>
        </w:rPr>
        <w:t xml:space="preserve"> at:</w:t>
      </w:r>
      <w:r w:rsidR="0018574E">
        <w:rPr>
          <w:lang w:eastAsia="en-AU"/>
        </w:rPr>
        <w:t xml:space="preserve"> </w:t>
      </w:r>
      <w:hyperlink r:id="rId12" w:history="1">
        <w:r w:rsidR="00DA08FE" w:rsidRPr="00DA08FE">
          <w:rPr>
            <w:rStyle w:val="Hyperlink"/>
            <w:lang w:eastAsia="en-AU"/>
          </w:rPr>
          <w:t>Private hospital circulars</w:t>
        </w:r>
      </w:hyperlink>
      <w:r w:rsidR="00DA08FE">
        <w:rPr>
          <w:lang w:eastAsia="en-AU"/>
        </w:rPr>
        <w:t xml:space="preserve"> &lt;</w:t>
      </w:r>
      <w:r w:rsidR="00DA08FE" w:rsidRPr="00DA08FE">
        <w:rPr>
          <w:lang w:eastAsia="en-AU"/>
        </w:rPr>
        <w:t>http://www.health.gov.au/internet/main/publishing.nsf/Content/health-phicirculars2019-index1</w:t>
      </w:r>
      <w:r w:rsidR="00DA08FE">
        <w:rPr>
          <w:lang w:eastAsia="en-AU"/>
        </w:rPr>
        <w:t xml:space="preserve">&gt; </w:t>
      </w:r>
    </w:p>
    <w:p w14:paraId="557B6474" w14:textId="196C97EC" w:rsidR="0018574E" w:rsidRDefault="00DA08FE" w:rsidP="00DA08FE">
      <w:pPr>
        <w:pStyle w:val="DHHSbody"/>
      </w:pPr>
      <w:r>
        <w:t>Access h</w:t>
      </w:r>
      <w:r w:rsidR="001D0A0B">
        <w:t>ospital c</w:t>
      </w:r>
      <w:r w:rsidR="00FD047A">
        <w:t>irculars</w:t>
      </w:r>
      <w:r>
        <w:t xml:space="preserve"> at:</w:t>
      </w:r>
      <w:r w:rsidR="00FD047A">
        <w:t xml:space="preserve"> </w:t>
      </w:r>
      <w:hyperlink r:id="rId13" w:history="1">
        <w:r w:rsidRPr="00DA08FE">
          <w:rPr>
            <w:rStyle w:val="Hyperlink"/>
          </w:rPr>
          <w:t>Hospital circulars</w:t>
        </w:r>
      </w:hyperlink>
      <w:r>
        <w:t xml:space="preserve"> </w:t>
      </w:r>
      <w:r w:rsidR="0018574E">
        <w:t>&lt;</w:t>
      </w:r>
      <w:r w:rsidR="0018574E" w:rsidRPr="0018574E">
        <w:t>https://www2.health.vic.gov.au/about/news-and-events/hospitalcirculars</w:t>
      </w:r>
      <w:r w:rsidR="0018574E">
        <w:t>&gt;</w:t>
      </w:r>
    </w:p>
    <w:p w14:paraId="5C090331" w14:textId="3AC6C2F3" w:rsidR="006A2858" w:rsidRDefault="00980C7C" w:rsidP="00980C7C">
      <w:pPr>
        <w:pStyle w:val="Heading2"/>
      </w:pPr>
      <w:bookmarkStart w:id="3" w:name="_Toc25152358"/>
      <w:r>
        <w:t xml:space="preserve">Annual changes update – </w:t>
      </w:r>
      <w:r w:rsidR="006A2858">
        <w:t>revisions to data collections for 2020–21</w:t>
      </w:r>
      <w:bookmarkEnd w:id="3"/>
    </w:p>
    <w:p w14:paraId="688E62E4" w14:textId="1D0538FC" w:rsidR="00950C87" w:rsidRDefault="00980C7C" w:rsidP="006A2858">
      <w:pPr>
        <w:pStyle w:val="DHHSbody"/>
      </w:pPr>
      <w:r>
        <w:t>Thank you to everyone who provided feedback to proposals for revisions to AIMS, ESIS, VAED, VEMD and VINAH</w:t>
      </w:r>
      <w:r w:rsidR="00865B63">
        <w:t xml:space="preserve"> data collections for 2020–21</w:t>
      </w:r>
      <w:r>
        <w:t xml:space="preserve">. </w:t>
      </w:r>
    </w:p>
    <w:p w14:paraId="782220FE" w14:textId="4A2AD732" w:rsidR="00A804F1" w:rsidRDefault="00980C7C" w:rsidP="006A2858">
      <w:pPr>
        <w:pStyle w:val="DHHSbody"/>
      </w:pPr>
      <w:r>
        <w:t xml:space="preserve">Specifications for revisions to the data collections for </w:t>
      </w:r>
      <w:bookmarkStart w:id="4" w:name="_Hlk24706995"/>
      <w:r>
        <w:t xml:space="preserve">2020–21 </w:t>
      </w:r>
      <w:bookmarkEnd w:id="4"/>
      <w:r>
        <w:t>will be published at the end of December.</w:t>
      </w:r>
    </w:p>
    <w:p w14:paraId="128FAC23" w14:textId="18FED1D6" w:rsidR="00B84B20" w:rsidRPr="00B84B20" w:rsidRDefault="00E06B48" w:rsidP="000F7423">
      <w:pPr>
        <w:pStyle w:val="DHHSbody"/>
      </w:pPr>
      <w:hyperlink r:id="rId14" w:history="1">
        <w:r w:rsidR="00E750A1" w:rsidRPr="00E750A1">
          <w:rPr>
            <w:rStyle w:val="Hyperlink"/>
          </w:rPr>
          <w:t>HDSS annual changes</w:t>
        </w:r>
      </w:hyperlink>
      <w:r w:rsidR="00E750A1">
        <w:t xml:space="preserve"> &lt;</w:t>
      </w:r>
      <w:r w:rsidR="00E750A1" w:rsidRPr="00E750A1">
        <w:t>https://www2.health.vic.gov.au/hospitals-and-health-services/data-reporting/health-data-standards-systems/annual-changes</w:t>
      </w:r>
      <w:r w:rsidR="00E750A1">
        <w:t>&gt;</w:t>
      </w:r>
    </w:p>
    <w:p w14:paraId="46DB132C" w14:textId="77777777" w:rsidR="000B7EFC" w:rsidRPr="00980C7C" w:rsidRDefault="000B7EFC" w:rsidP="00980C7C">
      <w:pPr>
        <w:pStyle w:val="ListParagraph"/>
        <w:numPr>
          <w:ilvl w:val="0"/>
          <w:numId w:val="48"/>
        </w:numPr>
        <w:rPr>
          <w:rFonts w:ascii="Arial" w:eastAsia="MS Gothic" w:hAnsi="Arial" w:cs="Arial"/>
          <w:bCs/>
          <w:color w:val="004EA8"/>
          <w:kern w:val="32"/>
          <w:sz w:val="36"/>
          <w:szCs w:val="40"/>
        </w:rPr>
      </w:pPr>
      <w:r>
        <w:br w:type="page"/>
      </w:r>
    </w:p>
    <w:p w14:paraId="4D0FD5BB" w14:textId="7387415F" w:rsidR="0042760C" w:rsidRDefault="0042760C" w:rsidP="00127FD4">
      <w:pPr>
        <w:pStyle w:val="Heading1"/>
      </w:pPr>
      <w:bookmarkStart w:id="5" w:name="_Toc25152359"/>
      <w:r>
        <w:lastRenderedPageBreak/>
        <w:t>Elective Surgery Information System (ESIS)</w:t>
      </w:r>
      <w:bookmarkEnd w:id="5"/>
    </w:p>
    <w:p w14:paraId="3844BA94" w14:textId="573DDFAA" w:rsidR="00B9264E" w:rsidRDefault="00B9264E" w:rsidP="00B9264E">
      <w:pPr>
        <w:pStyle w:val="Heading2"/>
      </w:pPr>
      <w:bookmarkStart w:id="6" w:name="_Toc25152360"/>
      <w:r>
        <w:t xml:space="preserve">Monitoring </w:t>
      </w:r>
      <w:r w:rsidR="00550117">
        <w:t>reporting of</w:t>
      </w:r>
      <w:r>
        <w:t xml:space="preserve"> non-specific I</w:t>
      </w:r>
      <w:r w:rsidR="00550117">
        <w:t xml:space="preserve">ntended Procedure (IP) </w:t>
      </w:r>
      <w:r>
        <w:t>888</w:t>
      </w:r>
      <w:bookmarkEnd w:id="6"/>
    </w:p>
    <w:p w14:paraId="21DD0DA9" w14:textId="7135B685" w:rsidR="0042760C" w:rsidRDefault="0042760C" w:rsidP="0042760C">
      <w:pPr>
        <w:pStyle w:val="DHHSbody"/>
      </w:pPr>
      <w:bookmarkStart w:id="7" w:name="_Hlk24960849"/>
      <w:r>
        <w:t xml:space="preserve">As one of the department’s monthly data quality checks we </w:t>
      </w:r>
      <w:r w:rsidR="00333826">
        <w:t xml:space="preserve">are </w:t>
      </w:r>
      <w:r w:rsidR="00B9264E">
        <w:t>monitor</w:t>
      </w:r>
      <w:r w:rsidR="00333826">
        <w:t>ing</w:t>
      </w:r>
      <w:r w:rsidR="00B9264E">
        <w:t xml:space="preserve"> </w:t>
      </w:r>
      <w:r w:rsidR="00333826">
        <w:t>reporting of</w:t>
      </w:r>
      <w:r w:rsidR="00B9264E">
        <w:t xml:space="preserve"> </w:t>
      </w:r>
      <w:r w:rsidR="00333826">
        <w:t>non-specific IP888 Other</w:t>
      </w:r>
      <w:r w:rsidR="00B9264E">
        <w:t xml:space="preserve">, to </w:t>
      </w:r>
      <w:r w:rsidR="00E00BF5">
        <w:t xml:space="preserve">identify </w:t>
      </w:r>
      <w:r w:rsidR="00524CE5">
        <w:t>excluded procedures (not elective surgery) and procedures where a specific IP code exists.</w:t>
      </w:r>
    </w:p>
    <w:bookmarkEnd w:id="7"/>
    <w:p w14:paraId="5DFA930B" w14:textId="77777777" w:rsidR="003507E6" w:rsidRDefault="003507E6" w:rsidP="003507E6">
      <w:pPr>
        <w:pStyle w:val="DHHSbody"/>
      </w:pPr>
      <w:r>
        <w:t>Non-surgical procedures are excluded from the definition of elective surgery. For example, the following procedures are excluded from ESIS reporting as they are not classified as a surgical operation in the Medicare Benefits Schedule:</w:t>
      </w:r>
    </w:p>
    <w:p w14:paraId="70E7FAD7" w14:textId="77777777" w:rsidR="003507E6" w:rsidRDefault="003507E6" w:rsidP="00550117">
      <w:pPr>
        <w:pStyle w:val="DHHSbullet1"/>
      </w:pPr>
      <w:r>
        <w:t>Colposcopy</w:t>
      </w:r>
    </w:p>
    <w:p w14:paraId="0E8EEEE3" w14:textId="77777777" w:rsidR="003507E6" w:rsidRDefault="003507E6" w:rsidP="00550117">
      <w:pPr>
        <w:pStyle w:val="DHHSbullet1"/>
      </w:pPr>
      <w:r>
        <w:t>Mirena insertion</w:t>
      </w:r>
    </w:p>
    <w:p w14:paraId="1C6F39C8" w14:textId="77777777" w:rsidR="003507E6" w:rsidRDefault="003507E6" w:rsidP="00550117">
      <w:pPr>
        <w:pStyle w:val="DHHSbullet1"/>
      </w:pPr>
      <w:r>
        <w:t>Panendoscopy</w:t>
      </w:r>
    </w:p>
    <w:p w14:paraId="720873C9" w14:textId="433FA842" w:rsidR="003507E6" w:rsidRDefault="003507E6" w:rsidP="00550117">
      <w:pPr>
        <w:pStyle w:val="DHHSbullet1lastline"/>
      </w:pPr>
      <w:r>
        <w:t>Retrograde pyelogram.</w:t>
      </w:r>
    </w:p>
    <w:p w14:paraId="74B998B4" w14:textId="22E87AF8" w:rsidR="00333826" w:rsidRDefault="00333826" w:rsidP="00333826">
      <w:pPr>
        <w:pStyle w:val="DHHSbody"/>
      </w:pPr>
      <w:r>
        <w:t xml:space="preserve">Refer to </w:t>
      </w:r>
      <w:hyperlink r:id="rId15" w:history="1">
        <w:r w:rsidRPr="00333826">
          <w:rPr>
            <w:rStyle w:val="Hyperlink"/>
          </w:rPr>
          <w:t>Intended Procedure</w:t>
        </w:r>
      </w:hyperlink>
      <w:r>
        <w:t xml:space="preserve"> &lt;</w:t>
      </w:r>
      <w:r w:rsidRPr="00333826">
        <w:t xml:space="preserve"> </w:t>
      </w:r>
      <w:hyperlink r:id="rId16" w:history="1">
        <w:r w:rsidRPr="00F31271">
          <w:rPr>
            <w:rStyle w:val="Hyperlink"/>
          </w:rPr>
          <w:t>https://meteor.aihw.gov.au/content/index.phtml/itemId/717635</w:t>
        </w:r>
      </w:hyperlink>
      <w:r>
        <w:t xml:space="preserve">&gt; for </w:t>
      </w:r>
      <w:r w:rsidR="00550117">
        <w:t xml:space="preserve">the </w:t>
      </w:r>
      <w:r>
        <w:t>list of Intended Procedures codes and ACHI (11</w:t>
      </w:r>
      <w:r w:rsidRPr="00333826">
        <w:rPr>
          <w:vertAlign w:val="superscript"/>
        </w:rPr>
        <w:t>th</w:t>
      </w:r>
      <w:r>
        <w:t xml:space="preserve"> edition) codes.</w:t>
      </w:r>
    </w:p>
    <w:p w14:paraId="3268D7F7" w14:textId="10F8500F" w:rsidR="005356EB" w:rsidRDefault="003507E6" w:rsidP="0042760C">
      <w:pPr>
        <w:pStyle w:val="DHHSbody"/>
      </w:pPr>
      <w:r>
        <w:t xml:space="preserve">Common procedures not considered elective surgery are listed in Section 4 of the </w:t>
      </w:r>
      <w:hyperlink r:id="rId17" w:history="1">
        <w:r w:rsidRPr="003507E6">
          <w:rPr>
            <w:rStyle w:val="Hyperlink"/>
          </w:rPr>
          <w:t>ESIS manual</w:t>
        </w:r>
      </w:hyperlink>
      <w:r>
        <w:t xml:space="preserve">. </w:t>
      </w:r>
      <w:r w:rsidR="00333826">
        <w:t>&lt;</w:t>
      </w:r>
      <w:r w:rsidR="00333826" w:rsidRPr="00333826">
        <w:t>https://www2.health.vic.gov.au/about/publications/policiesandguidelines/esis-manual-2019-20</w:t>
      </w:r>
      <w:r w:rsidR="00333826">
        <w:t>&gt;</w:t>
      </w:r>
      <w:r w:rsidR="00550117">
        <w:t xml:space="preserve">. </w:t>
      </w:r>
    </w:p>
    <w:p w14:paraId="793E30C0" w14:textId="702E11AC" w:rsidR="005356EB" w:rsidRDefault="003507E6" w:rsidP="0042760C">
      <w:pPr>
        <w:pStyle w:val="DHHSbody"/>
      </w:pPr>
      <w:r>
        <w:t>Services must ensure that only patients waiting for elective surgery are reported to ESIS. If an episode for an excluded procedure is reported in error, a deletion record must be created to delete the episode from the ESIS database.</w:t>
      </w:r>
    </w:p>
    <w:p w14:paraId="22FF0C1B" w14:textId="2D3B2A53" w:rsidR="00922968" w:rsidRDefault="00550117" w:rsidP="0042760C">
      <w:pPr>
        <w:pStyle w:val="DHHSbody"/>
      </w:pPr>
      <w:r>
        <w:t>Report a specific IP</w:t>
      </w:r>
      <w:r w:rsidR="00C90DCE">
        <w:t xml:space="preserve"> when available. </w:t>
      </w:r>
      <w:r w:rsidR="009F7131">
        <w:t xml:space="preserve">Listed below are </w:t>
      </w:r>
      <w:r w:rsidR="00333826">
        <w:t xml:space="preserve">examples of </w:t>
      </w:r>
      <w:r w:rsidR="00854FD7">
        <w:t xml:space="preserve">procedures reported as IP888, where </w:t>
      </w:r>
      <w:r w:rsidR="009F7131">
        <w:t>s</w:t>
      </w:r>
      <w:r w:rsidR="005356EB">
        <w:t>pecific IP</w:t>
      </w:r>
      <w:r w:rsidR="009F7131">
        <w:t xml:space="preserve"> codes </w:t>
      </w:r>
      <w:r w:rsidR="00E06B48">
        <w:t xml:space="preserve">are </w:t>
      </w:r>
      <w:r w:rsidR="005D21EF">
        <w:t>available</w:t>
      </w:r>
      <w:r w:rsidR="00854FD7">
        <w:t>.</w:t>
      </w:r>
    </w:p>
    <w:p w14:paraId="7AE23C34" w14:textId="28F11A0A" w:rsidR="005356EB" w:rsidRDefault="005356EB" w:rsidP="00922968">
      <w:pPr>
        <w:pStyle w:val="DHHSbody"/>
      </w:pPr>
      <w:r>
        <w:t>IP001 Cataract extraction (with or without intra-ocular lens insertion</w:t>
      </w:r>
      <w:r w:rsidR="00333826">
        <w:t>)</w:t>
      </w:r>
    </w:p>
    <w:p w14:paraId="0BAB3E09" w14:textId="77777777" w:rsidR="00831E70" w:rsidRDefault="00831E70" w:rsidP="00831E70">
      <w:pPr>
        <w:pStyle w:val="DHHSbody"/>
        <w:rPr>
          <w:rFonts w:ascii="Calibri" w:hAnsi="Calibri"/>
          <w:lang w:eastAsia="en-AU"/>
        </w:rPr>
      </w:pPr>
      <w:r>
        <w:rPr>
          <w:lang w:eastAsia="en-AU"/>
        </w:rPr>
        <w:t>IP012 Tonsillectomy (with or without adenoidectomy)</w:t>
      </w:r>
    </w:p>
    <w:p w14:paraId="43779AFD" w14:textId="77777777" w:rsidR="00831E70" w:rsidRDefault="00831E70" w:rsidP="00831E70">
      <w:pPr>
        <w:pStyle w:val="DHHSbody"/>
        <w:rPr>
          <w:lang w:eastAsia="en-AU"/>
        </w:rPr>
      </w:pPr>
      <w:r>
        <w:rPr>
          <w:lang w:eastAsia="en-AU"/>
        </w:rPr>
        <w:t>IP023 Anterior cruciate ligament reconstruction</w:t>
      </w:r>
    </w:p>
    <w:p w14:paraId="2FD047D0" w14:textId="77777777" w:rsidR="00831E70" w:rsidRDefault="00831E70" w:rsidP="00831E70">
      <w:pPr>
        <w:pStyle w:val="DHHSbody"/>
        <w:rPr>
          <w:lang w:eastAsia="en-AU"/>
        </w:rPr>
      </w:pPr>
      <w:r>
        <w:rPr>
          <w:lang w:eastAsia="en-AU"/>
        </w:rPr>
        <w:t xml:space="preserve">IP046 Cleft lip and palate – repair of </w:t>
      </w:r>
    </w:p>
    <w:p w14:paraId="7B95D389" w14:textId="77777777" w:rsidR="00831E70" w:rsidRDefault="00831E70" w:rsidP="00831E70">
      <w:pPr>
        <w:pStyle w:val="DHHSbody"/>
        <w:rPr>
          <w:lang w:eastAsia="en-AU"/>
        </w:rPr>
      </w:pPr>
      <w:r>
        <w:rPr>
          <w:lang w:eastAsia="en-AU"/>
        </w:rPr>
        <w:t>IP067 Examination of eye under anaesthesia</w:t>
      </w:r>
    </w:p>
    <w:p w14:paraId="6AA78681" w14:textId="58F2EFB1" w:rsidR="00922968" w:rsidRDefault="00922968" w:rsidP="00922968">
      <w:pPr>
        <w:pStyle w:val="DHHSbody"/>
      </w:pPr>
      <w:r>
        <w:t>IP034 Breast lump – excision and/or biopsy</w:t>
      </w:r>
    </w:p>
    <w:p w14:paraId="65240B57" w14:textId="77777777" w:rsidR="00922968" w:rsidRPr="0042760C" w:rsidRDefault="00922968" w:rsidP="00922968">
      <w:pPr>
        <w:pStyle w:val="DHHSbody"/>
      </w:pPr>
    </w:p>
    <w:p w14:paraId="77F1E39E" w14:textId="5FD175C6" w:rsidR="00E00BF5" w:rsidRDefault="00E00BF5">
      <w:pPr>
        <w:rPr>
          <w:rFonts w:ascii="Arial" w:eastAsia="MS Gothic" w:hAnsi="Arial" w:cs="Arial"/>
          <w:bCs/>
          <w:color w:val="004EA8"/>
          <w:kern w:val="32"/>
          <w:sz w:val="36"/>
          <w:szCs w:val="40"/>
        </w:rPr>
      </w:pPr>
      <w:r>
        <w:br w:type="page"/>
      </w:r>
    </w:p>
    <w:p w14:paraId="097809F1" w14:textId="59499BFB" w:rsidR="00127FD4" w:rsidRDefault="00127FD4" w:rsidP="00127FD4">
      <w:pPr>
        <w:pStyle w:val="Heading1"/>
      </w:pPr>
      <w:bookmarkStart w:id="8" w:name="_Toc25152361"/>
      <w:r>
        <w:lastRenderedPageBreak/>
        <w:t>Victorian Admitted Episodes Dataset (VAED)</w:t>
      </w:r>
      <w:bookmarkEnd w:id="8"/>
    </w:p>
    <w:p w14:paraId="11B8BF88" w14:textId="2E9CA63B" w:rsidR="00980C7C" w:rsidRDefault="00865B63" w:rsidP="00980C7C">
      <w:pPr>
        <w:pStyle w:val="Heading2"/>
      </w:pPr>
      <w:bookmarkStart w:id="9" w:name="_Toc25152362"/>
      <w:r>
        <w:t>CFA B report</w:t>
      </w:r>
      <w:r w:rsidR="003647C7">
        <w:t>s</w:t>
      </w:r>
      <w:bookmarkEnd w:id="9"/>
    </w:p>
    <w:p w14:paraId="5C0B5812" w14:textId="07047427" w:rsidR="003647C7" w:rsidRDefault="003647C7" w:rsidP="003647C7">
      <w:pPr>
        <w:pStyle w:val="DHHSbody"/>
      </w:pPr>
      <w:r>
        <w:t>As one of the department’s monthly data quality checks we run an extract to identify episodes reported to the VAED with Criteria for Admission B: Day-only automatically admitted procedures (CFA B) but without a procedure from the Automatically Admitted Procedure List (AAPL).</w:t>
      </w:r>
      <w:r w:rsidR="007E55AE">
        <w:t xml:space="preserve"> Episodes with a treatment cancellation diagnosis code Z53x are excluded.</w:t>
      </w:r>
    </w:p>
    <w:p w14:paraId="3A3E9829" w14:textId="7AD8FD09" w:rsidR="003647C7" w:rsidRDefault="003647C7" w:rsidP="003647C7">
      <w:pPr>
        <w:pStyle w:val="DHHSbody"/>
      </w:pPr>
      <w:r>
        <w:t xml:space="preserve">Services are asked to review these episodes to ensure: </w:t>
      </w:r>
    </w:p>
    <w:p w14:paraId="1AA24D2C" w14:textId="00DA4FE9" w:rsidR="003647C7" w:rsidRDefault="003647C7" w:rsidP="003647C7">
      <w:pPr>
        <w:pStyle w:val="DHHSbullet1"/>
      </w:pPr>
      <w:r>
        <w:t>The episode meets a criterion for admission, and should be reported to the VAED</w:t>
      </w:r>
    </w:p>
    <w:p w14:paraId="5F774F06" w14:textId="5464D141" w:rsidR="003647C7" w:rsidRDefault="003647C7" w:rsidP="003647C7">
      <w:pPr>
        <w:pStyle w:val="DHHSbullet1"/>
      </w:pPr>
      <w:r>
        <w:t>The correct criterion for admission (B) has been assigned</w:t>
      </w:r>
    </w:p>
    <w:p w14:paraId="7F1F824D" w14:textId="6F379088" w:rsidR="003647C7" w:rsidRDefault="003647C7" w:rsidP="003647C7">
      <w:pPr>
        <w:pStyle w:val="DHHSbullet1lastline"/>
      </w:pPr>
      <w:r>
        <w:t>The correct procedure code/s have been assigned</w:t>
      </w:r>
    </w:p>
    <w:p w14:paraId="76D6BE1A" w14:textId="07FB7BD9" w:rsidR="003647C7" w:rsidRDefault="003647C7" w:rsidP="003647C7">
      <w:pPr>
        <w:pStyle w:val="DHHSbody"/>
      </w:pPr>
      <w:r>
        <w:t xml:space="preserve">Previously reports were sent out via email. Shortly reports </w:t>
      </w:r>
      <w:r w:rsidR="00505D11">
        <w:t xml:space="preserve">covering the period July to September </w:t>
      </w:r>
      <w:r>
        <w:t>will be provided via MFT.</w:t>
      </w:r>
    </w:p>
    <w:p w14:paraId="3EB377D8" w14:textId="41B0A446" w:rsidR="003647C7" w:rsidRDefault="003647C7" w:rsidP="003647C7">
      <w:pPr>
        <w:pStyle w:val="DHHSbody"/>
      </w:pPr>
    </w:p>
    <w:p w14:paraId="604B96CF" w14:textId="4D6BD9AF" w:rsidR="0035439E" w:rsidRDefault="0035439E" w:rsidP="0035439E">
      <w:pPr>
        <w:pStyle w:val="Heading2"/>
      </w:pPr>
      <w:bookmarkStart w:id="10" w:name="_Toc25152363"/>
      <w:r>
        <w:t>Correction to Reporting guide by Contract Type / Role</w:t>
      </w:r>
      <w:r w:rsidR="005850D3">
        <w:t xml:space="preserve"> table</w:t>
      </w:r>
      <w:r>
        <w:t xml:space="preserve"> in VAED manual</w:t>
      </w:r>
      <w:bookmarkEnd w:id="10"/>
    </w:p>
    <w:p w14:paraId="2B24F86D" w14:textId="441762D7" w:rsidR="0035439E" w:rsidRPr="0035439E" w:rsidRDefault="0035439E" w:rsidP="0035439E">
      <w:pPr>
        <w:pStyle w:val="DHHSbody"/>
      </w:pPr>
      <w:r>
        <w:t xml:space="preserve">The following correction has been made to </w:t>
      </w:r>
      <w:r w:rsidR="00E63FBA">
        <w:t xml:space="preserve">the </w:t>
      </w:r>
      <w:r w:rsidR="00E63FBA" w:rsidRPr="00E63FBA">
        <w:t>Reporting guide by Contract Type and Contract Role</w:t>
      </w:r>
      <w:r w:rsidR="00E63FBA">
        <w:t xml:space="preserve"> table in Section 4 of the VAED manual. The correction will be included in the next edition of the manual.</w:t>
      </w:r>
    </w:p>
    <w:p w14:paraId="28429397" w14:textId="77777777" w:rsidR="0035439E" w:rsidRPr="0035439E" w:rsidRDefault="0035439E" w:rsidP="0035439E">
      <w:pPr>
        <w:pStyle w:val="DHHSbody"/>
        <w:rPr>
          <w:color w:val="C25528"/>
          <w:sz w:val="28"/>
          <w:szCs w:val="28"/>
        </w:rPr>
      </w:pPr>
      <w:bookmarkStart w:id="11" w:name="_Toc12870804"/>
      <w:r w:rsidRPr="0035439E">
        <w:rPr>
          <w:color w:val="C25528"/>
          <w:sz w:val="28"/>
          <w:szCs w:val="28"/>
        </w:rPr>
        <w:t>Reporting guide by Contract Type and Contract Role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617"/>
        <w:gridCol w:w="7319"/>
        <w:gridCol w:w="1094"/>
      </w:tblGrid>
      <w:tr w:rsidR="0035439E" w14:paraId="768A7330" w14:textId="77777777" w:rsidTr="00BF0206">
        <w:tc>
          <w:tcPr>
            <w:tcW w:w="993" w:type="dxa"/>
            <w:gridSpan w:val="2"/>
          </w:tcPr>
          <w:p w14:paraId="1D24C9B8" w14:textId="77777777" w:rsidR="0035439E" w:rsidRPr="0035439E" w:rsidRDefault="0035439E" w:rsidP="00BF0206">
            <w:pPr>
              <w:pStyle w:val="DHHStablecolhead"/>
              <w:rPr>
                <w:color w:val="C25528"/>
              </w:rPr>
            </w:pPr>
            <w:r w:rsidRPr="0035439E">
              <w:rPr>
                <w:color w:val="C25528"/>
              </w:rPr>
              <w:t>Contract Type</w:t>
            </w:r>
          </w:p>
        </w:tc>
        <w:tc>
          <w:tcPr>
            <w:tcW w:w="7319" w:type="dxa"/>
          </w:tcPr>
          <w:p w14:paraId="275B64B9" w14:textId="77777777" w:rsidR="0035439E" w:rsidRPr="0035439E" w:rsidRDefault="0035439E" w:rsidP="00BF0206">
            <w:pPr>
              <w:pStyle w:val="DHHStablecolhead"/>
              <w:rPr>
                <w:color w:val="C25528"/>
              </w:rPr>
            </w:pPr>
            <w:r w:rsidRPr="0035439E">
              <w:rPr>
                <w:color w:val="C25528"/>
              </w:rPr>
              <w:t>Examples</w:t>
            </w:r>
          </w:p>
        </w:tc>
        <w:tc>
          <w:tcPr>
            <w:tcW w:w="1094" w:type="dxa"/>
          </w:tcPr>
          <w:p w14:paraId="7833CE9E" w14:textId="77777777" w:rsidR="0035439E" w:rsidRPr="0035439E" w:rsidRDefault="0035439E" w:rsidP="00BF0206">
            <w:pPr>
              <w:pStyle w:val="DHHStablecolhead"/>
              <w:rPr>
                <w:color w:val="C25528"/>
              </w:rPr>
            </w:pPr>
            <w:r w:rsidRPr="0035439E">
              <w:rPr>
                <w:color w:val="C25528"/>
              </w:rPr>
              <w:t>Reported by</w:t>
            </w:r>
          </w:p>
        </w:tc>
      </w:tr>
      <w:tr w:rsidR="0035439E" w14:paraId="74B9F644" w14:textId="77777777" w:rsidTr="00BF0206">
        <w:tc>
          <w:tcPr>
            <w:tcW w:w="426" w:type="dxa"/>
            <w:tcBorders>
              <w:left w:val="single" w:sz="4" w:space="0" w:color="auto"/>
              <w:right w:val="nil"/>
            </w:tcBorders>
          </w:tcPr>
          <w:p w14:paraId="3871F8F1" w14:textId="77777777" w:rsidR="0035439E" w:rsidRDefault="0035439E" w:rsidP="00BF0206">
            <w:pPr>
              <w:pStyle w:val="DHHStabletext"/>
            </w:pPr>
            <w:r>
              <w:t>1</w:t>
            </w:r>
          </w:p>
        </w:tc>
        <w:tc>
          <w:tcPr>
            <w:tcW w:w="567" w:type="dxa"/>
            <w:tcBorders>
              <w:left w:val="nil"/>
            </w:tcBorders>
          </w:tcPr>
          <w:p w14:paraId="0767FCD0" w14:textId="77777777" w:rsidR="0035439E" w:rsidRDefault="0035439E" w:rsidP="00BF0206">
            <w:pPr>
              <w:pStyle w:val="DHHStabletext"/>
            </w:pPr>
            <w:r w:rsidRPr="00467EFE">
              <w:rPr>
                <w:strike/>
              </w:rPr>
              <w:t>A</w:t>
            </w:r>
            <w:r>
              <w:t xml:space="preserve"> </w:t>
            </w:r>
            <w:r w:rsidRPr="00467EFE">
              <w:rPr>
                <w:highlight w:val="green"/>
              </w:rPr>
              <w:t>B</w:t>
            </w:r>
          </w:p>
        </w:tc>
        <w:tc>
          <w:tcPr>
            <w:tcW w:w="7319" w:type="dxa"/>
          </w:tcPr>
          <w:p w14:paraId="3B5A6113" w14:textId="77777777" w:rsidR="0035439E" w:rsidRDefault="0035439E" w:rsidP="00BF0206">
            <w:pPr>
              <w:pStyle w:val="DHHStabletext"/>
            </w:pPr>
            <w:r>
              <w:t>A health authority, or other external purchaser, contracts hospital B for admitted service which is funded outside the standard funding arrangements</w:t>
            </w:r>
          </w:p>
        </w:tc>
        <w:tc>
          <w:tcPr>
            <w:tcW w:w="1094" w:type="dxa"/>
          </w:tcPr>
          <w:p w14:paraId="154AE182" w14:textId="77777777" w:rsidR="0035439E" w:rsidRDefault="0035439E" w:rsidP="00BF0206">
            <w:pPr>
              <w:pStyle w:val="DHHStabletext"/>
            </w:pPr>
            <w:r>
              <w:t>B</w:t>
            </w:r>
          </w:p>
        </w:tc>
      </w:tr>
      <w:tr w:rsidR="0035439E" w14:paraId="428A84A8" w14:textId="77777777" w:rsidTr="00BF0206">
        <w:tc>
          <w:tcPr>
            <w:tcW w:w="426" w:type="dxa"/>
            <w:tcBorders>
              <w:left w:val="single" w:sz="4" w:space="0" w:color="auto"/>
              <w:right w:val="nil"/>
            </w:tcBorders>
          </w:tcPr>
          <w:p w14:paraId="1D2977D4" w14:textId="77777777" w:rsidR="0035439E" w:rsidRDefault="0035439E" w:rsidP="00BF0206">
            <w:pPr>
              <w:pStyle w:val="DHHStabletext"/>
            </w:pPr>
            <w:r>
              <w:t>2</w:t>
            </w:r>
          </w:p>
        </w:tc>
        <w:tc>
          <w:tcPr>
            <w:tcW w:w="567" w:type="dxa"/>
            <w:tcBorders>
              <w:left w:val="nil"/>
            </w:tcBorders>
          </w:tcPr>
          <w:p w14:paraId="5AE6D3DC" w14:textId="77777777" w:rsidR="0035439E" w:rsidRDefault="0035439E" w:rsidP="00BF0206">
            <w:pPr>
              <w:pStyle w:val="DHHStabletext"/>
            </w:pPr>
            <w:r>
              <w:t>ABA</w:t>
            </w:r>
          </w:p>
        </w:tc>
        <w:tc>
          <w:tcPr>
            <w:tcW w:w="7319" w:type="dxa"/>
          </w:tcPr>
          <w:p w14:paraId="645A8293" w14:textId="77777777" w:rsidR="0035439E" w:rsidRDefault="0035439E" w:rsidP="00BF0206">
            <w:pPr>
              <w:pStyle w:val="DHHStabletext"/>
            </w:pPr>
            <w:r>
              <w:t>A patient has a hip replacement at hospital A, then receives aftercare at hospital B, under contract to hospital A. Complications arise and the patient returns to hospital A for remainder of care</w:t>
            </w:r>
          </w:p>
        </w:tc>
        <w:tc>
          <w:tcPr>
            <w:tcW w:w="1094" w:type="dxa"/>
          </w:tcPr>
          <w:p w14:paraId="7F503191" w14:textId="77777777" w:rsidR="0035439E" w:rsidRDefault="0035439E" w:rsidP="00BF0206">
            <w:pPr>
              <w:pStyle w:val="DHHStabletext"/>
            </w:pPr>
            <w:r>
              <w:t>A, B</w:t>
            </w:r>
          </w:p>
        </w:tc>
      </w:tr>
      <w:tr w:rsidR="0035439E" w14:paraId="0625BF55" w14:textId="77777777" w:rsidTr="00BF0206">
        <w:tc>
          <w:tcPr>
            <w:tcW w:w="426" w:type="dxa"/>
            <w:tcBorders>
              <w:left w:val="single" w:sz="4" w:space="0" w:color="auto"/>
              <w:right w:val="nil"/>
            </w:tcBorders>
          </w:tcPr>
          <w:p w14:paraId="570FF9F8" w14:textId="77777777" w:rsidR="0035439E" w:rsidRDefault="0035439E" w:rsidP="00BF0206">
            <w:pPr>
              <w:pStyle w:val="DHHStabletext"/>
            </w:pPr>
            <w:r>
              <w:t>3</w:t>
            </w:r>
          </w:p>
        </w:tc>
        <w:tc>
          <w:tcPr>
            <w:tcW w:w="567" w:type="dxa"/>
            <w:tcBorders>
              <w:left w:val="nil"/>
            </w:tcBorders>
          </w:tcPr>
          <w:p w14:paraId="1AF5903D" w14:textId="77777777" w:rsidR="0035439E" w:rsidRDefault="0035439E" w:rsidP="00BF0206">
            <w:pPr>
              <w:pStyle w:val="DHHStabletext"/>
            </w:pPr>
            <w:r>
              <w:t>AB</w:t>
            </w:r>
          </w:p>
        </w:tc>
        <w:tc>
          <w:tcPr>
            <w:tcW w:w="7319" w:type="dxa"/>
          </w:tcPr>
          <w:p w14:paraId="59AB3246" w14:textId="77777777" w:rsidR="0035439E" w:rsidRDefault="0035439E" w:rsidP="00BF0206">
            <w:pPr>
              <w:pStyle w:val="DHHStabletext"/>
            </w:pPr>
            <w:r>
              <w:t>A patient has a hip replacement at hospital A, then receives aftercare at hospital B, under contract to hospital A. Patient is separated from B.</w:t>
            </w:r>
          </w:p>
        </w:tc>
        <w:tc>
          <w:tcPr>
            <w:tcW w:w="1094" w:type="dxa"/>
          </w:tcPr>
          <w:p w14:paraId="17B49786" w14:textId="77777777" w:rsidR="0035439E" w:rsidRDefault="0035439E" w:rsidP="00BF0206">
            <w:pPr>
              <w:pStyle w:val="DHHStabletext"/>
            </w:pPr>
            <w:r>
              <w:t>A, B</w:t>
            </w:r>
          </w:p>
        </w:tc>
      </w:tr>
      <w:tr w:rsidR="0035439E" w14:paraId="03B0EF9F" w14:textId="77777777" w:rsidTr="00BF0206">
        <w:tc>
          <w:tcPr>
            <w:tcW w:w="426" w:type="dxa"/>
            <w:tcBorders>
              <w:left w:val="single" w:sz="4" w:space="0" w:color="auto"/>
              <w:right w:val="nil"/>
            </w:tcBorders>
          </w:tcPr>
          <w:p w14:paraId="7129D693" w14:textId="77777777" w:rsidR="0035439E" w:rsidRDefault="0035439E" w:rsidP="00BF0206">
            <w:pPr>
              <w:pStyle w:val="DHHStabletext"/>
            </w:pPr>
            <w:r>
              <w:t>4</w:t>
            </w:r>
          </w:p>
        </w:tc>
        <w:tc>
          <w:tcPr>
            <w:tcW w:w="567" w:type="dxa"/>
            <w:tcBorders>
              <w:left w:val="nil"/>
            </w:tcBorders>
          </w:tcPr>
          <w:p w14:paraId="6D19B62B" w14:textId="77777777" w:rsidR="0035439E" w:rsidRDefault="0035439E" w:rsidP="00BF0206">
            <w:pPr>
              <w:pStyle w:val="DHHStabletext"/>
            </w:pPr>
            <w:r>
              <w:t>(A)B</w:t>
            </w:r>
          </w:p>
        </w:tc>
        <w:tc>
          <w:tcPr>
            <w:tcW w:w="7319" w:type="dxa"/>
          </w:tcPr>
          <w:p w14:paraId="0E6E77B3" w14:textId="77777777" w:rsidR="0035439E" w:rsidRDefault="0035439E" w:rsidP="00BF0206">
            <w:pPr>
              <w:pStyle w:val="DHHStabletext"/>
            </w:pPr>
            <w:r>
              <w:t>A patient is admitted for a colonoscopy at hospital B under contract to hospital A. The patient does not attend hospital A.</w:t>
            </w:r>
          </w:p>
        </w:tc>
        <w:tc>
          <w:tcPr>
            <w:tcW w:w="1094" w:type="dxa"/>
          </w:tcPr>
          <w:p w14:paraId="3EF2CD0B" w14:textId="77777777" w:rsidR="0035439E" w:rsidRDefault="0035439E" w:rsidP="00BF0206">
            <w:pPr>
              <w:pStyle w:val="DHHStabletext"/>
            </w:pPr>
            <w:r>
              <w:t>A, B</w:t>
            </w:r>
          </w:p>
        </w:tc>
      </w:tr>
      <w:tr w:rsidR="0035439E" w14:paraId="6D4155A1" w14:textId="77777777" w:rsidTr="00BF0206">
        <w:tc>
          <w:tcPr>
            <w:tcW w:w="426" w:type="dxa"/>
            <w:tcBorders>
              <w:left w:val="single" w:sz="4" w:space="0" w:color="auto"/>
              <w:right w:val="nil"/>
            </w:tcBorders>
          </w:tcPr>
          <w:p w14:paraId="35E56B52" w14:textId="77777777" w:rsidR="0035439E" w:rsidRDefault="0035439E" w:rsidP="00BF0206">
            <w:pPr>
              <w:pStyle w:val="DHHStabletext"/>
            </w:pPr>
            <w:r>
              <w:t>5</w:t>
            </w:r>
          </w:p>
        </w:tc>
        <w:tc>
          <w:tcPr>
            <w:tcW w:w="567" w:type="dxa"/>
            <w:tcBorders>
              <w:left w:val="nil"/>
            </w:tcBorders>
          </w:tcPr>
          <w:p w14:paraId="3D530A59" w14:textId="77777777" w:rsidR="0035439E" w:rsidRDefault="0035439E" w:rsidP="00BF0206">
            <w:pPr>
              <w:pStyle w:val="DHHStabletext"/>
            </w:pPr>
            <w:r>
              <w:t>BA</w:t>
            </w:r>
          </w:p>
        </w:tc>
        <w:tc>
          <w:tcPr>
            <w:tcW w:w="7319" w:type="dxa"/>
          </w:tcPr>
          <w:p w14:paraId="35C0BED7" w14:textId="77777777" w:rsidR="0035439E" w:rsidRDefault="0035439E" w:rsidP="00BF0206">
            <w:pPr>
              <w:pStyle w:val="DHHStabletext"/>
            </w:pPr>
            <w:r>
              <w:t>A patient is admitted to hospital B for a gastric resection procedure under contract to hospital A, and hospital A provides aftercare.</w:t>
            </w:r>
          </w:p>
        </w:tc>
        <w:tc>
          <w:tcPr>
            <w:tcW w:w="1094" w:type="dxa"/>
          </w:tcPr>
          <w:p w14:paraId="3E661506" w14:textId="77777777" w:rsidR="0035439E" w:rsidRDefault="0035439E" w:rsidP="00BF0206">
            <w:pPr>
              <w:pStyle w:val="DHHStabletext"/>
            </w:pPr>
            <w:r>
              <w:t>A, B</w:t>
            </w:r>
          </w:p>
        </w:tc>
      </w:tr>
      <w:tr w:rsidR="0035439E" w14:paraId="34AFC327" w14:textId="77777777" w:rsidTr="00BF0206">
        <w:tc>
          <w:tcPr>
            <w:tcW w:w="426" w:type="dxa"/>
            <w:tcBorders>
              <w:left w:val="single" w:sz="4" w:space="0" w:color="auto"/>
              <w:right w:val="nil"/>
            </w:tcBorders>
          </w:tcPr>
          <w:p w14:paraId="7E7EE224" w14:textId="77777777" w:rsidR="0035439E" w:rsidRDefault="0035439E" w:rsidP="00BF0206">
            <w:pPr>
              <w:pStyle w:val="DHHStabletext"/>
            </w:pPr>
            <w:r>
              <w:t>6</w:t>
            </w:r>
          </w:p>
        </w:tc>
        <w:tc>
          <w:tcPr>
            <w:tcW w:w="567" w:type="dxa"/>
            <w:tcBorders>
              <w:left w:val="nil"/>
            </w:tcBorders>
          </w:tcPr>
          <w:p w14:paraId="64B68B91" w14:textId="77777777" w:rsidR="0035439E" w:rsidRDefault="0035439E" w:rsidP="00BF0206">
            <w:pPr>
              <w:pStyle w:val="DHHStabletext"/>
            </w:pPr>
            <w:r>
              <w:t>A(B)</w:t>
            </w:r>
          </w:p>
        </w:tc>
        <w:tc>
          <w:tcPr>
            <w:tcW w:w="7319" w:type="dxa"/>
          </w:tcPr>
          <w:p w14:paraId="4A1529B1" w14:textId="77777777" w:rsidR="0035439E" w:rsidRDefault="0035439E" w:rsidP="00BF0206">
            <w:pPr>
              <w:pStyle w:val="DHHStabletext"/>
            </w:pPr>
            <w:r>
              <w:t>Hospital A contracts hospital B for whole admitted patient service. B provides service at hospital A.</w:t>
            </w:r>
          </w:p>
        </w:tc>
        <w:tc>
          <w:tcPr>
            <w:tcW w:w="1094" w:type="dxa"/>
          </w:tcPr>
          <w:p w14:paraId="28ED5A59" w14:textId="77777777" w:rsidR="0035439E" w:rsidRDefault="0035439E" w:rsidP="00BF0206">
            <w:pPr>
              <w:pStyle w:val="DHHStabletext"/>
            </w:pPr>
            <w:r>
              <w:t>A</w:t>
            </w:r>
          </w:p>
        </w:tc>
      </w:tr>
    </w:tbl>
    <w:p w14:paraId="5FFA4E30" w14:textId="77777777" w:rsidR="0035439E" w:rsidRPr="0035439E" w:rsidRDefault="0035439E" w:rsidP="0035439E">
      <w:pPr>
        <w:pStyle w:val="DHHSbody"/>
      </w:pPr>
    </w:p>
    <w:p w14:paraId="6962B1DD" w14:textId="77777777" w:rsidR="00980C7C" w:rsidRDefault="00980C7C">
      <w:pPr>
        <w:rPr>
          <w:rFonts w:ascii="Arial" w:eastAsia="MS Gothic" w:hAnsi="Arial" w:cs="Arial"/>
          <w:bCs/>
          <w:color w:val="004EA8"/>
          <w:kern w:val="32"/>
          <w:sz w:val="36"/>
          <w:szCs w:val="40"/>
        </w:rPr>
      </w:pPr>
      <w:r>
        <w:br w:type="page"/>
      </w:r>
    </w:p>
    <w:p w14:paraId="3E160579" w14:textId="17180208" w:rsidR="00E71D28" w:rsidRPr="00F17569" w:rsidRDefault="00E71D28" w:rsidP="00E71D28">
      <w:pPr>
        <w:pStyle w:val="Heading1"/>
      </w:pPr>
      <w:bookmarkStart w:id="12" w:name="_Toc25152364"/>
      <w:r w:rsidRPr="00F17569">
        <w:t>Victorian Integrated Non-Admitted Health Minimum Dataset (VINAH)</w:t>
      </w:r>
      <w:bookmarkEnd w:id="12"/>
    </w:p>
    <w:p w14:paraId="26A3E797" w14:textId="5A7C8077" w:rsidR="00980C7C" w:rsidRDefault="00381769" w:rsidP="00980C7C">
      <w:pPr>
        <w:pStyle w:val="Heading2"/>
        <w:rPr>
          <w:rFonts w:eastAsia="Times"/>
        </w:rPr>
      </w:pPr>
      <w:bookmarkStart w:id="13" w:name="_Toc25152365"/>
      <w:r>
        <w:rPr>
          <w:rFonts w:eastAsia="Times"/>
        </w:rPr>
        <w:t>Amendment to Referral End Reason in VINAH manual</w:t>
      </w:r>
      <w:bookmarkEnd w:id="13"/>
    </w:p>
    <w:p w14:paraId="75593F8D" w14:textId="4012FBC3" w:rsidR="00381769" w:rsidRDefault="00381769" w:rsidP="00381769">
      <w:pPr>
        <w:pStyle w:val="DHHSbody"/>
      </w:pPr>
      <w:r>
        <w:t>A correction has been made to data element Referral End Reason in Section 3 of the VINAH manual.</w:t>
      </w:r>
    </w:p>
    <w:p w14:paraId="434548B8" w14:textId="77777777" w:rsidR="00381769" w:rsidRDefault="00381769" w:rsidP="00381769">
      <w:pPr>
        <w:widowControl w:val="0"/>
        <w:tabs>
          <w:tab w:val="left" w:pos="1843"/>
        </w:tabs>
        <w:autoSpaceDE w:val="0"/>
        <w:autoSpaceDN w:val="0"/>
        <w:adjustRightInd w:val="0"/>
        <w:ind w:left="1843" w:hanging="1843"/>
        <w:rPr>
          <w:rFonts w:ascii="Arial" w:hAnsi="Arial" w:cs="Arial"/>
          <w:b/>
          <w:color w:val="000000"/>
          <w:lang w:eastAsia="en-AU"/>
        </w:rPr>
      </w:pPr>
    </w:p>
    <w:p w14:paraId="0977BE9D" w14:textId="5C47A301" w:rsidR="00381769" w:rsidRDefault="00381769" w:rsidP="00381769">
      <w:pPr>
        <w:widowControl w:val="0"/>
        <w:tabs>
          <w:tab w:val="left" w:pos="1843"/>
        </w:tabs>
        <w:autoSpaceDE w:val="0"/>
        <w:autoSpaceDN w:val="0"/>
        <w:adjustRightInd w:val="0"/>
        <w:ind w:left="1843" w:hanging="1843"/>
        <w:rPr>
          <w:rFonts w:ascii="Arial" w:hAnsi="Arial" w:cs="Arial"/>
          <w:color w:val="000000"/>
          <w:lang w:eastAsia="en-AU"/>
        </w:rPr>
      </w:pPr>
      <w:r w:rsidRPr="00977294">
        <w:rPr>
          <w:rFonts w:ascii="Arial" w:hAnsi="Arial" w:cs="Arial"/>
          <w:b/>
          <w:color w:val="000000"/>
          <w:lang w:eastAsia="en-AU"/>
        </w:rPr>
        <w:t>Location</w:t>
      </w:r>
      <w:r>
        <w:rPr>
          <w:rFonts w:ascii="Arial" w:hAnsi="Arial" w:cs="Arial"/>
          <w:color w:val="000000"/>
          <w:lang w:eastAsia="en-AU"/>
        </w:rPr>
        <w:tab/>
      </w:r>
      <w:r>
        <w:rPr>
          <w:rFonts w:ascii="Arial" w:hAnsi="Arial" w:cs="Arial"/>
          <w:b/>
          <w:color w:val="000000"/>
          <w:lang w:eastAsia="en-AU"/>
        </w:rPr>
        <w:t>Transmission protocol</w:t>
      </w:r>
      <w:r>
        <w:rPr>
          <w:rFonts w:ascii="Arial" w:hAnsi="Arial" w:cs="Arial"/>
          <w:b/>
          <w:color w:val="000000"/>
          <w:lang w:eastAsia="en-AU"/>
        </w:rPr>
        <w:tab/>
      </w:r>
      <w:r>
        <w:rPr>
          <w:rFonts w:ascii="Arial" w:hAnsi="Arial" w:cs="Arial"/>
          <w:b/>
          <w:color w:val="000000"/>
          <w:lang w:eastAsia="en-AU"/>
        </w:rPr>
        <w:tab/>
        <w:t>HL7 Submission</w:t>
      </w:r>
    </w:p>
    <w:p w14:paraId="51D832F3" w14:textId="302E67E2" w:rsidR="00381769" w:rsidRDefault="00381769" w:rsidP="00381769">
      <w:pPr>
        <w:widowControl w:val="0"/>
        <w:tabs>
          <w:tab w:val="left" w:pos="1843"/>
        </w:tabs>
        <w:autoSpaceDE w:val="0"/>
        <w:autoSpaceDN w:val="0"/>
        <w:adjustRightInd w:val="0"/>
        <w:spacing w:before="40" w:after="40"/>
        <w:ind w:left="1843" w:hanging="1843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ab/>
        <w:t>Referral (insert)</w:t>
      </w:r>
      <w:r>
        <w:rPr>
          <w:rFonts w:ascii="Arial" w:hAnsi="Arial" w:cs="Arial"/>
          <w:color w:val="000000"/>
          <w:lang w:eastAsia="en-AU"/>
        </w:rPr>
        <w:tab/>
      </w:r>
      <w:r>
        <w:rPr>
          <w:rFonts w:ascii="Arial" w:hAnsi="Arial" w:cs="Arial"/>
          <w:color w:val="000000"/>
          <w:lang w:eastAsia="en-AU"/>
        </w:rPr>
        <w:tab/>
      </w:r>
      <w:r>
        <w:rPr>
          <w:rFonts w:ascii="Arial" w:hAnsi="Arial" w:cs="Arial"/>
          <w:color w:val="000000"/>
          <w:lang w:eastAsia="en-AU"/>
        </w:rPr>
        <w:tab/>
        <w:t>RRI</w:t>
      </w:r>
      <w:r w:rsidRPr="00E066F7">
        <w:rPr>
          <w:rFonts w:ascii="Arial" w:hAnsi="Arial" w:cs="Arial"/>
          <w:color w:val="000000"/>
          <w:lang w:eastAsia="en-AU"/>
        </w:rPr>
        <w:t>_</w:t>
      </w:r>
      <w:r>
        <w:rPr>
          <w:rFonts w:ascii="Arial" w:hAnsi="Arial" w:cs="Arial"/>
          <w:color w:val="000000"/>
          <w:lang w:eastAsia="en-AU"/>
        </w:rPr>
        <w:t>I12</w:t>
      </w:r>
      <w:r w:rsidRPr="00E066F7">
        <w:rPr>
          <w:rFonts w:ascii="Arial" w:hAnsi="Arial" w:cs="Arial"/>
          <w:color w:val="000000"/>
          <w:lang w:eastAsia="en-AU"/>
        </w:rPr>
        <w:t xml:space="preserve"> (</w:t>
      </w:r>
      <w:r>
        <w:rPr>
          <w:rFonts w:ascii="Arial" w:hAnsi="Arial" w:cs="Arial"/>
          <w:color w:val="000000"/>
          <w:lang w:eastAsia="en-AU"/>
        </w:rPr>
        <w:t>RF1.10</w:t>
      </w:r>
      <w:r w:rsidRPr="00381769">
        <w:rPr>
          <w:rFonts w:ascii="Arial" w:hAnsi="Arial" w:cs="Arial"/>
          <w:color w:val="000000"/>
          <w:highlight w:val="green"/>
          <w:lang w:eastAsia="en-AU"/>
        </w:rPr>
        <w:t>.1</w:t>
      </w:r>
      <w:r w:rsidRPr="00381769">
        <w:rPr>
          <w:rFonts w:ascii="Arial" w:hAnsi="Arial" w:cs="Arial"/>
          <w:color w:val="000000"/>
          <w:lang w:eastAsia="en-AU"/>
        </w:rPr>
        <w:t>)</w:t>
      </w:r>
    </w:p>
    <w:p w14:paraId="6E27790B" w14:textId="592F3056" w:rsidR="00381769" w:rsidRDefault="00381769" w:rsidP="00381769">
      <w:pPr>
        <w:widowControl w:val="0"/>
        <w:tabs>
          <w:tab w:val="left" w:pos="1843"/>
        </w:tabs>
        <w:autoSpaceDE w:val="0"/>
        <w:autoSpaceDN w:val="0"/>
        <w:adjustRightInd w:val="0"/>
        <w:spacing w:after="40"/>
        <w:ind w:left="1843" w:hanging="1843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ab/>
        <w:t>Referral (update)</w:t>
      </w:r>
      <w:r>
        <w:rPr>
          <w:rFonts w:ascii="Arial" w:hAnsi="Arial" w:cs="Arial"/>
          <w:color w:val="000000"/>
          <w:lang w:eastAsia="en-AU"/>
        </w:rPr>
        <w:tab/>
      </w:r>
      <w:r>
        <w:rPr>
          <w:rFonts w:ascii="Arial" w:hAnsi="Arial" w:cs="Arial"/>
          <w:color w:val="000000"/>
          <w:lang w:eastAsia="en-AU"/>
        </w:rPr>
        <w:tab/>
      </w:r>
      <w:r>
        <w:rPr>
          <w:rFonts w:ascii="Arial" w:hAnsi="Arial" w:cs="Arial"/>
          <w:color w:val="000000"/>
          <w:lang w:eastAsia="en-AU"/>
        </w:rPr>
        <w:tab/>
        <w:t>RRI</w:t>
      </w:r>
      <w:r w:rsidRPr="00E066F7">
        <w:rPr>
          <w:rFonts w:ascii="Arial" w:hAnsi="Arial" w:cs="Arial"/>
          <w:color w:val="000000"/>
          <w:lang w:eastAsia="en-AU"/>
        </w:rPr>
        <w:t>_</w:t>
      </w:r>
      <w:r>
        <w:rPr>
          <w:rFonts w:ascii="Arial" w:hAnsi="Arial" w:cs="Arial"/>
          <w:color w:val="000000"/>
          <w:lang w:eastAsia="en-AU"/>
        </w:rPr>
        <w:t>I13</w:t>
      </w:r>
      <w:r w:rsidRPr="00E066F7">
        <w:rPr>
          <w:rFonts w:ascii="Arial" w:hAnsi="Arial" w:cs="Arial"/>
          <w:color w:val="000000"/>
          <w:lang w:eastAsia="en-AU"/>
        </w:rPr>
        <w:t xml:space="preserve"> (</w:t>
      </w:r>
      <w:r>
        <w:rPr>
          <w:rFonts w:ascii="Arial" w:hAnsi="Arial" w:cs="Arial"/>
          <w:color w:val="000000"/>
          <w:lang w:eastAsia="en-AU"/>
        </w:rPr>
        <w:t>RF1.10</w:t>
      </w:r>
      <w:r w:rsidRPr="00381769">
        <w:rPr>
          <w:rFonts w:ascii="Arial" w:hAnsi="Arial" w:cs="Arial"/>
          <w:color w:val="000000"/>
          <w:highlight w:val="green"/>
          <w:lang w:eastAsia="en-AU"/>
        </w:rPr>
        <w:t>.1</w:t>
      </w:r>
      <w:r w:rsidRPr="00E066F7">
        <w:rPr>
          <w:rFonts w:ascii="Arial" w:hAnsi="Arial" w:cs="Arial"/>
          <w:color w:val="000000"/>
          <w:lang w:eastAsia="en-AU"/>
        </w:rPr>
        <w:t>)</w:t>
      </w:r>
    </w:p>
    <w:p w14:paraId="7B5B97AC" w14:textId="715ED706" w:rsidR="00381769" w:rsidRDefault="00381769" w:rsidP="00381769">
      <w:pPr>
        <w:widowControl w:val="0"/>
        <w:tabs>
          <w:tab w:val="left" w:pos="1843"/>
        </w:tabs>
        <w:autoSpaceDE w:val="0"/>
        <w:autoSpaceDN w:val="0"/>
        <w:adjustRightInd w:val="0"/>
        <w:spacing w:after="40"/>
        <w:ind w:left="1843" w:hanging="1843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ab/>
        <w:t>Referral (delete</w:t>
      </w:r>
      <w:r w:rsidRPr="0094098F">
        <w:rPr>
          <w:rFonts w:ascii="Arial" w:hAnsi="Arial" w:cs="Arial"/>
          <w:color w:val="000000"/>
          <w:lang w:eastAsia="en-AU"/>
        </w:rPr>
        <w:t>)</w:t>
      </w:r>
      <w:r>
        <w:rPr>
          <w:rFonts w:ascii="Arial" w:hAnsi="Arial" w:cs="Arial"/>
          <w:color w:val="000000"/>
          <w:lang w:eastAsia="en-AU"/>
        </w:rPr>
        <w:tab/>
      </w:r>
      <w:r>
        <w:rPr>
          <w:rFonts w:ascii="Arial" w:hAnsi="Arial" w:cs="Arial"/>
          <w:color w:val="000000"/>
          <w:lang w:eastAsia="en-AU"/>
        </w:rPr>
        <w:tab/>
      </w:r>
      <w:r>
        <w:rPr>
          <w:rFonts w:ascii="Arial" w:hAnsi="Arial" w:cs="Arial"/>
          <w:color w:val="000000"/>
          <w:lang w:eastAsia="en-AU"/>
        </w:rPr>
        <w:tab/>
        <w:t>RRI</w:t>
      </w:r>
      <w:r w:rsidRPr="00E066F7">
        <w:rPr>
          <w:rFonts w:ascii="Arial" w:hAnsi="Arial" w:cs="Arial"/>
          <w:color w:val="000000"/>
          <w:lang w:eastAsia="en-AU"/>
        </w:rPr>
        <w:t>_</w:t>
      </w:r>
      <w:r>
        <w:rPr>
          <w:rFonts w:ascii="Arial" w:hAnsi="Arial" w:cs="Arial"/>
          <w:color w:val="000000"/>
          <w:lang w:eastAsia="en-AU"/>
        </w:rPr>
        <w:t>I14</w:t>
      </w:r>
      <w:r w:rsidRPr="00E066F7">
        <w:rPr>
          <w:rFonts w:ascii="Arial" w:hAnsi="Arial" w:cs="Arial"/>
          <w:color w:val="000000"/>
          <w:lang w:eastAsia="en-AU"/>
        </w:rPr>
        <w:t xml:space="preserve"> (</w:t>
      </w:r>
      <w:r>
        <w:rPr>
          <w:rFonts w:ascii="Arial" w:hAnsi="Arial" w:cs="Arial"/>
          <w:color w:val="000000"/>
          <w:lang w:eastAsia="en-AU"/>
        </w:rPr>
        <w:t>RF1.10.</w:t>
      </w:r>
      <w:r w:rsidRPr="00381769">
        <w:rPr>
          <w:rFonts w:ascii="Arial" w:hAnsi="Arial" w:cs="Arial"/>
          <w:color w:val="000000"/>
          <w:highlight w:val="green"/>
          <w:lang w:eastAsia="en-AU"/>
        </w:rPr>
        <w:t>1</w:t>
      </w:r>
      <w:r w:rsidRPr="00E066F7">
        <w:rPr>
          <w:rFonts w:ascii="Arial" w:hAnsi="Arial" w:cs="Arial"/>
          <w:color w:val="000000"/>
          <w:lang w:eastAsia="en-AU"/>
        </w:rPr>
        <w:t>)</w:t>
      </w:r>
    </w:p>
    <w:p w14:paraId="2586309D" w14:textId="77777777" w:rsidR="00381769" w:rsidRDefault="00381769" w:rsidP="00381769">
      <w:pPr>
        <w:pStyle w:val="DHHSbody"/>
      </w:pPr>
    </w:p>
    <w:p w14:paraId="093AD10D" w14:textId="5403815A" w:rsidR="00381769" w:rsidRPr="00381769" w:rsidRDefault="00381769" w:rsidP="00381769">
      <w:pPr>
        <w:pStyle w:val="DHHSbody"/>
      </w:pPr>
      <w:r>
        <w:t>The correction will be included in the next edition of the manual.</w:t>
      </w:r>
    </w:p>
    <w:p w14:paraId="3D80E2FE" w14:textId="77777777" w:rsidR="00C90DCE" w:rsidRDefault="00C90DCE" w:rsidP="00E41068">
      <w:pPr>
        <w:pStyle w:val="Heading1"/>
      </w:pPr>
    </w:p>
    <w:p w14:paraId="1415F2A0" w14:textId="609E8C80" w:rsidR="00E41068" w:rsidRPr="00E41068" w:rsidRDefault="00E41068" w:rsidP="00E41068">
      <w:pPr>
        <w:pStyle w:val="Heading1"/>
      </w:pPr>
      <w:bookmarkStart w:id="14" w:name="_Toc25152366"/>
      <w:r>
        <w:t>Non</w:t>
      </w:r>
      <w:r w:rsidR="003F6E44">
        <w:t>–</w:t>
      </w:r>
      <w:r>
        <w:t>Admitted Activity Reporting</w:t>
      </w:r>
      <w:bookmarkEnd w:id="14"/>
    </w:p>
    <w:p w14:paraId="45283ADD" w14:textId="1242D4FC" w:rsidR="00E41068" w:rsidRPr="00E41068" w:rsidRDefault="00E41068" w:rsidP="00471B90">
      <w:pPr>
        <w:pStyle w:val="Heading2"/>
        <w:rPr>
          <w:rFonts w:eastAsia="MS Gothic"/>
        </w:rPr>
      </w:pPr>
      <w:bookmarkStart w:id="15" w:name="_Toc25152367"/>
      <w:r>
        <w:rPr>
          <w:rFonts w:eastAsia="MS Gothic"/>
        </w:rPr>
        <w:t>Patient</w:t>
      </w:r>
      <w:r w:rsidR="003F6E44">
        <w:rPr>
          <w:rFonts w:eastAsia="MS Gothic"/>
        </w:rPr>
        <w:t>–</w:t>
      </w:r>
      <w:r>
        <w:rPr>
          <w:rFonts w:eastAsia="MS Gothic"/>
        </w:rPr>
        <w:t>Level Reporting</w:t>
      </w:r>
      <w:bookmarkEnd w:id="15"/>
    </w:p>
    <w:p w14:paraId="0590BB80" w14:textId="77777777" w:rsidR="00E41068" w:rsidRDefault="00E41068" w:rsidP="00E41068">
      <w:pPr>
        <w:pStyle w:val="DHHSbody"/>
      </w:pPr>
      <w:r>
        <w:t>Currently most health services report aggregate and/or patient level non-admitted data to the department. The department in turn provides data that is in-scope for national reporting to the Independent Hospital Pricing Authority (IHPA).</w:t>
      </w:r>
    </w:p>
    <w:p w14:paraId="1C75DC71" w14:textId="60E63082" w:rsidR="00E41068" w:rsidRDefault="00E41068" w:rsidP="00E41068">
      <w:pPr>
        <w:pStyle w:val="DHHSbody"/>
      </w:pPr>
      <w:r>
        <w:t xml:space="preserve">Effective </w:t>
      </w:r>
      <w:r w:rsidRPr="00E41068">
        <w:t>202</w:t>
      </w:r>
      <w:r>
        <w:t>1</w:t>
      </w:r>
      <w:r w:rsidRPr="00E41068">
        <w:t>–2</w:t>
      </w:r>
      <w:r>
        <w:t>2</w:t>
      </w:r>
      <w:r w:rsidRPr="00E41068">
        <w:t xml:space="preserve"> </w:t>
      </w:r>
      <w:r>
        <w:t xml:space="preserve">IHPA has advised they will only accept patient level data. </w:t>
      </w:r>
    </w:p>
    <w:p w14:paraId="7096A4B4" w14:textId="620636EE" w:rsidR="00E41068" w:rsidRDefault="00E41068" w:rsidP="00E41068">
      <w:pPr>
        <w:pStyle w:val="DHHSbody"/>
      </w:pPr>
      <w:r>
        <w:t xml:space="preserve">Health Service Data </w:t>
      </w:r>
      <w:r w:rsidR="00A025D9">
        <w:t xml:space="preserve">(HSD) </w:t>
      </w:r>
      <w:r w:rsidR="00DB3710">
        <w:t>have identified some services such as genetics, home-based dialysis and others where non-admitted data is not currently reported at patient level and have already sta</w:t>
      </w:r>
      <w:r w:rsidR="001B1B9C">
        <w:t>r</w:t>
      </w:r>
      <w:r w:rsidR="00DB3710">
        <w:t xml:space="preserve">ted contacting services and agencies to identify why patient level data is not being reported.  HSD will work with services and agencies to determine </w:t>
      </w:r>
      <w:r w:rsidR="001B1B9C">
        <w:t>the best</w:t>
      </w:r>
      <w:r>
        <w:t xml:space="preserve"> method to capture the patient level data. </w:t>
      </w:r>
    </w:p>
    <w:p w14:paraId="1A0DA340" w14:textId="1969D424" w:rsidR="00A804F1" w:rsidRPr="00841607" w:rsidRDefault="00E41068" w:rsidP="00E41068">
      <w:pPr>
        <w:pStyle w:val="DHHSbody"/>
        <w:rPr>
          <w:rFonts w:eastAsia="MS Gothic"/>
        </w:rPr>
      </w:pPr>
      <w:r>
        <w:t>Further information will be provided in future HDSS Bulletins. Any enquiries should be directed through the HDSS helpdesk.</w:t>
      </w:r>
      <w:r w:rsidR="00A804F1">
        <w:br w:type="page"/>
      </w:r>
    </w:p>
    <w:p w14:paraId="6BF35E08" w14:textId="4083C447" w:rsidR="007A02F5" w:rsidRDefault="007A02F5" w:rsidP="005A3A0F">
      <w:pPr>
        <w:pStyle w:val="Heading1"/>
      </w:pPr>
      <w:bookmarkStart w:id="16" w:name="_Toc25152368"/>
      <w:r>
        <w:t>Contact details</w:t>
      </w:r>
      <w:bookmarkEnd w:id="16"/>
    </w:p>
    <w:p w14:paraId="726B48EC" w14:textId="77777777" w:rsidR="00F17569" w:rsidRPr="00F17569" w:rsidRDefault="00F17569" w:rsidP="00F17569">
      <w:pPr>
        <w:spacing w:after="120" w:line="270" w:lineRule="atLeast"/>
        <w:rPr>
          <w:rFonts w:ascii="Arial" w:eastAsia="Times" w:hAnsi="Arial"/>
        </w:rPr>
      </w:pPr>
      <w:r w:rsidRPr="00F17569">
        <w:rPr>
          <w:rFonts w:ascii="Arial" w:eastAsia="Times" w:hAnsi="Arial"/>
        </w:rPr>
        <w:t>The Data Collections unit manages several Victorian health data collections including:</w:t>
      </w:r>
    </w:p>
    <w:p w14:paraId="18D974DB" w14:textId="77777777" w:rsidR="00F17569" w:rsidRPr="00F17569" w:rsidRDefault="00F17569" w:rsidP="00B741F1">
      <w:pPr>
        <w:pStyle w:val="DHHSbullet1"/>
      </w:pPr>
      <w:r w:rsidRPr="00F17569">
        <w:t>Victorian Admitted Episodes Dataset (VAED)</w:t>
      </w:r>
    </w:p>
    <w:p w14:paraId="6964B76B" w14:textId="77777777" w:rsidR="00F17569" w:rsidRPr="00F17569" w:rsidRDefault="00F17569" w:rsidP="00F17569">
      <w:pPr>
        <w:pStyle w:val="DHHSbullet1"/>
      </w:pPr>
      <w:r w:rsidRPr="00F17569">
        <w:t>Victorian Emergency Minimum Dataset (VEMD)</w:t>
      </w:r>
    </w:p>
    <w:p w14:paraId="57DD771C" w14:textId="77777777" w:rsidR="00F17569" w:rsidRPr="00F17569" w:rsidRDefault="00F17569" w:rsidP="00F17569">
      <w:pPr>
        <w:pStyle w:val="DHHSbullet1"/>
      </w:pPr>
      <w:r w:rsidRPr="00F17569">
        <w:t>Elective Surgery Information System (ESIS)</w:t>
      </w:r>
    </w:p>
    <w:p w14:paraId="662F54F2" w14:textId="77777777" w:rsidR="00F17569" w:rsidRPr="00F17569" w:rsidRDefault="00F17569" w:rsidP="00F17569">
      <w:pPr>
        <w:pStyle w:val="DHHSbullet1"/>
      </w:pPr>
      <w:r w:rsidRPr="00F17569">
        <w:t>Agency Information Management System (AIMS)</w:t>
      </w:r>
    </w:p>
    <w:p w14:paraId="40DAB7B5" w14:textId="77777777" w:rsidR="00F17569" w:rsidRPr="00F17569" w:rsidRDefault="00F17569" w:rsidP="00F17569">
      <w:pPr>
        <w:pStyle w:val="DHHSbullet1"/>
      </w:pPr>
      <w:bookmarkStart w:id="17" w:name="_Hlk11831386"/>
      <w:r w:rsidRPr="00F17569">
        <w:t>Victorian Integrated Non-Admitted Health Minimum Dataset (VINAH)</w:t>
      </w:r>
    </w:p>
    <w:bookmarkEnd w:id="17"/>
    <w:p w14:paraId="21C674E5" w14:textId="77777777" w:rsidR="00F17569" w:rsidRPr="00F17569" w:rsidRDefault="00F17569" w:rsidP="004E6581">
      <w:pPr>
        <w:pStyle w:val="DHHSbullet1lastline"/>
      </w:pPr>
      <w:r w:rsidRPr="00F17569">
        <w:t>F1 data collections (technical support)</w:t>
      </w:r>
    </w:p>
    <w:p w14:paraId="0D3BF7C9" w14:textId="77777777" w:rsidR="00F17569" w:rsidRPr="00F17569" w:rsidRDefault="00F17569" w:rsidP="00F17569">
      <w:pPr>
        <w:spacing w:after="120" w:line="270" w:lineRule="atLeast"/>
        <w:rPr>
          <w:rFonts w:ascii="Arial" w:eastAsia="Times" w:hAnsi="Arial"/>
        </w:rPr>
      </w:pPr>
      <w:r w:rsidRPr="00F17569">
        <w:rPr>
          <w:rFonts w:ascii="Arial" w:eastAsia="Times" w:hAnsi="Arial"/>
        </w:rPr>
        <w:t>The HDSS Bulletin is produced at intervals to provide:</w:t>
      </w:r>
    </w:p>
    <w:p w14:paraId="509D8361" w14:textId="77777777" w:rsidR="00F17569" w:rsidRPr="00F17569" w:rsidRDefault="00F17569" w:rsidP="00F17569">
      <w:pPr>
        <w:pStyle w:val="DHHSbullet1"/>
      </w:pPr>
      <w:r w:rsidRPr="00F17569">
        <w:t>answers to common questions recently directed to the HDSS help desk</w:t>
      </w:r>
    </w:p>
    <w:p w14:paraId="45C60444" w14:textId="77777777" w:rsidR="00F17569" w:rsidRPr="00F17569" w:rsidRDefault="00F17569" w:rsidP="00F17569">
      <w:pPr>
        <w:pStyle w:val="DHHSbullet1"/>
      </w:pPr>
      <w:r w:rsidRPr="00F17569">
        <w:t>communication regarding the implementation of revisions to data collection specifications, including notification of amendments to specified data collection reference tables</w:t>
      </w:r>
    </w:p>
    <w:p w14:paraId="589E9159" w14:textId="77777777" w:rsidR="00F17569" w:rsidRPr="00F17569" w:rsidRDefault="00F17569" w:rsidP="00F17569">
      <w:pPr>
        <w:pStyle w:val="DHHSbullet1"/>
      </w:pPr>
      <w:r w:rsidRPr="00F17569">
        <w:t>feedback on selected data quality studies undertaken</w:t>
      </w:r>
    </w:p>
    <w:p w14:paraId="563AEBB5" w14:textId="15C757CF" w:rsidR="00F17569" w:rsidRDefault="00F17569" w:rsidP="004E6581">
      <w:pPr>
        <w:pStyle w:val="DHHSbullet1lastline"/>
      </w:pPr>
      <w:r w:rsidRPr="00F17569">
        <w:t>information on upcoming events</w:t>
      </w:r>
    </w:p>
    <w:p w14:paraId="0DB20EB8" w14:textId="5A3930A5" w:rsidR="00F8321D" w:rsidRPr="002736F5" w:rsidRDefault="00F8321D" w:rsidP="002736F5">
      <w:pPr>
        <w:pStyle w:val="DHHSbody"/>
        <w:rPr>
          <w:b/>
        </w:rPr>
      </w:pPr>
      <w:r w:rsidRPr="002736F5">
        <w:rPr>
          <w:b/>
        </w:rPr>
        <w:t>Website</w:t>
      </w:r>
    </w:p>
    <w:p w14:paraId="496E55D3" w14:textId="335B347C" w:rsidR="00127586" w:rsidRDefault="00E06B48" w:rsidP="00511836">
      <w:pPr>
        <w:pStyle w:val="DHHSbody"/>
      </w:pPr>
      <w:hyperlink r:id="rId18" w:history="1">
        <w:r w:rsidR="00511836" w:rsidRPr="00511836">
          <w:rPr>
            <w:rStyle w:val="Hyperlink"/>
          </w:rPr>
          <w:t>HDSS website</w:t>
        </w:r>
      </w:hyperlink>
      <w:r w:rsidR="00511836">
        <w:t xml:space="preserve">  &lt;</w:t>
      </w:r>
      <w:r w:rsidR="00511836" w:rsidRPr="00511836">
        <w:t>https://www2.health.vic.gov.au/hospitals-and-health-services/data-reporting/health-data-standards-systems</w:t>
      </w:r>
      <w:r w:rsidR="00511836">
        <w:t>&gt;</w:t>
      </w:r>
    </w:p>
    <w:p w14:paraId="1A3E85F4" w14:textId="21C117C7" w:rsidR="00511836" w:rsidRPr="002736F5" w:rsidRDefault="00B72BD0" w:rsidP="002736F5">
      <w:pPr>
        <w:pStyle w:val="DHHSbody"/>
        <w:rPr>
          <w:b/>
        </w:rPr>
      </w:pPr>
      <w:r w:rsidRPr="002736F5">
        <w:rPr>
          <w:b/>
        </w:rPr>
        <w:t xml:space="preserve">HDSS help desk </w:t>
      </w:r>
    </w:p>
    <w:p w14:paraId="21DDB987" w14:textId="77777777" w:rsidR="00F8321D" w:rsidRDefault="00F8321D" w:rsidP="00F8321D">
      <w:pPr>
        <w:pStyle w:val="DHHSbody"/>
      </w:pPr>
      <w:r>
        <w:t>Enquiries regarding data collections and requests for standard reconciliation reports</w:t>
      </w:r>
    </w:p>
    <w:p w14:paraId="357E8724" w14:textId="77777777" w:rsidR="00F8321D" w:rsidRDefault="00F8321D" w:rsidP="00F8321D">
      <w:pPr>
        <w:pStyle w:val="DHHSbody"/>
      </w:pPr>
      <w:r>
        <w:t>Telephone (03) 9096 8595</w:t>
      </w:r>
    </w:p>
    <w:p w14:paraId="07B9E292" w14:textId="096BBE81" w:rsidR="00F8321D" w:rsidRPr="00F8321D" w:rsidRDefault="00E06B48" w:rsidP="00F8321D">
      <w:pPr>
        <w:pStyle w:val="DHHSbody"/>
      </w:pPr>
      <w:hyperlink r:id="rId19" w:history="1">
        <w:r w:rsidR="00F8321D" w:rsidRPr="00F8321D">
          <w:rPr>
            <w:rStyle w:val="Hyperlink"/>
          </w:rPr>
          <w:t>Email HDSS help desk</w:t>
        </w:r>
      </w:hyperlink>
      <w:r w:rsidR="00F8321D">
        <w:t xml:space="preserve"> &lt;</w:t>
      </w:r>
      <w:r w:rsidR="00F8321D" w:rsidRPr="00F8321D">
        <w:t>HDSS.helpdesk@dhhs.vic.gov.au</w:t>
      </w:r>
      <w:r w:rsidR="00F8321D">
        <w:t>&gt;</w:t>
      </w:r>
    </w:p>
    <w:p w14:paraId="6DA042CE" w14:textId="2384F0E1" w:rsidR="00F8321D" w:rsidRDefault="00F8321D" w:rsidP="002736F5">
      <w:pPr>
        <w:pStyle w:val="DHHSbody"/>
        <w:rPr>
          <w:b/>
        </w:rPr>
      </w:pPr>
      <w:r w:rsidRPr="002736F5">
        <w:rPr>
          <w:b/>
        </w:rPr>
        <w:t xml:space="preserve">Other </w:t>
      </w:r>
      <w:r w:rsidR="00E36554">
        <w:rPr>
          <w:b/>
        </w:rPr>
        <w:t xml:space="preserve">Victorian health </w:t>
      </w:r>
      <w:r w:rsidRPr="002736F5">
        <w:rPr>
          <w:b/>
        </w:rPr>
        <w:t>data requests</w:t>
      </w:r>
    </w:p>
    <w:p w14:paraId="7AA93C16" w14:textId="102EC60B" w:rsidR="00E36554" w:rsidRPr="00E36554" w:rsidRDefault="00E06B48" w:rsidP="002736F5">
      <w:pPr>
        <w:pStyle w:val="DHHSbody"/>
      </w:pPr>
      <w:hyperlink r:id="rId20" w:history="1">
        <w:r w:rsidR="00E36554" w:rsidRPr="00E36554">
          <w:rPr>
            <w:rStyle w:val="Hyperlink"/>
          </w:rPr>
          <w:t>VAHI Data Request Hub</w:t>
        </w:r>
      </w:hyperlink>
      <w:r w:rsidR="00E36554">
        <w:t xml:space="preserve"> &lt;</w:t>
      </w:r>
      <w:r w:rsidR="00E36554" w:rsidRPr="00E36554">
        <w:t xml:space="preserve"> https://vahi.freshdesk.com/support/home</w:t>
      </w:r>
      <w:r w:rsidR="00E36554">
        <w:t>&gt;</w:t>
      </w:r>
    </w:p>
    <w:p w14:paraId="2030842D" w14:textId="54D7D229" w:rsidR="00F17569" w:rsidRDefault="00E06B48" w:rsidP="004E3923">
      <w:pPr>
        <w:pStyle w:val="DHHSbody"/>
        <w:rPr>
          <w:rStyle w:val="Hyperlink"/>
        </w:rPr>
      </w:pPr>
      <w:hyperlink r:id="rId21" w:history="1">
        <w:r w:rsidR="00F8321D" w:rsidRPr="00F8321D">
          <w:rPr>
            <w:rStyle w:val="Hyperlink"/>
          </w:rPr>
          <w:t>Email HOSdata</w:t>
        </w:r>
      </w:hyperlink>
      <w:r w:rsidR="00F8321D">
        <w:t xml:space="preserve"> </w:t>
      </w:r>
      <w:hyperlink r:id="rId22" w:history="1">
        <w:r w:rsidR="00FA20DC" w:rsidRPr="005E0E35">
          <w:rPr>
            <w:rStyle w:val="Hyperlink"/>
          </w:rPr>
          <w:t xml:space="preserve">Hosdata.frontdesk@vahi.vic.gov.au </w:t>
        </w:r>
      </w:hyperlink>
    </w:p>
    <w:p w14:paraId="76A653BF" w14:textId="77777777" w:rsidR="00B649CD" w:rsidRDefault="00B649CD" w:rsidP="004E3923">
      <w:pPr>
        <w:pStyle w:val="DHHSbody"/>
      </w:pPr>
    </w:p>
    <w:tbl>
      <w:tblPr>
        <w:tblW w:w="5000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420"/>
      </w:tblGrid>
      <w:tr w:rsidR="002802E3" w:rsidRPr="002802E3" w14:paraId="3D6B256E" w14:textId="77777777" w:rsidTr="00D81DEF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B85F9" w14:textId="2801E66F" w:rsidR="00254F58" w:rsidRPr="00254F58" w:rsidRDefault="00254F58" w:rsidP="00770F37">
            <w:pPr>
              <w:pStyle w:val="DHHSaccessibilitypara"/>
            </w:pPr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="004E3923">
              <w:t>(03) 9096 8595</w:t>
            </w:r>
            <w:r w:rsidRPr="00254F58">
              <w:t>, using the National Relay Service 13 36 77 if required, or</w:t>
            </w:r>
            <w:r w:rsidR="00127586">
              <w:t xml:space="preserve"> </w:t>
            </w:r>
            <w:hyperlink r:id="rId23" w:history="1">
              <w:r w:rsidR="00127586" w:rsidRPr="00127586">
                <w:rPr>
                  <w:rStyle w:val="Hyperlink"/>
                </w:rPr>
                <w:t>email HDSS help desk</w:t>
              </w:r>
            </w:hyperlink>
            <w:r w:rsidR="00127586">
              <w:t xml:space="preserve"> &lt;</w:t>
            </w:r>
            <w:r w:rsidR="00127586" w:rsidRPr="00127586">
              <w:t>HDSS.helpdesk@dhhs.vic.gov.au</w:t>
            </w:r>
            <w:r w:rsidR="00127586">
              <w:t>&gt;</w:t>
            </w:r>
          </w:p>
          <w:p w14:paraId="6C5F49D7" w14:textId="77777777" w:rsidR="00254F58" w:rsidRPr="00254F58" w:rsidRDefault="00254F58" w:rsidP="00254F58">
            <w:pPr>
              <w:pStyle w:val="DHHSbody"/>
            </w:pPr>
            <w:r w:rsidRPr="00254F58">
              <w:t>Authorised and published by the Victorian Governmen</w:t>
            </w:r>
            <w:r w:rsidR="001F3826">
              <w:t>t, 1 Treasury Place, Melbourne.</w:t>
            </w:r>
          </w:p>
          <w:p w14:paraId="1EA0B9A4" w14:textId="50468512" w:rsidR="00254F58" w:rsidRPr="00254F58" w:rsidRDefault="00254F58" w:rsidP="00254F58">
            <w:pPr>
              <w:pStyle w:val="DHHSbody"/>
            </w:pPr>
            <w:r w:rsidRPr="00254F58">
              <w:t xml:space="preserve">© State of </w:t>
            </w:r>
            <w:r w:rsidR="00A854EB">
              <w:t>Victoria, Department of Health and</w:t>
            </w:r>
            <w:r w:rsidRPr="00254F58">
              <w:t xml:space="preserve"> Human Services</w:t>
            </w:r>
            <w:r w:rsidR="004E3923" w:rsidRPr="00F75DF9">
              <w:t xml:space="preserve">, </w:t>
            </w:r>
            <w:r w:rsidR="00865B63">
              <w:t>November</w:t>
            </w:r>
            <w:r w:rsidR="004E3923" w:rsidRPr="00F75DF9">
              <w:t xml:space="preserve"> </w:t>
            </w:r>
            <w:r w:rsidR="004E3923">
              <w:t>201</w:t>
            </w:r>
            <w:r w:rsidR="00410E7E">
              <w:t>9</w:t>
            </w:r>
          </w:p>
          <w:p w14:paraId="16FE8619" w14:textId="752E8C40" w:rsidR="00835674" w:rsidRPr="00127586" w:rsidRDefault="00254F58" w:rsidP="00966D3D">
            <w:pPr>
              <w:pStyle w:val="DHHSbody"/>
              <w:rPr>
                <w:color w:val="3366FF"/>
                <w:szCs w:val="19"/>
                <w:u w:val="dotted"/>
              </w:rPr>
            </w:pPr>
            <w:r w:rsidRPr="00254F58">
              <w:rPr>
                <w:szCs w:val="19"/>
              </w:rPr>
              <w:t xml:space="preserve">Available at </w:t>
            </w:r>
            <w:hyperlink r:id="rId24" w:history="1">
              <w:r w:rsidR="004E3923" w:rsidRPr="004E3923">
                <w:rPr>
                  <w:rStyle w:val="Hyperlink"/>
                  <w:szCs w:val="19"/>
                </w:rPr>
                <w:t xml:space="preserve">HDSS </w:t>
              </w:r>
              <w:r w:rsidR="00966D3D">
                <w:rPr>
                  <w:rStyle w:val="Hyperlink"/>
                  <w:szCs w:val="19"/>
                </w:rPr>
                <w:t>Bulletins</w:t>
              </w:r>
            </w:hyperlink>
            <w:r w:rsidR="00127586">
              <w:rPr>
                <w:rStyle w:val="Hyperlink"/>
                <w:szCs w:val="19"/>
              </w:rPr>
              <w:t xml:space="preserve"> </w:t>
            </w:r>
            <w:r w:rsidR="00127586">
              <w:rPr>
                <w:szCs w:val="19"/>
              </w:rPr>
              <w:t>&lt;</w:t>
            </w:r>
            <w:r w:rsidR="00127586">
              <w:t xml:space="preserve"> </w:t>
            </w:r>
            <w:r w:rsidR="00127586" w:rsidRPr="00127586">
              <w:rPr>
                <w:szCs w:val="19"/>
              </w:rPr>
              <w:t xml:space="preserve">https://www2.health.vic.gov.au/hospitals-and-health-services/data-reporting/health-data-standards-systems/hdss-communications </w:t>
            </w:r>
            <w:r w:rsidR="00127586">
              <w:rPr>
                <w:szCs w:val="19"/>
              </w:rPr>
              <w:t>&gt;</w:t>
            </w:r>
          </w:p>
        </w:tc>
      </w:tr>
    </w:tbl>
    <w:p w14:paraId="5287B737" w14:textId="77777777" w:rsidR="00B2752E" w:rsidRPr="00906490" w:rsidRDefault="00B2752E" w:rsidP="004E6581">
      <w:pPr>
        <w:pStyle w:val="DHHSbody"/>
      </w:pPr>
    </w:p>
    <w:sectPr w:rsidR="00B2752E" w:rsidRPr="00906490" w:rsidSect="00BC1222">
      <w:footerReference w:type="default" r:id="rId25"/>
      <w:type w:val="continuous"/>
      <w:pgSz w:w="11906" w:h="16838" w:code="9"/>
      <w:pgMar w:top="1418" w:right="851" w:bottom="1134" w:left="851" w:header="567" w:footer="510" w:gutter="0"/>
      <w:pgNumType w:start="1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03F38" w14:textId="77777777" w:rsidR="000B5CC0" w:rsidRDefault="000B5CC0">
      <w:r>
        <w:separator/>
      </w:r>
    </w:p>
  </w:endnote>
  <w:endnote w:type="continuationSeparator" w:id="0">
    <w:p w14:paraId="3F6CFBE3" w14:textId="77777777" w:rsidR="000B5CC0" w:rsidRDefault="000B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2E3FC" w14:textId="77777777" w:rsidR="00705561" w:rsidRPr="00F65AA9" w:rsidRDefault="00705561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 wp14:anchorId="32EBDABD" wp14:editId="1D336266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A7D74" w14:textId="77777777" w:rsidR="00705561" w:rsidRPr="00A11421" w:rsidRDefault="00705561" w:rsidP="0051568D">
    <w:pPr>
      <w:pStyle w:val="DHHSfooter"/>
    </w:pPr>
    <w:r>
      <w:t>HDSS Bulletin 206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>
      <w:rPr>
        <w:noProof/>
      </w:rPr>
      <w:t>2</w:t>
    </w:r>
    <w:r w:rsidRPr="00A1142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B6A7D" w14:textId="521EDFA3" w:rsidR="00705561" w:rsidRPr="00A11421" w:rsidRDefault="00410E7E" w:rsidP="0051568D">
    <w:pPr>
      <w:pStyle w:val="DHHSfooter"/>
    </w:pPr>
    <w:r>
      <w:t>HDSS Bulletin 22</w:t>
    </w:r>
    <w:r w:rsidR="00980C7C">
      <w:t>5</w:t>
    </w:r>
    <w:r w:rsidR="00705561" w:rsidRPr="00A11421">
      <w:tab/>
    </w:r>
    <w:r w:rsidR="00705561" w:rsidRPr="00A11421">
      <w:fldChar w:fldCharType="begin"/>
    </w:r>
    <w:r w:rsidR="00705561" w:rsidRPr="00A11421">
      <w:instrText xml:space="preserve"> PAGE </w:instrText>
    </w:r>
    <w:r w:rsidR="00705561" w:rsidRPr="00A11421">
      <w:fldChar w:fldCharType="separate"/>
    </w:r>
    <w:r w:rsidR="00782340">
      <w:rPr>
        <w:noProof/>
      </w:rPr>
      <w:t>6</w:t>
    </w:r>
    <w:r w:rsidR="00705561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A1B6E" w14:textId="77777777" w:rsidR="000B5CC0" w:rsidRDefault="000B5CC0" w:rsidP="002862F1">
      <w:pPr>
        <w:spacing w:before="120"/>
      </w:pPr>
      <w:r>
        <w:separator/>
      </w:r>
    </w:p>
  </w:footnote>
  <w:footnote w:type="continuationSeparator" w:id="0">
    <w:p w14:paraId="544D3040" w14:textId="77777777" w:rsidR="000B5CC0" w:rsidRDefault="000B5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4324B" w14:textId="77777777" w:rsidR="00705561" w:rsidRPr="0051568D" w:rsidRDefault="00705561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AC0DEEE"/>
    <w:lvl w:ilvl="0">
      <w:numFmt w:val="bullet"/>
      <w:lvlText w:val="*"/>
      <w:lvlJc w:val="left"/>
    </w:lvl>
  </w:abstractNum>
  <w:abstractNum w:abstractNumId="1" w15:restartNumberingAfterBreak="0">
    <w:nsid w:val="02DA1955"/>
    <w:multiLevelType w:val="hybridMultilevel"/>
    <w:tmpl w:val="4508D62A"/>
    <w:lvl w:ilvl="0" w:tplc="EDB6F4BC">
      <w:numFmt w:val="decimal"/>
      <w:lvlText w:val="%1."/>
      <w:lvlJc w:val="left"/>
      <w:pPr>
        <w:ind w:left="362" w:hanging="360"/>
      </w:pPr>
      <w:rPr>
        <w:rFonts w:hint="default"/>
        <w:strike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19F9"/>
    <w:multiLevelType w:val="hybridMultilevel"/>
    <w:tmpl w:val="1A663E2E"/>
    <w:lvl w:ilvl="0" w:tplc="93DAA240"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321A2"/>
    <w:multiLevelType w:val="hybridMultilevel"/>
    <w:tmpl w:val="9D3A63B2"/>
    <w:lvl w:ilvl="0" w:tplc="2864E4B8">
      <w:start w:val="1"/>
      <w:numFmt w:val="bullet"/>
      <w:pStyle w:val="Bodytab1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21BD3"/>
    <w:multiLevelType w:val="hybridMultilevel"/>
    <w:tmpl w:val="8DB04140"/>
    <w:lvl w:ilvl="0" w:tplc="93DAA240"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71E89"/>
    <w:multiLevelType w:val="hybridMultilevel"/>
    <w:tmpl w:val="50A88D78"/>
    <w:lvl w:ilvl="0" w:tplc="6024ABB6">
      <w:start w:val="1"/>
      <w:numFmt w:val="decimal"/>
      <w:lvlText w:val="225.%1"/>
      <w:lvlJc w:val="right"/>
      <w:pPr>
        <w:ind w:left="360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1CD5D5A"/>
    <w:multiLevelType w:val="hybridMultilevel"/>
    <w:tmpl w:val="92287A0C"/>
    <w:lvl w:ilvl="0" w:tplc="05DE92D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75E52"/>
    <w:multiLevelType w:val="multilevel"/>
    <w:tmpl w:val="CDEA1C02"/>
    <w:styleLink w:val="ZZChapternumber"/>
    <w:lvl w:ilvl="0">
      <w:start w:val="4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8143238"/>
    <w:multiLevelType w:val="hybridMultilevel"/>
    <w:tmpl w:val="72C43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87821"/>
    <w:multiLevelType w:val="hybridMultilevel"/>
    <w:tmpl w:val="E07A5B3A"/>
    <w:lvl w:ilvl="0" w:tplc="6024ABB6">
      <w:start w:val="1"/>
      <w:numFmt w:val="decimal"/>
      <w:pStyle w:val="Heading2"/>
      <w:lvlText w:val="225.%1"/>
      <w:lvlJc w:val="right"/>
      <w:pPr>
        <w:ind w:left="1069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742" w:hanging="360"/>
      </w:pPr>
    </w:lvl>
    <w:lvl w:ilvl="2" w:tplc="0C09001B" w:tentative="1">
      <w:start w:val="1"/>
      <w:numFmt w:val="lowerRoman"/>
      <w:lvlText w:val="%3."/>
      <w:lvlJc w:val="right"/>
      <w:pPr>
        <w:ind w:left="1462" w:hanging="180"/>
      </w:pPr>
    </w:lvl>
    <w:lvl w:ilvl="3" w:tplc="0C09000F" w:tentative="1">
      <w:start w:val="1"/>
      <w:numFmt w:val="decimal"/>
      <w:lvlText w:val="%4."/>
      <w:lvlJc w:val="left"/>
      <w:pPr>
        <w:ind w:left="2182" w:hanging="360"/>
      </w:pPr>
    </w:lvl>
    <w:lvl w:ilvl="4" w:tplc="0C090019" w:tentative="1">
      <w:start w:val="1"/>
      <w:numFmt w:val="lowerLetter"/>
      <w:lvlText w:val="%5."/>
      <w:lvlJc w:val="left"/>
      <w:pPr>
        <w:ind w:left="2902" w:hanging="360"/>
      </w:pPr>
    </w:lvl>
    <w:lvl w:ilvl="5" w:tplc="0C09001B" w:tentative="1">
      <w:start w:val="1"/>
      <w:numFmt w:val="lowerRoman"/>
      <w:lvlText w:val="%6."/>
      <w:lvlJc w:val="right"/>
      <w:pPr>
        <w:ind w:left="3622" w:hanging="180"/>
      </w:pPr>
    </w:lvl>
    <w:lvl w:ilvl="6" w:tplc="0C09000F" w:tentative="1">
      <w:start w:val="1"/>
      <w:numFmt w:val="decimal"/>
      <w:lvlText w:val="%7."/>
      <w:lvlJc w:val="left"/>
      <w:pPr>
        <w:ind w:left="4342" w:hanging="360"/>
      </w:pPr>
    </w:lvl>
    <w:lvl w:ilvl="7" w:tplc="0C090019" w:tentative="1">
      <w:start w:val="1"/>
      <w:numFmt w:val="lowerLetter"/>
      <w:lvlText w:val="%8."/>
      <w:lvlJc w:val="left"/>
      <w:pPr>
        <w:ind w:left="5062" w:hanging="360"/>
      </w:pPr>
    </w:lvl>
    <w:lvl w:ilvl="8" w:tplc="0C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10" w15:restartNumberingAfterBreak="0">
    <w:nsid w:val="28D51B47"/>
    <w:multiLevelType w:val="multilevel"/>
    <w:tmpl w:val="4B4E7622"/>
    <w:numStyleLink w:val="ZZNumbers"/>
  </w:abstractNum>
  <w:abstractNum w:abstractNumId="11" w15:restartNumberingAfterBreak="0">
    <w:nsid w:val="371B56CB"/>
    <w:multiLevelType w:val="hybridMultilevel"/>
    <w:tmpl w:val="C2582318"/>
    <w:lvl w:ilvl="0" w:tplc="302E9EA4">
      <w:start w:val="1"/>
      <w:numFmt w:val="decimal"/>
      <w:lvlText w:val="%1."/>
      <w:lvlJc w:val="left"/>
      <w:pPr>
        <w:ind w:left="362" w:hanging="360"/>
      </w:pPr>
      <w:rPr>
        <w:rFonts w:hint="default"/>
        <w:strike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020D4"/>
    <w:multiLevelType w:val="hybridMultilevel"/>
    <w:tmpl w:val="E65E6820"/>
    <w:lvl w:ilvl="0" w:tplc="F7C28A08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3D5357FF"/>
    <w:multiLevelType w:val="hybridMultilevel"/>
    <w:tmpl w:val="4904A596"/>
    <w:lvl w:ilvl="0" w:tplc="BCB63018">
      <w:numFmt w:val="decimal"/>
      <w:lvlText w:val="%1."/>
      <w:lvlJc w:val="left"/>
      <w:pPr>
        <w:ind w:left="362" w:hanging="360"/>
      </w:pPr>
      <w:rPr>
        <w:rFonts w:hint="default"/>
        <w:strike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23DAC"/>
    <w:multiLevelType w:val="multilevel"/>
    <w:tmpl w:val="482E8694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2443E4C"/>
    <w:multiLevelType w:val="hybridMultilevel"/>
    <w:tmpl w:val="8DB04140"/>
    <w:lvl w:ilvl="0" w:tplc="93DAA240"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90E3097"/>
    <w:multiLevelType w:val="hybridMultilevel"/>
    <w:tmpl w:val="472A70F8"/>
    <w:lvl w:ilvl="0" w:tplc="699CEBB6">
      <w:start w:val="1"/>
      <w:numFmt w:val="decimal"/>
      <w:lvlText w:val="%1"/>
      <w:lvlJc w:val="left"/>
      <w:pPr>
        <w:ind w:left="3600" w:hanging="147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210" w:hanging="360"/>
      </w:pPr>
    </w:lvl>
    <w:lvl w:ilvl="2" w:tplc="0C09001B" w:tentative="1">
      <w:start w:val="1"/>
      <w:numFmt w:val="lowerRoman"/>
      <w:lvlText w:val="%3."/>
      <w:lvlJc w:val="right"/>
      <w:pPr>
        <w:ind w:left="3930" w:hanging="180"/>
      </w:pPr>
    </w:lvl>
    <w:lvl w:ilvl="3" w:tplc="0C09000F" w:tentative="1">
      <w:start w:val="1"/>
      <w:numFmt w:val="decimal"/>
      <w:lvlText w:val="%4."/>
      <w:lvlJc w:val="left"/>
      <w:pPr>
        <w:ind w:left="4650" w:hanging="360"/>
      </w:pPr>
    </w:lvl>
    <w:lvl w:ilvl="4" w:tplc="0C090019" w:tentative="1">
      <w:start w:val="1"/>
      <w:numFmt w:val="lowerLetter"/>
      <w:lvlText w:val="%5."/>
      <w:lvlJc w:val="left"/>
      <w:pPr>
        <w:ind w:left="5370" w:hanging="360"/>
      </w:pPr>
    </w:lvl>
    <w:lvl w:ilvl="5" w:tplc="0C09001B" w:tentative="1">
      <w:start w:val="1"/>
      <w:numFmt w:val="lowerRoman"/>
      <w:lvlText w:val="%6."/>
      <w:lvlJc w:val="right"/>
      <w:pPr>
        <w:ind w:left="6090" w:hanging="180"/>
      </w:pPr>
    </w:lvl>
    <w:lvl w:ilvl="6" w:tplc="0C09000F" w:tentative="1">
      <w:start w:val="1"/>
      <w:numFmt w:val="decimal"/>
      <w:lvlText w:val="%7."/>
      <w:lvlJc w:val="left"/>
      <w:pPr>
        <w:ind w:left="6810" w:hanging="360"/>
      </w:pPr>
    </w:lvl>
    <w:lvl w:ilvl="7" w:tplc="0C090019" w:tentative="1">
      <w:start w:val="1"/>
      <w:numFmt w:val="lowerLetter"/>
      <w:lvlText w:val="%8."/>
      <w:lvlJc w:val="left"/>
      <w:pPr>
        <w:ind w:left="7530" w:hanging="360"/>
      </w:pPr>
    </w:lvl>
    <w:lvl w:ilvl="8" w:tplc="0C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 w15:restartNumberingAfterBreak="0">
    <w:nsid w:val="5BC556EE"/>
    <w:multiLevelType w:val="hybridMultilevel"/>
    <w:tmpl w:val="FBBCE2D0"/>
    <w:lvl w:ilvl="0" w:tplc="46EC25F2">
      <w:start w:val="1"/>
      <w:numFmt w:val="decimal"/>
      <w:lvlText w:val="%1"/>
      <w:lvlJc w:val="left"/>
      <w:pPr>
        <w:ind w:left="6585" w:hanging="11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10" w:hanging="360"/>
      </w:pPr>
    </w:lvl>
    <w:lvl w:ilvl="2" w:tplc="0C09001B" w:tentative="1">
      <w:start w:val="1"/>
      <w:numFmt w:val="lowerRoman"/>
      <w:lvlText w:val="%3."/>
      <w:lvlJc w:val="right"/>
      <w:pPr>
        <w:ind w:left="7230" w:hanging="180"/>
      </w:pPr>
    </w:lvl>
    <w:lvl w:ilvl="3" w:tplc="0C09000F" w:tentative="1">
      <w:start w:val="1"/>
      <w:numFmt w:val="decimal"/>
      <w:lvlText w:val="%4."/>
      <w:lvlJc w:val="left"/>
      <w:pPr>
        <w:ind w:left="7950" w:hanging="360"/>
      </w:pPr>
    </w:lvl>
    <w:lvl w:ilvl="4" w:tplc="0C090019" w:tentative="1">
      <w:start w:val="1"/>
      <w:numFmt w:val="lowerLetter"/>
      <w:lvlText w:val="%5."/>
      <w:lvlJc w:val="left"/>
      <w:pPr>
        <w:ind w:left="8670" w:hanging="360"/>
      </w:pPr>
    </w:lvl>
    <w:lvl w:ilvl="5" w:tplc="0C09001B" w:tentative="1">
      <w:start w:val="1"/>
      <w:numFmt w:val="lowerRoman"/>
      <w:lvlText w:val="%6."/>
      <w:lvlJc w:val="right"/>
      <w:pPr>
        <w:ind w:left="9390" w:hanging="180"/>
      </w:pPr>
    </w:lvl>
    <w:lvl w:ilvl="6" w:tplc="0C09000F" w:tentative="1">
      <w:start w:val="1"/>
      <w:numFmt w:val="decimal"/>
      <w:lvlText w:val="%7."/>
      <w:lvlJc w:val="left"/>
      <w:pPr>
        <w:ind w:left="10110" w:hanging="360"/>
      </w:pPr>
    </w:lvl>
    <w:lvl w:ilvl="7" w:tplc="0C090019" w:tentative="1">
      <w:start w:val="1"/>
      <w:numFmt w:val="lowerLetter"/>
      <w:lvlText w:val="%8."/>
      <w:lvlJc w:val="left"/>
      <w:pPr>
        <w:ind w:left="10830" w:hanging="360"/>
      </w:pPr>
    </w:lvl>
    <w:lvl w:ilvl="8" w:tplc="0C09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20" w15:restartNumberingAfterBreak="0">
    <w:nsid w:val="65C92985"/>
    <w:multiLevelType w:val="multilevel"/>
    <w:tmpl w:val="7D34CC1C"/>
    <w:lvl w:ilvl="0">
      <w:start w:val="1"/>
      <w:numFmt w:val="bullet"/>
      <w:pStyle w:val="Bullet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6C637067"/>
    <w:multiLevelType w:val="hybridMultilevel"/>
    <w:tmpl w:val="13C61AB8"/>
    <w:lvl w:ilvl="0" w:tplc="0BCE5E6C">
      <w:numFmt w:val="decimal"/>
      <w:lvlText w:val="%1."/>
      <w:lvlJc w:val="left"/>
      <w:pPr>
        <w:ind w:left="362" w:hanging="360"/>
      </w:pPr>
      <w:rPr>
        <w:rFonts w:hint="default"/>
        <w:strike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A021D"/>
    <w:multiLevelType w:val="hybridMultilevel"/>
    <w:tmpl w:val="A57E3E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30FD1"/>
    <w:multiLevelType w:val="multilevel"/>
    <w:tmpl w:val="577C881E"/>
    <w:styleLink w:val="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765576E7"/>
    <w:multiLevelType w:val="hybridMultilevel"/>
    <w:tmpl w:val="B8284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D3AFC"/>
    <w:multiLevelType w:val="hybridMultilevel"/>
    <w:tmpl w:val="7F740EE6"/>
    <w:lvl w:ilvl="0" w:tplc="4B30002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911D9"/>
    <w:multiLevelType w:val="hybridMultilevel"/>
    <w:tmpl w:val="92287A0C"/>
    <w:lvl w:ilvl="0" w:tplc="05DE92D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71AB1"/>
    <w:multiLevelType w:val="hybridMultilevel"/>
    <w:tmpl w:val="6C6856DC"/>
    <w:lvl w:ilvl="0" w:tplc="07E88C06">
      <w:start w:val="11"/>
      <w:numFmt w:val="decimal"/>
      <w:lvlText w:val="%1"/>
      <w:lvlJc w:val="left"/>
      <w:pPr>
        <w:ind w:left="3993" w:hanging="360"/>
      </w:pPr>
      <w:rPr>
        <w:rFonts w:eastAsia="MS Mincho"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4713" w:hanging="360"/>
      </w:pPr>
    </w:lvl>
    <w:lvl w:ilvl="2" w:tplc="0C09001B" w:tentative="1">
      <w:start w:val="1"/>
      <w:numFmt w:val="lowerRoman"/>
      <w:lvlText w:val="%3."/>
      <w:lvlJc w:val="right"/>
      <w:pPr>
        <w:ind w:left="5433" w:hanging="180"/>
      </w:pPr>
    </w:lvl>
    <w:lvl w:ilvl="3" w:tplc="0C09000F" w:tentative="1">
      <w:start w:val="1"/>
      <w:numFmt w:val="decimal"/>
      <w:lvlText w:val="%4."/>
      <w:lvlJc w:val="left"/>
      <w:pPr>
        <w:ind w:left="6153" w:hanging="360"/>
      </w:pPr>
    </w:lvl>
    <w:lvl w:ilvl="4" w:tplc="0C090019" w:tentative="1">
      <w:start w:val="1"/>
      <w:numFmt w:val="lowerLetter"/>
      <w:lvlText w:val="%5."/>
      <w:lvlJc w:val="left"/>
      <w:pPr>
        <w:ind w:left="6873" w:hanging="360"/>
      </w:pPr>
    </w:lvl>
    <w:lvl w:ilvl="5" w:tplc="0C09001B" w:tentative="1">
      <w:start w:val="1"/>
      <w:numFmt w:val="lowerRoman"/>
      <w:lvlText w:val="%6."/>
      <w:lvlJc w:val="right"/>
      <w:pPr>
        <w:ind w:left="7593" w:hanging="180"/>
      </w:pPr>
    </w:lvl>
    <w:lvl w:ilvl="6" w:tplc="0C09000F" w:tentative="1">
      <w:start w:val="1"/>
      <w:numFmt w:val="decimal"/>
      <w:lvlText w:val="%7."/>
      <w:lvlJc w:val="left"/>
      <w:pPr>
        <w:ind w:left="8313" w:hanging="360"/>
      </w:pPr>
    </w:lvl>
    <w:lvl w:ilvl="7" w:tplc="0C090019" w:tentative="1">
      <w:start w:val="1"/>
      <w:numFmt w:val="lowerLetter"/>
      <w:lvlText w:val="%8."/>
      <w:lvlJc w:val="left"/>
      <w:pPr>
        <w:ind w:left="9033" w:hanging="360"/>
      </w:pPr>
    </w:lvl>
    <w:lvl w:ilvl="8" w:tplc="0C09001B" w:tentative="1">
      <w:start w:val="1"/>
      <w:numFmt w:val="lowerRoman"/>
      <w:lvlText w:val="%9."/>
      <w:lvlJc w:val="right"/>
      <w:pPr>
        <w:ind w:left="9753" w:hanging="180"/>
      </w:p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20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>
    <w:abstractNumId w:val="15"/>
  </w:num>
  <w:num w:numId="8">
    <w:abstractNumId w:val="23"/>
  </w:num>
  <w:num w:numId="9">
    <w:abstractNumId w:val="12"/>
  </w:num>
  <w:num w:numId="10">
    <w:abstractNumId w:val="7"/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  <w:lvlOverride w:ilvl="0">
      <w:startOverride w:val="1"/>
    </w:lvlOverride>
  </w:num>
  <w:num w:numId="20">
    <w:abstractNumId w:val="1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25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8"/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4"/>
  </w:num>
  <w:num w:numId="31">
    <w:abstractNumId w:val="16"/>
  </w:num>
  <w:num w:numId="32">
    <w:abstractNumId w:val="2"/>
  </w:num>
  <w:num w:numId="33">
    <w:abstractNumId w:val="21"/>
  </w:num>
  <w:num w:numId="34">
    <w:abstractNumId w:val="26"/>
  </w:num>
  <w:num w:numId="35">
    <w:abstractNumId w:val="6"/>
  </w:num>
  <w:num w:numId="36">
    <w:abstractNumId w:val="24"/>
  </w:num>
  <w:num w:numId="37">
    <w:abstractNumId w:val="9"/>
  </w:num>
  <w:num w:numId="38">
    <w:abstractNumId w:val="9"/>
    <w:lvlOverride w:ilvl="0">
      <w:startOverride w:val="1"/>
    </w:lvlOverride>
  </w:num>
  <w:num w:numId="39">
    <w:abstractNumId w:val="9"/>
    <w:lvlOverride w:ilvl="0">
      <w:startOverride w:val="1"/>
    </w:lvlOverride>
  </w:num>
  <w:num w:numId="40">
    <w:abstractNumId w:val="9"/>
    <w:lvlOverride w:ilvl="0">
      <w:startOverride w:val="1"/>
    </w:lvlOverride>
  </w:num>
  <w:num w:numId="41">
    <w:abstractNumId w:val="9"/>
    <w:lvlOverride w:ilvl="0">
      <w:startOverride w:val="1"/>
    </w:lvlOverride>
  </w:num>
  <w:num w:numId="42">
    <w:abstractNumId w:val="1"/>
  </w:num>
  <w:num w:numId="43">
    <w:abstractNumId w:val="11"/>
  </w:num>
  <w:num w:numId="44">
    <w:abstractNumId w:val="14"/>
  </w:num>
  <w:num w:numId="45">
    <w:abstractNumId w:val="22"/>
  </w:num>
  <w:num w:numId="46">
    <w:abstractNumId w:val="27"/>
  </w:num>
  <w:num w:numId="47">
    <w:abstractNumId w:val="9"/>
    <w:lvlOverride w:ilvl="0">
      <w:startOverride w:val="1"/>
    </w:lvlOverride>
  </w:num>
  <w:num w:numId="48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D03"/>
    <w:rsid w:val="00000423"/>
    <w:rsid w:val="00003096"/>
    <w:rsid w:val="000032AC"/>
    <w:rsid w:val="00004C8D"/>
    <w:rsid w:val="000072B6"/>
    <w:rsid w:val="0001021B"/>
    <w:rsid w:val="0001139D"/>
    <w:rsid w:val="00011D89"/>
    <w:rsid w:val="000127F5"/>
    <w:rsid w:val="00016D23"/>
    <w:rsid w:val="000177EA"/>
    <w:rsid w:val="00020702"/>
    <w:rsid w:val="00020D84"/>
    <w:rsid w:val="00020DB7"/>
    <w:rsid w:val="00021604"/>
    <w:rsid w:val="00021F0B"/>
    <w:rsid w:val="000232DB"/>
    <w:rsid w:val="00024D89"/>
    <w:rsid w:val="000250B6"/>
    <w:rsid w:val="00025708"/>
    <w:rsid w:val="00027260"/>
    <w:rsid w:val="00031ED6"/>
    <w:rsid w:val="000337DA"/>
    <w:rsid w:val="00033D81"/>
    <w:rsid w:val="00034A19"/>
    <w:rsid w:val="0003527B"/>
    <w:rsid w:val="00037A60"/>
    <w:rsid w:val="000412A0"/>
    <w:rsid w:val="00041BF0"/>
    <w:rsid w:val="0004228F"/>
    <w:rsid w:val="00043F4B"/>
    <w:rsid w:val="0004536B"/>
    <w:rsid w:val="00045766"/>
    <w:rsid w:val="00046B68"/>
    <w:rsid w:val="00047B50"/>
    <w:rsid w:val="000504F2"/>
    <w:rsid w:val="00052423"/>
    <w:rsid w:val="000527DD"/>
    <w:rsid w:val="00055E2C"/>
    <w:rsid w:val="000578B2"/>
    <w:rsid w:val="00060959"/>
    <w:rsid w:val="000663CD"/>
    <w:rsid w:val="00066572"/>
    <w:rsid w:val="00071C03"/>
    <w:rsid w:val="000724F6"/>
    <w:rsid w:val="00073195"/>
    <w:rsid w:val="000731A6"/>
    <w:rsid w:val="000733FE"/>
    <w:rsid w:val="0007402E"/>
    <w:rsid w:val="00074219"/>
    <w:rsid w:val="00074973"/>
    <w:rsid w:val="00074D9B"/>
    <w:rsid w:val="00074ED5"/>
    <w:rsid w:val="00081220"/>
    <w:rsid w:val="000817E6"/>
    <w:rsid w:val="000857F8"/>
    <w:rsid w:val="00086F77"/>
    <w:rsid w:val="00087476"/>
    <w:rsid w:val="00087CC2"/>
    <w:rsid w:val="0009113B"/>
    <w:rsid w:val="000940C0"/>
    <w:rsid w:val="00094DA3"/>
    <w:rsid w:val="0009646F"/>
    <w:rsid w:val="00096CD1"/>
    <w:rsid w:val="000A012C"/>
    <w:rsid w:val="000A0EB9"/>
    <w:rsid w:val="000A186C"/>
    <w:rsid w:val="000A25F7"/>
    <w:rsid w:val="000A2BA2"/>
    <w:rsid w:val="000A2D65"/>
    <w:rsid w:val="000A4FD6"/>
    <w:rsid w:val="000A6666"/>
    <w:rsid w:val="000B348B"/>
    <w:rsid w:val="000B3490"/>
    <w:rsid w:val="000B4498"/>
    <w:rsid w:val="000B52A3"/>
    <w:rsid w:val="000B543D"/>
    <w:rsid w:val="000B5458"/>
    <w:rsid w:val="000B5BF7"/>
    <w:rsid w:val="000B5CC0"/>
    <w:rsid w:val="000B6278"/>
    <w:rsid w:val="000B694E"/>
    <w:rsid w:val="000B6BC8"/>
    <w:rsid w:val="000B7EFC"/>
    <w:rsid w:val="000C2BC5"/>
    <w:rsid w:val="000C3824"/>
    <w:rsid w:val="000C42EA"/>
    <w:rsid w:val="000C4546"/>
    <w:rsid w:val="000C5BD1"/>
    <w:rsid w:val="000C6BBC"/>
    <w:rsid w:val="000C771D"/>
    <w:rsid w:val="000D1242"/>
    <w:rsid w:val="000D1FF1"/>
    <w:rsid w:val="000D3255"/>
    <w:rsid w:val="000D646F"/>
    <w:rsid w:val="000D6F92"/>
    <w:rsid w:val="000E0C7C"/>
    <w:rsid w:val="000E1B78"/>
    <w:rsid w:val="000E25C0"/>
    <w:rsid w:val="000E3CC7"/>
    <w:rsid w:val="000E4C93"/>
    <w:rsid w:val="000E6BD4"/>
    <w:rsid w:val="000F0A30"/>
    <w:rsid w:val="000F1F1E"/>
    <w:rsid w:val="000F2259"/>
    <w:rsid w:val="000F2C09"/>
    <w:rsid w:val="000F3164"/>
    <w:rsid w:val="000F56E1"/>
    <w:rsid w:val="000F7423"/>
    <w:rsid w:val="001037BA"/>
    <w:rsid w:val="0010392D"/>
    <w:rsid w:val="0010447F"/>
    <w:rsid w:val="00104ACD"/>
    <w:rsid w:val="00104E19"/>
    <w:rsid w:val="00104FE3"/>
    <w:rsid w:val="00107C2E"/>
    <w:rsid w:val="00113D38"/>
    <w:rsid w:val="001148F9"/>
    <w:rsid w:val="0011600A"/>
    <w:rsid w:val="0011739D"/>
    <w:rsid w:val="00117AFC"/>
    <w:rsid w:val="00120BD3"/>
    <w:rsid w:val="00122FEA"/>
    <w:rsid w:val="001232BD"/>
    <w:rsid w:val="00123919"/>
    <w:rsid w:val="00124ED5"/>
    <w:rsid w:val="0012658F"/>
    <w:rsid w:val="00127586"/>
    <w:rsid w:val="00127FD4"/>
    <w:rsid w:val="00133190"/>
    <w:rsid w:val="00141414"/>
    <w:rsid w:val="00143A40"/>
    <w:rsid w:val="001447B3"/>
    <w:rsid w:val="001460E5"/>
    <w:rsid w:val="001468FF"/>
    <w:rsid w:val="00152073"/>
    <w:rsid w:val="00152AC4"/>
    <w:rsid w:val="00152D5A"/>
    <w:rsid w:val="0015424D"/>
    <w:rsid w:val="001567F5"/>
    <w:rsid w:val="00161939"/>
    <w:rsid w:val="00161AA0"/>
    <w:rsid w:val="00162093"/>
    <w:rsid w:val="001622C4"/>
    <w:rsid w:val="001729A0"/>
    <w:rsid w:val="0017399E"/>
    <w:rsid w:val="00174C26"/>
    <w:rsid w:val="001758E3"/>
    <w:rsid w:val="00176A6A"/>
    <w:rsid w:val="001771DD"/>
    <w:rsid w:val="00177995"/>
    <w:rsid w:val="00177A8C"/>
    <w:rsid w:val="001810C9"/>
    <w:rsid w:val="001824CF"/>
    <w:rsid w:val="00184E2E"/>
    <w:rsid w:val="0018574E"/>
    <w:rsid w:val="00186B33"/>
    <w:rsid w:val="00187286"/>
    <w:rsid w:val="00191CC5"/>
    <w:rsid w:val="001922EA"/>
    <w:rsid w:val="00192F9D"/>
    <w:rsid w:val="001948DC"/>
    <w:rsid w:val="00196EB8"/>
    <w:rsid w:val="00196EFB"/>
    <w:rsid w:val="001979FF"/>
    <w:rsid w:val="00197B17"/>
    <w:rsid w:val="001A29B7"/>
    <w:rsid w:val="001A2A43"/>
    <w:rsid w:val="001A3ACE"/>
    <w:rsid w:val="001A6E90"/>
    <w:rsid w:val="001A6E96"/>
    <w:rsid w:val="001B0356"/>
    <w:rsid w:val="001B19AE"/>
    <w:rsid w:val="001B1B9C"/>
    <w:rsid w:val="001B32BD"/>
    <w:rsid w:val="001B4C56"/>
    <w:rsid w:val="001B6BC8"/>
    <w:rsid w:val="001C0F66"/>
    <w:rsid w:val="001C277E"/>
    <w:rsid w:val="001C2A72"/>
    <w:rsid w:val="001D0A0B"/>
    <w:rsid w:val="001D0A85"/>
    <w:rsid w:val="001D0B75"/>
    <w:rsid w:val="001D1A28"/>
    <w:rsid w:val="001D3C09"/>
    <w:rsid w:val="001D44E8"/>
    <w:rsid w:val="001D60EC"/>
    <w:rsid w:val="001E0D56"/>
    <w:rsid w:val="001E354F"/>
    <w:rsid w:val="001E44DF"/>
    <w:rsid w:val="001E68A5"/>
    <w:rsid w:val="001E6BB0"/>
    <w:rsid w:val="001E7447"/>
    <w:rsid w:val="001F3826"/>
    <w:rsid w:val="001F50E4"/>
    <w:rsid w:val="001F5BA0"/>
    <w:rsid w:val="001F5CE7"/>
    <w:rsid w:val="001F6553"/>
    <w:rsid w:val="001F6E46"/>
    <w:rsid w:val="001F7C91"/>
    <w:rsid w:val="00201DF7"/>
    <w:rsid w:val="0020397C"/>
    <w:rsid w:val="00204E6C"/>
    <w:rsid w:val="0020581A"/>
    <w:rsid w:val="00206463"/>
    <w:rsid w:val="00206F2F"/>
    <w:rsid w:val="0021053D"/>
    <w:rsid w:val="00210A92"/>
    <w:rsid w:val="0021157F"/>
    <w:rsid w:val="00214655"/>
    <w:rsid w:val="002148FF"/>
    <w:rsid w:val="002149C2"/>
    <w:rsid w:val="00214E33"/>
    <w:rsid w:val="00216C03"/>
    <w:rsid w:val="00220C04"/>
    <w:rsid w:val="00221F51"/>
    <w:rsid w:val="0022278D"/>
    <w:rsid w:val="0022701F"/>
    <w:rsid w:val="002333F5"/>
    <w:rsid w:val="00233724"/>
    <w:rsid w:val="00233ADC"/>
    <w:rsid w:val="002342C2"/>
    <w:rsid w:val="00234AAA"/>
    <w:rsid w:val="00240F83"/>
    <w:rsid w:val="002432E1"/>
    <w:rsid w:val="00244A31"/>
    <w:rsid w:val="00246207"/>
    <w:rsid w:val="00246232"/>
    <w:rsid w:val="00246598"/>
    <w:rsid w:val="00246C5E"/>
    <w:rsid w:val="00250759"/>
    <w:rsid w:val="00251343"/>
    <w:rsid w:val="00251F6F"/>
    <w:rsid w:val="0025279A"/>
    <w:rsid w:val="00254F58"/>
    <w:rsid w:val="00261327"/>
    <w:rsid w:val="002615C7"/>
    <w:rsid w:val="002620BC"/>
    <w:rsid w:val="00262802"/>
    <w:rsid w:val="00263A90"/>
    <w:rsid w:val="0026408B"/>
    <w:rsid w:val="00265378"/>
    <w:rsid w:val="002657A2"/>
    <w:rsid w:val="002657A3"/>
    <w:rsid w:val="00267C3E"/>
    <w:rsid w:val="002709BB"/>
    <w:rsid w:val="00272F2B"/>
    <w:rsid w:val="0027310E"/>
    <w:rsid w:val="00273373"/>
    <w:rsid w:val="002736F5"/>
    <w:rsid w:val="00274B52"/>
    <w:rsid w:val="002763B3"/>
    <w:rsid w:val="00276AC4"/>
    <w:rsid w:val="002802E3"/>
    <w:rsid w:val="0028213D"/>
    <w:rsid w:val="0028339B"/>
    <w:rsid w:val="00285134"/>
    <w:rsid w:val="0028528E"/>
    <w:rsid w:val="00285912"/>
    <w:rsid w:val="00285AAA"/>
    <w:rsid w:val="002862F1"/>
    <w:rsid w:val="00291373"/>
    <w:rsid w:val="00293358"/>
    <w:rsid w:val="00294C56"/>
    <w:rsid w:val="0029597D"/>
    <w:rsid w:val="002962C3"/>
    <w:rsid w:val="0029752B"/>
    <w:rsid w:val="002A0FA5"/>
    <w:rsid w:val="002A45EE"/>
    <w:rsid w:val="002A483C"/>
    <w:rsid w:val="002A774F"/>
    <w:rsid w:val="002B029C"/>
    <w:rsid w:val="002B1729"/>
    <w:rsid w:val="002B265F"/>
    <w:rsid w:val="002B2816"/>
    <w:rsid w:val="002B2AA0"/>
    <w:rsid w:val="002B36C7"/>
    <w:rsid w:val="002B4DD4"/>
    <w:rsid w:val="002B4EF0"/>
    <w:rsid w:val="002B5277"/>
    <w:rsid w:val="002B52A6"/>
    <w:rsid w:val="002B5375"/>
    <w:rsid w:val="002B74A3"/>
    <w:rsid w:val="002B77C1"/>
    <w:rsid w:val="002C1ED1"/>
    <w:rsid w:val="002C2537"/>
    <w:rsid w:val="002C25EA"/>
    <w:rsid w:val="002C2728"/>
    <w:rsid w:val="002C3D29"/>
    <w:rsid w:val="002C4825"/>
    <w:rsid w:val="002C4A35"/>
    <w:rsid w:val="002D1071"/>
    <w:rsid w:val="002D1283"/>
    <w:rsid w:val="002D1F45"/>
    <w:rsid w:val="002D3130"/>
    <w:rsid w:val="002D3E70"/>
    <w:rsid w:val="002D5006"/>
    <w:rsid w:val="002D6262"/>
    <w:rsid w:val="002D658C"/>
    <w:rsid w:val="002E01D0"/>
    <w:rsid w:val="002E11EA"/>
    <w:rsid w:val="002E161D"/>
    <w:rsid w:val="002E1DD8"/>
    <w:rsid w:val="002E3100"/>
    <w:rsid w:val="002E48BF"/>
    <w:rsid w:val="002E66F6"/>
    <w:rsid w:val="002E6C95"/>
    <w:rsid w:val="002E7C36"/>
    <w:rsid w:val="002F1A9F"/>
    <w:rsid w:val="002F1D38"/>
    <w:rsid w:val="002F367E"/>
    <w:rsid w:val="002F3D66"/>
    <w:rsid w:val="002F4171"/>
    <w:rsid w:val="002F5E77"/>
    <w:rsid w:val="002F5F31"/>
    <w:rsid w:val="002F5F46"/>
    <w:rsid w:val="002F620B"/>
    <w:rsid w:val="003003F7"/>
    <w:rsid w:val="00302216"/>
    <w:rsid w:val="00303E53"/>
    <w:rsid w:val="00304E97"/>
    <w:rsid w:val="003053DD"/>
    <w:rsid w:val="0030611C"/>
    <w:rsid w:val="00306E5F"/>
    <w:rsid w:val="00307E14"/>
    <w:rsid w:val="00311C4A"/>
    <w:rsid w:val="0031251D"/>
    <w:rsid w:val="00313A8B"/>
    <w:rsid w:val="00314054"/>
    <w:rsid w:val="00316898"/>
    <w:rsid w:val="00316F27"/>
    <w:rsid w:val="0031768B"/>
    <w:rsid w:val="0031773C"/>
    <w:rsid w:val="00327870"/>
    <w:rsid w:val="00330F3C"/>
    <w:rsid w:val="0033259D"/>
    <w:rsid w:val="00333826"/>
    <w:rsid w:val="00333A88"/>
    <w:rsid w:val="00334A11"/>
    <w:rsid w:val="00335F96"/>
    <w:rsid w:val="00337C00"/>
    <w:rsid w:val="003406C6"/>
    <w:rsid w:val="003418CC"/>
    <w:rsid w:val="00344E29"/>
    <w:rsid w:val="003459BD"/>
    <w:rsid w:val="003500FA"/>
    <w:rsid w:val="003507E6"/>
    <w:rsid w:val="00350D38"/>
    <w:rsid w:val="0035102C"/>
    <w:rsid w:val="00351B36"/>
    <w:rsid w:val="00352184"/>
    <w:rsid w:val="003529DE"/>
    <w:rsid w:val="00352DD8"/>
    <w:rsid w:val="0035439E"/>
    <w:rsid w:val="0035456C"/>
    <w:rsid w:val="003556F3"/>
    <w:rsid w:val="00357B4E"/>
    <w:rsid w:val="00361CAB"/>
    <w:rsid w:val="0036330C"/>
    <w:rsid w:val="00363489"/>
    <w:rsid w:val="003640A9"/>
    <w:rsid w:val="003647C7"/>
    <w:rsid w:val="00364FC5"/>
    <w:rsid w:val="00365704"/>
    <w:rsid w:val="0036592C"/>
    <w:rsid w:val="00366BC0"/>
    <w:rsid w:val="0036748F"/>
    <w:rsid w:val="00371F47"/>
    <w:rsid w:val="003730C6"/>
    <w:rsid w:val="00373C3A"/>
    <w:rsid w:val="003744CF"/>
    <w:rsid w:val="00374717"/>
    <w:rsid w:val="0037588F"/>
    <w:rsid w:val="00375A42"/>
    <w:rsid w:val="0037676C"/>
    <w:rsid w:val="00381769"/>
    <w:rsid w:val="00381C6F"/>
    <w:rsid w:val="003829E5"/>
    <w:rsid w:val="00384628"/>
    <w:rsid w:val="003877F3"/>
    <w:rsid w:val="0039156E"/>
    <w:rsid w:val="003940C4"/>
    <w:rsid w:val="003956CC"/>
    <w:rsid w:val="0039586A"/>
    <w:rsid w:val="00395C9A"/>
    <w:rsid w:val="00397BAE"/>
    <w:rsid w:val="003A2DBB"/>
    <w:rsid w:val="003A3DA7"/>
    <w:rsid w:val="003A52C1"/>
    <w:rsid w:val="003A5F6D"/>
    <w:rsid w:val="003A6B67"/>
    <w:rsid w:val="003A7DBC"/>
    <w:rsid w:val="003B0262"/>
    <w:rsid w:val="003B15E6"/>
    <w:rsid w:val="003B42F5"/>
    <w:rsid w:val="003B49D9"/>
    <w:rsid w:val="003C1A33"/>
    <w:rsid w:val="003C1B03"/>
    <w:rsid w:val="003C2045"/>
    <w:rsid w:val="003C20AB"/>
    <w:rsid w:val="003C43A1"/>
    <w:rsid w:val="003C4FC0"/>
    <w:rsid w:val="003C55F4"/>
    <w:rsid w:val="003C7006"/>
    <w:rsid w:val="003C7A3F"/>
    <w:rsid w:val="003C7ED8"/>
    <w:rsid w:val="003D04CD"/>
    <w:rsid w:val="003D0C84"/>
    <w:rsid w:val="003D2766"/>
    <w:rsid w:val="003D295D"/>
    <w:rsid w:val="003D3E8F"/>
    <w:rsid w:val="003D6475"/>
    <w:rsid w:val="003E300D"/>
    <w:rsid w:val="003E54DD"/>
    <w:rsid w:val="003F0445"/>
    <w:rsid w:val="003F0CF0"/>
    <w:rsid w:val="003F14B1"/>
    <w:rsid w:val="003F3289"/>
    <w:rsid w:val="003F3B99"/>
    <w:rsid w:val="003F409F"/>
    <w:rsid w:val="003F51F4"/>
    <w:rsid w:val="003F5614"/>
    <w:rsid w:val="003F6E44"/>
    <w:rsid w:val="00401259"/>
    <w:rsid w:val="00401692"/>
    <w:rsid w:val="00401FCF"/>
    <w:rsid w:val="00403A80"/>
    <w:rsid w:val="00406285"/>
    <w:rsid w:val="00407519"/>
    <w:rsid w:val="00410E7E"/>
    <w:rsid w:val="00412D16"/>
    <w:rsid w:val="00412E5C"/>
    <w:rsid w:val="00413611"/>
    <w:rsid w:val="004148F9"/>
    <w:rsid w:val="0042084E"/>
    <w:rsid w:val="004211C3"/>
    <w:rsid w:val="00421EEF"/>
    <w:rsid w:val="00424D65"/>
    <w:rsid w:val="00424F3A"/>
    <w:rsid w:val="004264B2"/>
    <w:rsid w:val="0042760C"/>
    <w:rsid w:val="00427A42"/>
    <w:rsid w:val="0043029C"/>
    <w:rsid w:val="00432EC8"/>
    <w:rsid w:val="004350DB"/>
    <w:rsid w:val="00435CD7"/>
    <w:rsid w:val="0044085E"/>
    <w:rsid w:val="00442590"/>
    <w:rsid w:val="00442C6C"/>
    <w:rsid w:val="00443CBE"/>
    <w:rsid w:val="00443E8A"/>
    <w:rsid w:val="004441BC"/>
    <w:rsid w:val="00444AB1"/>
    <w:rsid w:val="004468B4"/>
    <w:rsid w:val="00447F2A"/>
    <w:rsid w:val="0045230A"/>
    <w:rsid w:val="0045390B"/>
    <w:rsid w:val="00453A1D"/>
    <w:rsid w:val="00457337"/>
    <w:rsid w:val="00460855"/>
    <w:rsid w:val="00466AF5"/>
    <w:rsid w:val="00467AE2"/>
    <w:rsid w:val="00471AD0"/>
    <w:rsid w:val="00471B90"/>
    <w:rsid w:val="00472EAD"/>
    <w:rsid w:val="0047372D"/>
    <w:rsid w:val="0047379D"/>
    <w:rsid w:val="00473AE2"/>
    <w:rsid w:val="004743DD"/>
    <w:rsid w:val="00474CEA"/>
    <w:rsid w:val="00477CEC"/>
    <w:rsid w:val="0048336C"/>
    <w:rsid w:val="00483968"/>
    <w:rsid w:val="00484299"/>
    <w:rsid w:val="00484F86"/>
    <w:rsid w:val="004864FA"/>
    <w:rsid w:val="00486C9D"/>
    <w:rsid w:val="00487BAA"/>
    <w:rsid w:val="00490467"/>
    <w:rsid w:val="00490746"/>
    <w:rsid w:val="00490852"/>
    <w:rsid w:val="004920EB"/>
    <w:rsid w:val="00492F30"/>
    <w:rsid w:val="004946F4"/>
    <w:rsid w:val="0049487E"/>
    <w:rsid w:val="004A160D"/>
    <w:rsid w:val="004A1B30"/>
    <w:rsid w:val="004A24B1"/>
    <w:rsid w:val="004A3E81"/>
    <w:rsid w:val="004A5C62"/>
    <w:rsid w:val="004A705F"/>
    <w:rsid w:val="004A707D"/>
    <w:rsid w:val="004B2B92"/>
    <w:rsid w:val="004B2D5E"/>
    <w:rsid w:val="004B644D"/>
    <w:rsid w:val="004B6F98"/>
    <w:rsid w:val="004C20E2"/>
    <w:rsid w:val="004C5797"/>
    <w:rsid w:val="004C6EEE"/>
    <w:rsid w:val="004C702B"/>
    <w:rsid w:val="004D016B"/>
    <w:rsid w:val="004D1B22"/>
    <w:rsid w:val="004D3325"/>
    <w:rsid w:val="004D351B"/>
    <w:rsid w:val="004D36F2"/>
    <w:rsid w:val="004D56BD"/>
    <w:rsid w:val="004D6BDB"/>
    <w:rsid w:val="004D7F26"/>
    <w:rsid w:val="004E138F"/>
    <w:rsid w:val="004E3923"/>
    <w:rsid w:val="004E4649"/>
    <w:rsid w:val="004E4EFE"/>
    <w:rsid w:val="004E5C2B"/>
    <w:rsid w:val="004E6581"/>
    <w:rsid w:val="004E66F0"/>
    <w:rsid w:val="004F00DD"/>
    <w:rsid w:val="004F05F6"/>
    <w:rsid w:val="004F19A3"/>
    <w:rsid w:val="004F2133"/>
    <w:rsid w:val="004F4E14"/>
    <w:rsid w:val="004F55F1"/>
    <w:rsid w:val="004F6936"/>
    <w:rsid w:val="004F7CF5"/>
    <w:rsid w:val="005010F0"/>
    <w:rsid w:val="0050110B"/>
    <w:rsid w:val="00501A66"/>
    <w:rsid w:val="00503DC6"/>
    <w:rsid w:val="005045A4"/>
    <w:rsid w:val="00505D11"/>
    <w:rsid w:val="005065FD"/>
    <w:rsid w:val="00506F5D"/>
    <w:rsid w:val="00511836"/>
    <w:rsid w:val="005126D0"/>
    <w:rsid w:val="00515223"/>
    <w:rsid w:val="0051563E"/>
    <w:rsid w:val="0051568D"/>
    <w:rsid w:val="00524CE5"/>
    <w:rsid w:val="00526C15"/>
    <w:rsid w:val="00530CCC"/>
    <w:rsid w:val="00532A89"/>
    <w:rsid w:val="0053401A"/>
    <w:rsid w:val="005356EB"/>
    <w:rsid w:val="005363DE"/>
    <w:rsid w:val="00536499"/>
    <w:rsid w:val="00541FB6"/>
    <w:rsid w:val="00543437"/>
    <w:rsid w:val="00543903"/>
    <w:rsid w:val="00543F11"/>
    <w:rsid w:val="00544144"/>
    <w:rsid w:val="00545BEC"/>
    <w:rsid w:val="005460A7"/>
    <w:rsid w:val="0054662E"/>
    <w:rsid w:val="00547A95"/>
    <w:rsid w:val="00550117"/>
    <w:rsid w:val="00551274"/>
    <w:rsid w:val="0055308B"/>
    <w:rsid w:val="005541BC"/>
    <w:rsid w:val="00555973"/>
    <w:rsid w:val="0055692F"/>
    <w:rsid w:val="00556ED9"/>
    <w:rsid w:val="0055788A"/>
    <w:rsid w:val="00560991"/>
    <w:rsid w:val="005611A1"/>
    <w:rsid w:val="00562568"/>
    <w:rsid w:val="00562A59"/>
    <w:rsid w:val="00564386"/>
    <w:rsid w:val="00565D0F"/>
    <w:rsid w:val="00567B28"/>
    <w:rsid w:val="00572031"/>
    <w:rsid w:val="00572975"/>
    <w:rsid w:val="00573163"/>
    <w:rsid w:val="005753BF"/>
    <w:rsid w:val="00575A78"/>
    <w:rsid w:val="00576E84"/>
    <w:rsid w:val="0058003E"/>
    <w:rsid w:val="0058176B"/>
    <w:rsid w:val="005817A9"/>
    <w:rsid w:val="00581872"/>
    <w:rsid w:val="00582B8C"/>
    <w:rsid w:val="005840C9"/>
    <w:rsid w:val="00584E14"/>
    <w:rsid w:val="005850D3"/>
    <w:rsid w:val="00587220"/>
    <w:rsid w:val="0058757E"/>
    <w:rsid w:val="00590084"/>
    <w:rsid w:val="00591653"/>
    <w:rsid w:val="00593920"/>
    <w:rsid w:val="00596A4B"/>
    <w:rsid w:val="00597507"/>
    <w:rsid w:val="005A3A0F"/>
    <w:rsid w:val="005A7F32"/>
    <w:rsid w:val="005B1748"/>
    <w:rsid w:val="005B21B6"/>
    <w:rsid w:val="005B33E7"/>
    <w:rsid w:val="005B3A08"/>
    <w:rsid w:val="005B467D"/>
    <w:rsid w:val="005B4ADD"/>
    <w:rsid w:val="005B4CF7"/>
    <w:rsid w:val="005B5921"/>
    <w:rsid w:val="005B7A63"/>
    <w:rsid w:val="005C0955"/>
    <w:rsid w:val="005C13A9"/>
    <w:rsid w:val="005C49DA"/>
    <w:rsid w:val="005C50F3"/>
    <w:rsid w:val="005C5D91"/>
    <w:rsid w:val="005D07B8"/>
    <w:rsid w:val="005D21EF"/>
    <w:rsid w:val="005D349E"/>
    <w:rsid w:val="005D3D7F"/>
    <w:rsid w:val="005D4CAF"/>
    <w:rsid w:val="005D6597"/>
    <w:rsid w:val="005D7977"/>
    <w:rsid w:val="005E14E7"/>
    <w:rsid w:val="005E26A3"/>
    <w:rsid w:val="005E4269"/>
    <w:rsid w:val="005E447E"/>
    <w:rsid w:val="005E6EAB"/>
    <w:rsid w:val="005F0775"/>
    <w:rsid w:val="005F0CF5"/>
    <w:rsid w:val="005F21EB"/>
    <w:rsid w:val="005F70AF"/>
    <w:rsid w:val="00601361"/>
    <w:rsid w:val="0060288F"/>
    <w:rsid w:val="00605908"/>
    <w:rsid w:val="0060672B"/>
    <w:rsid w:val="00610D7C"/>
    <w:rsid w:val="006126E5"/>
    <w:rsid w:val="00612F09"/>
    <w:rsid w:val="00613191"/>
    <w:rsid w:val="00613414"/>
    <w:rsid w:val="00615AEC"/>
    <w:rsid w:val="00616205"/>
    <w:rsid w:val="0061648D"/>
    <w:rsid w:val="00617857"/>
    <w:rsid w:val="00620FD2"/>
    <w:rsid w:val="00623667"/>
    <w:rsid w:val="00623DB7"/>
    <w:rsid w:val="0062408D"/>
    <w:rsid w:val="006240CC"/>
    <w:rsid w:val="006248CD"/>
    <w:rsid w:val="006257E6"/>
    <w:rsid w:val="006261D3"/>
    <w:rsid w:val="00627DA7"/>
    <w:rsid w:val="00630413"/>
    <w:rsid w:val="00630EE6"/>
    <w:rsid w:val="00630F9A"/>
    <w:rsid w:val="00633471"/>
    <w:rsid w:val="006358B4"/>
    <w:rsid w:val="00637932"/>
    <w:rsid w:val="006419AA"/>
    <w:rsid w:val="0064370F"/>
    <w:rsid w:val="00644B7E"/>
    <w:rsid w:val="00644E40"/>
    <w:rsid w:val="006454E6"/>
    <w:rsid w:val="00646A68"/>
    <w:rsid w:val="0065092E"/>
    <w:rsid w:val="006515FD"/>
    <w:rsid w:val="006537D4"/>
    <w:rsid w:val="006557A7"/>
    <w:rsid w:val="00656290"/>
    <w:rsid w:val="0066165E"/>
    <w:rsid w:val="00661E29"/>
    <w:rsid w:val="006621D7"/>
    <w:rsid w:val="0066302A"/>
    <w:rsid w:val="00667E55"/>
    <w:rsid w:val="00670597"/>
    <w:rsid w:val="006706D0"/>
    <w:rsid w:val="0067070D"/>
    <w:rsid w:val="0067459E"/>
    <w:rsid w:val="00677574"/>
    <w:rsid w:val="00677CA2"/>
    <w:rsid w:val="0068086C"/>
    <w:rsid w:val="00680949"/>
    <w:rsid w:val="0068264B"/>
    <w:rsid w:val="006844EB"/>
    <w:rsid w:val="0068454C"/>
    <w:rsid w:val="00684D98"/>
    <w:rsid w:val="00684F75"/>
    <w:rsid w:val="00685EF5"/>
    <w:rsid w:val="0069114F"/>
    <w:rsid w:val="00691B62"/>
    <w:rsid w:val="006933B5"/>
    <w:rsid w:val="00693D14"/>
    <w:rsid w:val="00694826"/>
    <w:rsid w:val="00695A27"/>
    <w:rsid w:val="00697238"/>
    <w:rsid w:val="00697B96"/>
    <w:rsid w:val="006A0E56"/>
    <w:rsid w:val="006A1310"/>
    <w:rsid w:val="006A18C2"/>
    <w:rsid w:val="006A2858"/>
    <w:rsid w:val="006A4E6A"/>
    <w:rsid w:val="006A6403"/>
    <w:rsid w:val="006B077C"/>
    <w:rsid w:val="006B6803"/>
    <w:rsid w:val="006C1D98"/>
    <w:rsid w:val="006C2425"/>
    <w:rsid w:val="006C24EA"/>
    <w:rsid w:val="006C258B"/>
    <w:rsid w:val="006C2995"/>
    <w:rsid w:val="006D0811"/>
    <w:rsid w:val="006D0832"/>
    <w:rsid w:val="006D142D"/>
    <w:rsid w:val="006D1B7A"/>
    <w:rsid w:val="006D2A3F"/>
    <w:rsid w:val="006D2FBC"/>
    <w:rsid w:val="006D6DBB"/>
    <w:rsid w:val="006D7511"/>
    <w:rsid w:val="006E138B"/>
    <w:rsid w:val="006E5B5E"/>
    <w:rsid w:val="006F1FDC"/>
    <w:rsid w:val="006F5D2B"/>
    <w:rsid w:val="006F6924"/>
    <w:rsid w:val="007013EF"/>
    <w:rsid w:val="00703620"/>
    <w:rsid w:val="00705561"/>
    <w:rsid w:val="00705B8C"/>
    <w:rsid w:val="00706FED"/>
    <w:rsid w:val="0071271B"/>
    <w:rsid w:val="00712E54"/>
    <w:rsid w:val="007173CA"/>
    <w:rsid w:val="00720409"/>
    <w:rsid w:val="00720CC6"/>
    <w:rsid w:val="007216AA"/>
    <w:rsid w:val="00721AB5"/>
    <w:rsid w:val="00721DEF"/>
    <w:rsid w:val="00724A43"/>
    <w:rsid w:val="00724E5A"/>
    <w:rsid w:val="00731C27"/>
    <w:rsid w:val="007346E4"/>
    <w:rsid w:val="007360E9"/>
    <w:rsid w:val="00740A9E"/>
    <w:rsid w:val="00740DE2"/>
    <w:rsid w:val="00740F22"/>
    <w:rsid w:val="00741F1A"/>
    <w:rsid w:val="007450F8"/>
    <w:rsid w:val="00745148"/>
    <w:rsid w:val="0074696E"/>
    <w:rsid w:val="00750135"/>
    <w:rsid w:val="00750EC2"/>
    <w:rsid w:val="00752B28"/>
    <w:rsid w:val="00754E36"/>
    <w:rsid w:val="00755F6C"/>
    <w:rsid w:val="00757059"/>
    <w:rsid w:val="00760198"/>
    <w:rsid w:val="00761425"/>
    <w:rsid w:val="00763139"/>
    <w:rsid w:val="00764765"/>
    <w:rsid w:val="00764D0F"/>
    <w:rsid w:val="00770343"/>
    <w:rsid w:val="00770F37"/>
    <w:rsid w:val="007711A0"/>
    <w:rsid w:val="00772D5E"/>
    <w:rsid w:val="00773B06"/>
    <w:rsid w:val="00776928"/>
    <w:rsid w:val="00780D1B"/>
    <w:rsid w:val="00782340"/>
    <w:rsid w:val="00782D1B"/>
    <w:rsid w:val="007831D6"/>
    <w:rsid w:val="00784560"/>
    <w:rsid w:val="00784673"/>
    <w:rsid w:val="00785677"/>
    <w:rsid w:val="00786E26"/>
    <w:rsid w:val="00786F16"/>
    <w:rsid w:val="00793986"/>
    <w:rsid w:val="00793FBD"/>
    <w:rsid w:val="00795B59"/>
    <w:rsid w:val="00795DC2"/>
    <w:rsid w:val="00795EFC"/>
    <w:rsid w:val="00796033"/>
    <w:rsid w:val="00796E20"/>
    <w:rsid w:val="00797C32"/>
    <w:rsid w:val="00797D07"/>
    <w:rsid w:val="007A02F5"/>
    <w:rsid w:val="007A033F"/>
    <w:rsid w:val="007A0E3F"/>
    <w:rsid w:val="007B0914"/>
    <w:rsid w:val="007B1374"/>
    <w:rsid w:val="007B4D8A"/>
    <w:rsid w:val="007B589F"/>
    <w:rsid w:val="007B5DD2"/>
    <w:rsid w:val="007B6186"/>
    <w:rsid w:val="007B6D9D"/>
    <w:rsid w:val="007B73BC"/>
    <w:rsid w:val="007C033D"/>
    <w:rsid w:val="007C20B9"/>
    <w:rsid w:val="007C3873"/>
    <w:rsid w:val="007C6076"/>
    <w:rsid w:val="007C7301"/>
    <w:rsid w:val="007C7859"/>
    <w:rsid w:val="007D073F"/>
    <w:rsid w:val="007D07D8"/>
    <w:rsid w:val="007D2BDE"/>
    <w:rsid w:val="007D2FB6"/>
    <w:rsid w:val="007D35AB"/>
    <w:rsid w:val="007D68C1"/>
    <w:rsid w:val="007D6E2D"/>
    <w:rsid w:val="007E0DE2"/>
    <w:rsid w:val="007E0E2E"/>
    <w:rsid w:val="007E3B98"/>
    <w:rsid w:val="007E499D"/>
    <w:rsid w:val="007E552A"/>
    <w:rsid w:val="007E55AE"/>
    <w:rsid w:val="007E6789"/>
    <w:rsid w:val="007F14A5"/>
    <w:rsid w:val="007F15D1"/>
    <w:rsid w:val="007F2C6A"/>
    <w:rsid w:val="007F31B6"/>
    <w:rsid w:val="007F4F53"/>
    <w:rsid w:val="007F546C"/>
    <w:rsid w:val="007F5A0D"/>
    <w:rsid w:val="007F625F"/>
    <w:rsid w:val="007F665E"/>
    <w:rsid w:val="00800110"/>
    <w:rsid w:val="00800412"/>
    <w:rsid w:val="0080315D"/>
    <w:rsid w:val="0080587B"/>
    <w:rsid w:val="00806468"/>
    <w:rsid w:val="00806938"/>
    <w:rsid w:val="00811817"/>
    <w:rsid w:val="008120CB"/>
    <w:rsid w:val="00814DDF"/>
    <w:rsid w:val="008150F4"/>
    <w:rsid w:val="008155F0"/>
    <w:rsid w:val="00816735"/>
    <w:rsid w:val="00820141"/>
    <w:rsid w:val="008204BF"/>
    <w:rsid w:val="00820E0C"/>
    <w:rsid w:val="008212C1"/>
    <w:rsid w:val="0082259F"/>
    <w:rsid w:val="00822610"/>
    <w:rsid w:val="00831E70"/>
    <w:rsid w:val="008338A2"/>
    <w:rsid w:val="00835674"/>
    <w:rsid w:val="0083571F"/>
    <w:rsid w:val="00836B9B"/>
    <w:rsid w:val="00836F1D"/>
    <w:rsid w:val="00837D71"/>
    <w:rsid w:val="00841607"/>
    <w:rsid w:val="0084178F"/>
    <w:rsid w:val="0084185D"/>
    <w:rsid w:val="00841AA9"/>
    <w:rsid w:val="00841D0C"/>
    <w:rsid w:val="00851BCD"/>
    <w:rsid w:val="00853EE4"/>
    <w:rsid w:val="008548A4"/>
    <w:rsid w:val="00854FD7"/>
    <w:rsid w:val="0085525D"/>
    <w:rsid w:val="00855535"/>
    <w:rsid w:val="008576F9"/>
    <w:rsid w:val="008608B1"/>
    <w:rsid w:val="008623DD"/>
    <w:rsid w:val="0086255E"/>
    <w:rsid w:val="008633F0"/>
    <w:rsid w:val="008652D1"/>
    <w:rsid w:val="00865B63"/>
    <w:rsid w:val="008673D2"/>
    <w:rsid w:val="00867D9D"/>
    <w:rsid w:val="00870DF1"/>
    <w:rsid w:val="00872E0A"/>
    <w:rsid w:val="00875285"/>
    <w:rsid w:val="00876855"/>
    <w:rsid w:val="00876C54"/>
    <w:rsid w:val="00876EAD"/>
    <w:rsid w:val="008839BF"/>
    <w:rsid w:val="0088413F"/>
    <w:rsid w:val="00884B62"/>
    <w:rsid w:val="0088529C"/>
    <w:rsid w:val="00885E35"/>
    <w:rsid w:val="00887903"/>
    <w:rsid w:val="0089002A"/>
    <w:rsid w:val="00890116"/>
    <w:rsid w:val="0089270A"/>
    <w:rsid w:val="00893AF6"/>
    <w:rsid w:val="008942F2"/>
    <w:rsid w:val="00894BC4"/>
    <w:rsid w:val="00895446"/>
    <w:rsid w:val="008A34B9"/>
    <w:rsid w:val="008A5B32"/>
    <w:rsid w:val="008B196F"/>
    <w:rsid w:val="008B2EE4"/>
    <w:rsid w:val="008B4D3D"/>
    <w:rsid w:val="008B5492"/>
    <w:rsid w:val="008B57C7"/>
    <w:rsid w:val="008C0C11"/>
    <w:rsid w:val="008C2F92"/>
    <w:rsid w:val="008C5A3F"/>
    <w:rsid w:val="008D2846"/>
    <w:rsid w:val="008D4236"/>
    <w:rsid w:val="008D462F"/>
    <w:rsid w:val="008D4698"/>
    <w:rsid w:val="008D5F5F"/>
    <w:rsid w:val="008D610B"/>
    <w:rsid w:val="008D6DCF"/>
    <w:rsid w:val="008D7782"/>
    <w:rsid w:val="008D7DE4"/>
    <w:rsid w:val="008E0BC4"/>
    <w:rsid w:val="008E3DE6"/>
    <w:rsid w:val="008E4376"/>
    <w:rsid w:val="008E7014"/>
    <w:rsid w:val="008E7A0A"/>
    <w:rsid w:val="008E7D83"/>
    <w:rsid w:val="008F6310"/>
    <w:rsid w:val="00900719"/>
    <w:rsid w:val="009017AC"/>
    <w:rsid w:val="00902954"/>
    <w:rsid w:val="0090439C"/>
    <w:rsid w:val="009049E3"/>
    <w:rsid w:val="00904A1C"/>
    <w:rsid w:val="00905030"/>
    <w:rsid w:val="00905ACD"/>
    <w:rsid w:val="00906490"/>
    <w:rsid w:val="00907708"/>
    <w:rsid w:val="009078A5"/>
    <w:rsid w:val="009111B2"/>
    <w:rsid w:val="009127E2"/>
    <w:rsid w:val="00913378"/>
    <w:rsid w:val="0091337E"/>
    <w:rsid w:val="00921B54"/>
    <w:rsid w:val="00922968"/>
    <w:rsid w:val="00924AE1"/>
    <w:rsid w:val="009267C3"/>
    <w:rsid w:val="009269B1"/>
    <w:rsid w:val="0092703C"/>
    <w:rsid w:val="0092724D"/>
    <w:rsid w:val="0092734C"/>
    <w:rsid w:val="00927FD8"/>
    <w:rsid w:val="00935947"/>
    <w:rsid w:val="00937BD9"/>
    <w:rsid w:val="0094137B"/>
    <w:rsid w:val="00941ECB"/>
    <w:rsid w:val="00943C63"/>
    <w:rsid w:val="00950C87"/>
    <w:rsid w:val="00950E2C"/>
    <w:rsid w:val="00951B3A"/>
    <w:rsid w:val="00951D03"/>
    <w:rsid w:val="00951D50"/>
    <w:rsid w:val="009525EB"/>
    <w:rsid w:val="00953F76"/>
    <w:rsid w:val="00954874"/>
    <w:rsid w:val="009548CF"/>
    <w:rsid w:val="00957B36"/>
    <w:rsid w:val="00957D13"/>
    <w:rsid w:val="00960432"/>
    <w:rsid w:val="009606A4"/>
    <w:rsid w:val="00961400"/>
    <w:rsid w:val="00963646"/>
    <w:rsid w:val="00966D3D"/>
    <w:rsid w:val="0097071E"/>
    <w:rsid w:val="0097295E"/>
    <w:rsid w:val="009734B8"/>
    <w:rsid w:val="00974468"/>
    <w:rsid w:val="009749E0"/>
    <w:rsid w:val="00980C7C"/>
    <w:rsid w:val="00980F68"/>
    <w:rsid w:val="009812A1"/>
    <w:rsid w:val="00982E19"/>
    <w:rsid w:val="009837A2"/>
    <w:rsid w:val="009853E1"/>
    <w:rsid w:val="0098582B"/>
    <w:rsid w:val="00986E6B"/>
    <w:rsid w:val="00991769"/>
    <w:rsid w:val="00993E09"/>
    <w:rsid w:val="00994386"/>
    <w:rsid w:val="00996739"/>
    <w:rsid w:val="00997DEA"/>
    <w:rsid w:val="009A05DC"/>
    <w:rsid w:val="009A13D8"/>
    <w:rsid w:val="009A279E"/>
    <w:rsid w:val="009A555F"/>
    <w:rsid w:val="009A583D"/>
    <w:rsid w:val="009B0A6F"/>
    <w:rsid w:val="009B0A94"/>
    <w:rsid w:val="009B0BEB"/>
    <w:rsid w:val="009B1F17"/>
    <w:rsid w:val="009B2282"/>
    <w:rsid w:val="009B29C4"/>
    <w:rsid w:val="009B2BE3"/>
    <w:rsid w:val="009B59E9"/>
    <w:rsid w:val="009B70AA"/>
    <w:rsid w:val="009B71A9"/>
    <w:rsid w:val="009B7BD6"/>
    <w:rsid w:val="009C1E79"/>
    <w:rsid w:val="009C1F61"/>
    <w:rsid w:val="009C4353"/>
    <w:rsid w:val="009C4AC8"/>
    <w:rsid w:val="009C7A7E"/>
    <w:rsid w:val="009D02E8"/>
    <w:rsid w:val="009D46E2"/>
    <w:rsid w:val="009D51D0"/>
    <w:rsid w:val="009D70A4"/>
    <w:rsid w:val="009D78B8"/>
    <w:rsid w:val="009E08D1"/>
    <w:rsid w:val="009E1B95"/>
    <w:rsid w:val="009E4062"/>
    <w:rsid w:val="009E4481"/>
    <w:rsid w:val="009E496F"/>
    <w:rsid w:val="009E4B0D"/>
    <w:rsid w:val="009E6957"/>
    <w:rsid w:val="009E7ECE"/>
    <w:rsid w:val="009E7F92"/>
    <w:rsid w:val="009F02A3"/>
    <w:rsid w:val="009F0421"/>
    <w:rsid w:val="009F2F27"/>
    <w:rsid w:val="009F34AA"/>
    <w:rsid w:val="009F6BCB"/>
    <w:rsid w:val="009F7131"/>
    <w:rsid w:val="009F7B78"/>
    <w:rsid w:val="009F7D3A"/>
    <w:rsid w:val="00A0057A"/>
    <w:rsid w:val="00A025D9"/>
    <w:rsid w:val="00A04142"/>
    <w:rsid w:val="00A042A8"/>
    <w:rsid w:val="00A067C4"/>
    <w:rsid w:val="00A10346"/>
    <w:rsid w:val="00A109A1"/>
    <w:rsid w:val="00A11421"/>
    <w:rsid w:val="00A14493"/>
    <w:rsid w:val="00A145BC"/>
    <w:rsid w:val="00A148F8"/>
    <w:rsid w:val="00A157A2"/>
    <w:rsid w:val="00A157B1"/>
    <w:rsid w:val="00A16490"/>
    <w:rsid w:val="00A2124E"/>
    <w:rsid w:val="00A2133A"/>
    <w:rsid w:val="00A21AF3"/>
    <w:rsid w:val="00A22229"/>
    <w:rsid w:val="00A2331B"/>
    <w:rsid w:val="00A265B9"/>
    <w:rsid w:val="00A312FC"/>
    <w:rsid w:val="00A37518"/>
    <w:rsid w:val="00A42C3C"/>
    <w:rsid w:val="00A42E5F"/>
    <w:rsid w:val="00A44882"/>
    <w:rsid w:val="00A45D65"/>
    <w:rsid w:val="00A54715"/>
    <w:rsid w:val="00A57348"/>
    <w:rsid w:val="00A6061C"/>
    <w:rsid w:val="00A62D44"/>
    <w:rsid w:val="00A67263"/>
    <w:rsid w:val="00A675DC"/>
    <w:rsid w:val="00A70F00"/>
    <w:rsid w:val="00A7161C"/>
    <w:rsid w:val="00A71E36"/>
    <w:rsid w:val="00A77AA3"/>
    <w:rsid w:val="00A804F1"/>
    <w:rsid w:val="00A805FE"/>
    <w:rsid w:val="00A82066"/>
    <w:rsid w:val="00A854EB"/>
    <w:rsid w:val="00A85F04"/>
    <w:rsid w:val="00A867C5"/>
    <w:rsid w:val="00A872E5"/>
    <w:rsid w:val="00A87655"/>
    <w:rsid w:val="00A87C6A"/>
    <w:rsid w:val="00A90037"/>
    <w:rsid w:val="00A91406"/>
    <w:rsid w:val="00A91BF3"/>
    <w:rsid w:val="00A91C50"/>
    <w:rsid w:val="00A96E65"/>
    <w:rsid w:val="00A97C72"/>
    <w:rsid w:val="00AA005D"/>
    <w:rsid w:val="00AA2BD9"/>
    <w:rsid w:val="00AA3A54"/>
    <w:rsid w:val="00AA63D4"/>
    <w:rsid w:val="00AB06E8"/>
    <w:rsid w:val="00AB1CD3"/>
    <w:rsid w:val="00AB352F"/>
    <w:rsid w:val="00AB6D6A"/>
    <w:rsid w:val="00AB7E2A"/>
    <w:rsid w:val="00AC149A"/>
    <w:rsid w:val="00AC274B"/>
    <w:rsid w:val="00AC2831"/>
    <w:rsid w:val="00AC44C7"/>
    <w:rsid w:val="00AC4764"/>
    <w:rsid w:val="00AC5FE6"/>
    <w:rsid w:val="00AC6D36"/>
    <w:rsid w:val="00AC71EE"/>
    <w:rsid w:val="00AD0CBA"/>
    <w:rsid w:val="00AD23CC"/>
    <w:rsid w:val="00AD26E2"/>
    <w:rsid w:val="00AD572E"/>
    <w:rsid w:val="00AD6DFD"/>
    <w:rsid w:val="00AD784C"/>
    <w:rsid w:val="00AE126A"/>
    <w:rsid w:val="00AE3005"/>
    <w:rsid w:val="00AE3830"/>
    <w:rsid w:val="00AE3BD5"/>
    <w:rsid w:val="00AE3EBD"/>
    <w:rsid w:val="00AE59A0"/>
    <w:rsid w:val="00AE5C05"/>
    <w:rsid w:val="00AE6661"/>
    <w:rsid w:val="00AE7780"/>
    <w:rsid w:val="00AE7E40"/>
    <w:rsid w:val="00AF0C57"/>
    <w:rsid w:val="00AF26F3"/>
    <w:rsid w:val="00AF3B2A"/>
    <w:rsid w:val="00AF3EE3"/>
    <w:rsid w:val="00AF5F04"/>
    <w:rsid w:val="00B00672"/>
    <w:rsid w:val="00B01A91"/>
    <w:rsid w:val="00B01B4D"/>
    <w:rsid w:val="00B0221B"/>
    <w:rsid w:val="00B06571"/>
    <w:rsid w:val="00B068BA"/>
    <w:rsid w:val="00B070DE"/>
    <w:rsid w:val="00B07A86"/>
    <w:rsid w:val="00B07E6A"/>
    <w:rsid w:val="00B12390"/>
    <w:rsid w:val="00B133B3"/>
    <w:rsid w:val="00B13851"/>
    <w:rsid w:val="00B13B1C"/>
    <w:rsid w:val="00B16AC2"/>
    <w:rsid w:val="00B22291"/>
    <w:rsid w:val="00B23913"/>
    <w:rsid w:val="00B23F9A"/>
    <w:rsid w:val="00B2417B"/>
    <w:rsid w:val="00B24E5A"/>
    <w:rsid w:val="00B24E6F"/>
    <w:rsid w:val="00B253E6"/>
    <w:rsid w:val="00B261FA"/>
    <w:rsid w:val="00B26CB5"/>
    <w:rsid w:val="00B27366"/>
    <w:rsid w:val="00B2752E"/>
    <w:rsid w:val="00B3038F"/>
    <w:rsid w:val="00B307CC"/>
    <w:rsid w:val="00B326B7"/>
    <w:rsid w:val="00B36209"/>
    <w:rsid w:val="00B4062D"/>
    <w:rsid w:val="00B40B67"/>
    <w:rsid w:val="00B41F0D"/>
    <w:rsid w:val="00B4306B"/>
    <w:rsid w:val="00B431E8"/>
    <w:rsid w:val="00B45141"/>
    <w:rsid w:val="00B47874"/>
    <w:rsid w:val="00B5051D"/>
    <w:rsid w:val="00B512DC"/>
    <w:rsid w:val="00B51E47"/>
    <w:rsid w:val="00B5273A"/>
    <w:rsid w:val="00B557B3"/>
    <w:rsid w:val="00B57329"/>
    <w:rsid w:val="00B60F02"/>
    <w:rsid w:val="00B62B50"/>
    <w:rsid w:val="00B63291"/>
    <w:rsid w:val="00B635B7"/>
    <w:rsid w:val="00B63AE8"/>
    <w:rsid w:val="00B649CD"/>
    <w:rsid w:val="00B65950"/>
    <w:rsid w:val="00B66BB1"/>
    <w:rsid w:val="00B66D83"/>
    <w:rsid w:val="00B672C0"/>
    <w:rsid w:val="00B7060E"/>
    <w:rsid w:val="00B70F18"/>
    <w:rsid w:val="00B727B5"/>
    <w:rsid w:val="00B72BD0"/>
    <w:rsid w:val="00B741F1"/>
    <w:rsid w:val="00B75646"/>
    <w:rsid w:val="00B83212"/>
    <w:rsid w:val="00B83EE7"/>
    <w:rsid w:val="00B84869"/>
    <w:rsid w:val="00B84B20"/>
    <w:rsid w:val="00B865D4"/>
    <w:rsid w:val="00B90729"/>
    <w:rsid w:val="00B907DA"/>
    <w:rsid w:val="00B9264E"/>
    <w:rsid w:val="00B9267F"/>
    <w:rsid w:val="00B950BC"/>
    <w:rsid w:val="00B95FC2"/>
    <w:rsid w:val="00B96926"/>
    <w:rsid w:val="00B96D44"/>
    <w:rsid w:val="00B9714C"/>
    <w:rsid w:val="00BA2004"/>
    <w:rsid w:val="00BA2221"/>
    <w:rsid w:val="00BA3271"/>
    <w:rsid w:val="00BA3F8D"/>
    <w:rsid w:val="00BA657E"/>
    <w:rsid w:val="00BB0E10"/>
    <w:rsid w:val="00BB1707"/>
    <w:rsid w:val="00BB634E"/>
    <w:rsid w:val="00BB7A10"/>
    <w:rsid w:val="00BC0EB4"/>
    <w:rsid w:val="00BC1222"/>
    <w:rsid w:val="00BC1D7E"/>
    <w:rsid w:val="00BC30D6"/>
    <w:rsid w:val="00BC53B0"/>
    <w:rsid w:val="00BC7468"/>
    <w:rsid w:val="00BC7D4F"/>
    <w:rsid w:val="00BC7ED7"/>
    <w:rsid w:val="00BD22B4"/>
    <w:rsid w:val="00BD2850"/>
    <w:rsid w:val="00BD3038"/>
    <w:rsid w:val="00BE0008"/>
    <w:rsid w:val="00BE02E8"/>
    <w:rsid w:val="00BE26A4"/>
    <w:rsid w:val="00BE28D2"/>
    <w:rsid w:val="00BE2AE7"/>
    <w:rsid w:val="00BE3D00"/>
    <w:rsid w:val="00BE4A64"/>
    <w:rsid w:val="00BE7BD2"/>
    <w:rsid w:val="00BF0D91"/>
    <w:rsid w:val="00BF3750"/>
    <w:rsid w:val="00BF4F09"/>
    <w:rsid w:val="00BF5033"/>
    <w:rsid w:val="00BF5B5A"/>
    <w:rsid w:val="00BF625A"/>
    <w:rsid w:val="00BF7082"/>
    <w:rsid w:val="00BF7F58"/>
    <w:rsid w:val="00C00A61"/>
    <w:rsid w:val="00C01381"/>
    <w:rsid w:val="00C018CB"/>
    <w:rsid w:val="00C079B8"/>
    <w:rsid w:val="00C10075"/>
    <w:rsid w:val="00C10241"/>
    <w:rsid w:val="00C123EA"/>
    <w:rsid w:val="00C12627"/>
    <w:rsid w:val="00C12A49"/>
    <w:rsid w:val="00C13014"/>
    <w:rsid w:val="00C133EE"/>
    <w:rsid w:val="00C141A6"/>
    <w:rsid w:val="00C2190E"/>
    <w:rsid w:val="00C21F3C"/>
    <w:rsid w:val="00C22127"/>
    <w:rsid w:val="00C22247"/>
    <w:rsid w:val="00C23778"/>
    <w:rsid w:val="00C24857"/>
    <w:rsid w:val="00C27B36"/>
    <w:rsid w:val="00C27DE9"/>
    <w:rsid w:val="00C27F00"/>
    <w:rsid w:val="00C31756"/>
    <w:rsid w:val="00C31A1F"/>
    <w:rsid w:val="00C31FDF"/>
    <w:rsid w:val="00C326AB"/>
    <w:rsid w:val="00C33388"/>
    <w:rsid w:val="00C33DBB"/>
    <w:rsid w:val="00C35484"/>
    <w:rsid w:val="00C35F0F"/>
    <w:rsid w:val="00C36663"/>
    <w:rsid w:val="00C4173A"/>
    <w:rsid w:val="00C451B2"/>
    <w:rsid w:val="00C452F7"/>
    <w:rsid w:val="00C45BAF"/>
    <w:rsid w:val="00C46181"/>
    <w:rsid w:val="00C47E24"/>
    <w:rsid w:val="00C503EE"/>
    <w:rsid w:val="00C51F6F"/>
    <w:rsid w:val="00C521C2"/>
    <w:rsid w:val="00C54BFE"/>
    <w:rsid w:val="00C577D2"/>
    <w:rsid w:val="00C602FF"/>
    <w:rsid w:val="00C61174"/>
    <w:rsid w:val="00C6148F"/>
    <w:rsid w:val="00C62AA8"/>
    <w:rsid w:val="00C62D12"/>
    <w:rsid w:val="00C62F7A"/>
    <w:rsid w:val="00C63B9C"/>
    <w:rsid w:val="00C63BBD"/>
    <w:rsid w:val="00C6682F"/>
    <w:rsid w:val="00C67713"/>
    <w:rsid w:val="00C7112E"/>
    <w:rsid w:val="00C7275E"/>
    <w:rsid w:val="00C73278"/>
    <w:rsid w:val="00C73872"/>
    <w:rsid w:val="00C74560"/>
    <w:rsid w:val="00C74C5D"/>
    <w:rsid w:val="00C77776"/>
    <w:rsid w:val="00C77D0C"/>
    <w:rsid w:val="00C81531"/>
    <w:rsid w:val="00C83DB7"/>
    <w:rsid w:val="00C83EFF"/>
    <w:rsid w:val="00C85824"/>
    <w:rsid w:val="00C86362"/>
    <w:rsid w:val="00C863C4"/>
    <w:rsid w:val="00C90DCE"/>
    <w:rsid w:val="00C932B4"/>
    <w:rsid w:val="00C93C3E"/>
    <w:rsid w:val="00C97229"/>
    <w:rsid w:val="00CA12E3"/>
    <w:rsid w:val="00CA1C70"/>
    <w:rsid w:val="00CA28D0"/>
    <w:rsid w:val="00CA2D66"/>
    <w:rsid w:val="00CA4999"/>
    <w:rsid w:val="00CA6611"/>
    <w:rsid w:val="00CA6AE6"/>
    <w:rsid w:val="00CA782F"/>
    <w:rsid w:val="00CB02CD"/>
    <w:rsid w:val="00CB3285"/>
    <w:rsid w:val="00CC0C72"/>
    <w:rsid w:val="00CC28DF"/>
    <w:rsid w:val="00CC2BFD"/>
    <w:rsid w:val="00CC35B4"/>
    <w:rsid w:val="00CC4707"/>
    <w:rsid w:val="00CC7229"/>
    <w:rsid w:val="00CD3476"/>
    <w:rsid w:val="00CD3E30"/>
    <w:rsid w:val="00CD5FA5"/>
    <w:rsid w:val="00CD64DF"/>
    <w:rsid w:val="00CE00CB"/>
    <w:rsid w:val="00CE367F"/>
    <w:rsid w:val="00CE3DE2"/>
    <w:rsid w:val="00CF269F"/>
    <w:rsid w:val="00CF2F50"/>
    <w:rsid w:val="00CF6745"/>
    <w:rsid w:val="00CF7BE1"/>
    <w:rsid w:val="00D00770"/>
    <w:rsid w:val="00D02919"/>
    <w:rsid w:val="00D03EA4"/>
    <w:rsid w:val="00D04C61"/>
    <w:rsid w:val="00D05B8D"/>
    <w:rsid w:val="00D065A2"/>
    <w:rsid w:val="00D0674A"/>
    <w:rsid w:val="00D07F00"/>
    <w:rsid w:val="00D137D3"/>
    <w:rsid w:val="00D150DB"/>
    <w:rsid w:val="00D1623F"/>
    <w:rsid w:val="00D16553"/>
    <w:rsid w:val="00D17B72"/>
    <w:rsid w:val="00D22A86"/>
    <w:rsid w:val="00D24528"/>
    <w:rsid w:val="00D25425"/>
    <w:rsid w:val="00D25EA3"/>
    <w:rsid w:val="00D27129"/>
    <w:rsid w:val="00D302E1"/>
    <w:rsid w:val="00D3185C"/>
    <w:rsid w:val="00D32937"/>
    <w:rsid w:val="00D33E72"/>
    <w:rsid w:val="00D35BD6"/>
    <w:rsid w:val="00D361B5"/>
    <w:rsid w:val="00D36A74"/>
    <w:rsid w:val="00D37049"/>
    <w:rsid w:val="00D411A2"/>
    <w:rsid w:val="00D455EB"/>
    <w:rsid w:val="00D4606D"/>
    <w:rsid w:val="00D472E4"/>
    <w:rsid w:val="00D47B94"/>
    <w:rsid w:val="00D505B7"/>
    <w:rsid w:val="00D50B9C"/>
    <w:rsid w:val="00D51C58"/>
    <w:rsid w:val="00D52D73"/>
    <w:rsid w:val="00D52E58"/>
    <w:rsid w:val="00D64701"/>
    <w:rsid w:val="00D64B21"/>
    <w:rsid w:val="00D67525"/>
    <w:rsid w:val="00D67F6E"/>
    <w:rsid w:val="00D705A4"/>
    <w:rsid w:val="00D714CC"/>
    <w:rsid w:val="00D719F0"/>
    <w:rsid w:val="00D71D17"/>
    <w:rsid w:val="00D729FA"/>
    <w:rsid w:val="00D745C5"/>
    <w:rsid w:val="00D75EA7"/>
    <w:rsid w:val="00D763A1"/>
    <w:rsid w:val="00D81DEF"/>
    <w:rsid w:val="00D81F21"/>
    <w:rsid w:val="00D82FED"/>
    <w:rsid w:val="00D86013"/>
    <w:rsid w:val="00D86FCF"/>
    <w:rsid w:val="00D95470"/>
    <w:rsid w:val="00D96D27"/>
    <w:rsid w:val="00D97C68"/>
    <w:rsid w:val="00DA08FE"/>
    <w:rsid w:val="00DA0AEC"/>
    <w:rsid w:val="00DA0BFF"/>
    <w:rsid w:val="00DA1DB8"/>
    <w:rsid w:val="00DA2619"/>
    <w:rsid w:val="00DA4239"/>
    <w:rsid w:val="00DA50D3"/>
    <w:rsid w:val="00DA6875"/>
    <w:rsid w:val="00DA77FB"/>
    <w:rsid w:val="00DB0B61"/>
    <w:rsid w:val="00DB2618"/>
    <w:rsid w:val="00DB3710"/>
    <w:rsid w:val="00DB37CD"/>
    <w:rsid w:val="00DB6DCA"/>
    <w:rsid w:val="00DC090B"/>
    <w:rsid w:val="00DC1200"/>
    <w:rsid w:val="00DC1679"/>
    <w:rsid w:val="00DC2CF1"/>
    <w:rsid w:val="00DC2EDF"/>
    <w:rsid w:val="00DC3A85"/>
    <w:rsid w:val="00DC43CF"/>
    <w:rsid w:val="00DC471C"/>
    <w:rsid w:val="00DC4FCF"/>
    <w:rsid w:val="00DC50E0"/>
    <w:rsid w:val="00DC6386"/>
    <w:rsid w:val="00DD0DE5"/>
    <w:rsid w:val="00DD1130"/>
    <w:rsid w:val="00DD1951"/>
    <w:rsid w:val="00DD3E6A"/>
    <w:rsid w:val="00DD41BD"/>
    <w:rsid w:val="00DD6628"/>
    <w:rsid w:val="00DD66F2"/>
    <w:rsid w:val="00DE02AB"/>
    <w:rsid w:val="00DE3250"/>
    <w:rsid w:val="00DE3D3D"/>
    <w:rsid w:val="00DE423F"/>
    <w:rsid w:val="00DE47F9"/>
    <w:rsid w:val="00DE5509"/>
    <w:rsid w:val="00DE5658"/>
    <w:rsid w:val="00DE6028"/>
    <w:rsid w:val="00DE61E7"/>
    <w:rsid w:val="00DE7309"/>
    <w:rsid w:val="00DE757A"/>
    <w:rsid w:val="00DE78A3"/>
    <w:rsid w:val="00DE7F0E"/>
    <w:rsid w:val="00DF1A71"/>
    <w:rsid w:val="00DF4749"/>
    <w:rsid w:val="00DF68C7"/>
    <w:rsid w:val="00DF6FE3"/>
    <w:rsid w:val="00DF731A"/>
    <w:rsid w:val="00E0027E"/>
    <w:rsid w:val="00E00BF5"/>
    <w:rsid w:val="00E0463B"/>
    <w:rsid w:val="00E06B48"/>
    <w:rsid w:val="00E149AB"/>
    <w:rsid w:val="00E15372"/>
    <w:rsid w:val="00E16106"/>
    <w:rsid w:val="00E170DC"/>
    <w:rsid w:val="00E21C69"/>
    <w:rsid w:val="00E2354D"/>
    <w:rsid w:val="00E24B21"/>
    <w:rsid w:val="00E26818"/>
    <w:rsid w:val="00E27FFC"/>
    <w:rsid w:val="00E307E2"/>
    <w:rsid w:val="00E30B15"/>
    <w:rsid w:val="00E333A4"/>
    <w:rsid w:val="00E34FA2"/>
    <w:rsid w:val="00E361AD"/>
    <w:rsid w:val="00E361BD"/>
    <w:rsid w:val="00E36554"/>
    <w:rsid w:val="00E37260"/>
    <w:rsid w:val="00E40181"/>
    <w:rsid w:val="00E40206"/>
    <w:rsid w:val="00E41068"/>
    <w:rsid w:val="00E439D2"/>
    <w:rsid w:val="00E4430B"/>
    <w:rsid w:val="00E47BB6"/>
    <w:rsid w:val="00E508A0"/>
    <w:rsid w:val="00E516E3"/>
    <w:rsid w:val="00E52455"/>
    <w:rsid w:val="00E56A01"/>
    <w:rsid w:val="00E609C2"/>
    <w:rsid w:val="00E629A1"/>
    <w:rsid w:val="00E63FBA"/>
    <w:rsid w:val="00E640A7"/>
    <w:rsid w:val="00E6794C"/>
    <w:rsid w:val="00E67DC5"/>
    <w:rsid w:val="00E70BAE"/>
    <w:rsid w:val="00E71319"/>
    <w:rsid w:val="00E71591"/>
    <w:rsid w:val="00E71BD0"/>
    <w:rsid w:val="00E71D28"/>
    <w:rsid w:val="00E723E2"/>
    <w:rsid w:val="00E750A1"/>
    <w:rsid w:val="00E76D14"/>
    <w:rsid w:val="00E76DEE"/>
    <w:rsid w:val="00E82C55"/>
    <w:rsid w:val="00E85B69"/>
    <w:rsid w:val="00E86A9A"/>
    <w:rsid w:val="00E92AC3"/>
    <w:rsid w:val="00E93642"/>
    <w:rsid w:val="00EA01BC"/>
    <w:rsid w:val="00EA0C53"/>
    <w:rsid w:val="00EB00E0"/>
    <w:rsid w:val="00EB147C"/>
    <w:rsid w:val="00EB2494"/>
    <w:rsid w:val="00EB5B92"/>
    <w:rsid w:val="00EC059F"/>
    <w:rsid w:val="00EC1F24"/>
    <w:rsid w:val="00EC22F6"/>
    <w:rsid w:val="00EC3F92"/>
    <w:rsid w:val="00ED0DC5"/>
    <w:rsid w:val="00ED1E7A"/>
    <w:rsid w:val="00ED35B0"/>
    <w:rsid w:val="00ED41D2"/>
    <w:rsid w:val="00ED5B9B"/>
    <w:rsid w:val="00ED6BAD"/>
    <w:rsid w:val="00ED7447"/>
    <w:rsid w:val="00EE1488"/>
    <w:rsid w:val="00EE22BF"/>
    <w:rsid w:val="00EE2C7F"/>
    <w:rsid w:val="00EE3D80"/>
    <w:rsid w:val="00EE4D5D"/>
    <w:rsid w:val="00EE5131"/>
    <w:rsid w:val="00EE6F6F"/>
    <w:rsid w:val="00EF109B"/>
    <w:rsid w:val="00EF1408"/>
    <w:rsid w:val="00EF289E"/>
    <w:rsid w:val="00EF36AF"/>
    <w:rsid w:val="00EF6942"/>
    <w:rsid w:val="00F005D9"/>
    <w:rsid w:val="00F00F9C"/>
    <w:rsid w:val="00F01E5F"/>
    <w:rsid w:val="00F02ABA"/>
    <w:rsid w:val="00F02C4A"/>
    <w:rsid w:val="00F02E81"/>
    <w:rsid w:val="00F0437A"/>
    <w:rsid w:val="00F05E47"/>
    <w:rsid w:val="00F0613A"/>
    <w:rsid w:val="00F11037"/>
    <w:rsid w:val="00F12D6A"/>
    <w:rsid w:val="00F13391"/>
    <w:rsid w:val="00F13BA0"/>
    <w:rsid w:val="00F15176"/>
    <w:rsid w:val="00F1531D"/>
    <w:rsid w:val="00F16F1B"/>
    <w:rsid w:val="00F17569"/>
    <w:rsid w:val="00F250A9"/>
    <w:rsid w:val="00F26EE5"/>
    <w:rsid w:val="00F30445"/>
    <w:rsid w:val="00F30FF4"/>
    <w:rsid w:val="00F3122E"/>
    <w:rsid w:val="00F331AD"/>
    <w:rsid w:val="00F3379A"/>
    <w:rsid w:val="00F35287"/>
    <w:rsid w:val="00F3670C"/>
    <w:rsid w:val="00F36788"/>
    <w:rsid w:val="00F37CD4"/>
    <w:rsid w:val="00F37E5E"/>
    <w:rsid w:val="00F41957"/>
    <w:rsid w:val="00F430A3"/>
    <w:rsid w:val="00F43A37"/>
    <w:rsid w:val="00F447F6"/>
    <w:rsid w:val="00F45955"/>
    <w:rsid w:val="00F4641B"/>
    <w:rsid w:val="00F46EB8"/>
    <w:rsid w:val="00F50A7A"/>
    <w:rsid w:val="00F511E4"/>
    <w:rsid w:val="00F52270"/>
    <w:rsid w:val="00F52D09"/>
    <w:rsid w:val="00F52E08"/>
    <w:rsid w:val="00F53DD5"/>
    <w:rsid w:val="00F55B21"/>
    <w:rsid w:val="00F56EF6"/>
    <w:rsid w:val="00F60158"/>
    <w:rsid w:val="00F61A9F"/>
    <w:rsid w:val="00F64696"/>
    <w:rsid w:val="00F65AA9"/>
    <w:rsid w:val="00F66705"/>
    <w:rsid w:val="00F6768F"/>
    <w:rsid w:val="00F70103"/>
    <w:rsid w:val="00F7182B"/>
    <w:rsid w:val="00F72C26"/>
    <w:rsid w:val="00F72C2C"/>
    <w:rsid w:val="00F75DF9"/>
    <w:rsid w:val="00F76CAB"/>
    <w:rsid w:val="00F772C6"/>
    <w:rsid w:val="00F8076D"/>
    <w:rsid w:val="00F815B5"/>
    <w:rsid w:val="00F823CD"/>
    <w:rsid w:val="00F82710"/>
    <w:rsid w:val="00F8321D"/>
    <w:rsid w:val="00F83E91"/>
    <w:rsid w:val="00F85195"/>
    <w:rsid w:val="00F85594"/>
    <w:rsid w:val="00F938BA"/>
    <w:rsid w:val="00F94B0F"/>
    <w:rsid w:val="00F95B36"/>
    <w:rsid w:val="00F96EF2"/>
    <w:rsid w:val="00F9772F"/>
    <w:rsid w:val="00F97D78"/>
    <w:rsid w:val="00FA20DC"/>
    <w:rsid w:val="00FA2C46"/>
    <w:rsid w:val="00FA3525"/>
    <w:rsid w:val="00FA45B7"/>
    <w:rsid w:val="00FA5D1A"/>
    <w:rsid w:val="00FB317A"/>
    <w:rsid w:val="00FB3705"/>
    <w:rsid w:val="00FB41AB"/>
    <w:rsid w:val="00FB441C"/>
    <w:rsid w:val="00FB4769"/>
    <w:rsid w:val="00FB4CDA"/>
    <w:rsid w:val="00FB7F92"/>
    <w:rsid w:val="00FC0F81"/>
    <w:rsid w:val="00FC2079"/>
    <w:rsid w:val="00FC395C"/>
    <w:rsid w:val="00FC5BEB"/>
    <w:rsid w:val="00FC5F31"/>
    <w:rsid w:val="00FC61C7"/>
    <w:rsid w:val="00FC6934"/>
    <w:rsid w:val="00FD047A"/>
    <w:rsid w:val="00FD0DE0"/>
    <w:rsid w:val="00FD3766"/>
    <w:rsid w:val="00FD47C4"/>
    <w:rsid w:val="00FE2A5F"/>
    <w:rsid w:val="00FE2DCF"/>
    <w:rsid w:val="00FE4190"/>
    <w:rsid w:val="00FE4EB7"/>
    <w:rsid w:val="00FE674F"/>
    <w:rsid w:val="00FF1D7B"/>
    <w:rsid w:val="00FF1F52"/>
    <w:rsid w:val="00FF2FCE"/>
    <w:rsid w:val="00FF38D9"/>
    <w:rsid w:val="00FF3F41"/>
    <w:rsid w:val="00FF4920"/>
    <w:rsid w:val="00FF4F7D"/>
    <w:rsid w:val="00FF5B07"/>
    <w:rsid w:val="00FF65B2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61"/>
    <o:shapelayout v:ext="edit">
      <o:idmap v:ext="edit" data="1"/>
    </o:shapelayout>
  </w:shapeDefaults>
  <w:decimalSymbol w:val="."/>
  <w:listSeparator w:val=","/>
  <w14:docId w14:val="17BBC1B1"/>
  <w15:docId w15:val="{834F6D4B-E2F9-42AB-88C6-6FBB31F0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1"/>
    <w:lsdException w:name="heading 1" w:uiPriority="0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rsid w:val="002C4A3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CA2D66"/>
    <w:pPr>
      <w:keepNext/>
      <w:keepLines/>
      <w:numPr>
        <w:numId w:val="37"/>
      </w:numPr>
      <w:spacing w:before="240" w:after="90" w:line="320" w:lineRule="atLeast"/>
      <w:outlineLvl w:val="1"/>
    </w:pPr>
    <w:rPr>
      <w:rFonts w:ascii="Arial" w:hAnsi="Arial"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aliases w:val="no ToC"/>
    <w:next w:val="DHHSbody"/>
    <w:link w:val="Heading4Char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6F5D2B"/>
    <w:rPr>
      <w:rFonts w:ascii="Arial" w:hAnsi="Arial"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aliases w:val="no ToC Char"/>
    <w:link w:val="Heading4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1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1"/>
      </w:numPr>
      <w:spacing w:after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86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1"/>
      </w:numPr>
    </w:p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1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1"/>
      </w:numPr>
    </w:pPr>
  </w:style>
  <w:style w:type="numbering" w:customStyle="1" w:styleId="ZZNumbers">
    <w:name w:val="ZZ Numbers"/>
    <w:rsid w:val="00152073"/>
    <w:pPr>
      <w:numPr>
        <w:numId w:val="2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1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2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2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2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Healthbody">
    <w:name w:val="Health body"/>
    <w:link w:val="HealthbodyChar"/>
    <w:uiPriority w:val="99"/>
    <w:rsid w:val="00F17569"/>
    <w:pPr>
      <w:spacing w:after="120" w:line="270" w:lineRule="atLeast"/>
    </w:pPr>
    <w:rPr>
      <w:rFonts w:ascii="Arial" w:hAnsi="Arial"/>
      <w:lang w:eastAsia="en-US"/>
    </w:rPr>
  </w:style>
  <w:style w:type="character" w:customStyle="1" w:styleId="HealthbodyChar">
    <w:name w:val="Health body Char"/>
    <w:basedOn w:val="DefaultParagraphFont"/>
    <w:link w:val="Healthbody"/>
    <w:uiPriority w:val="99"/>
    <w:locked/>
    <w:rsid w:val="00F17569"/>
    <w:rPr>
      <w:rFonts w:ascii="Arial" w:hAnsi="Arial"/>
      <w:lang w:eastAsia="en-US"/>
    </w:rPr>
  </w:style>
  <w:style w:type="paragraph" w:customStyle="1" w:styleId="Healthbullet1">
    <w:name w:val="Health bullet 1"/>
    <w:basedOn w:val="Normal"/>
    <w:link w:val="Healthbullet1Char"/>
    <w:qFormat/>
    <w:rsid w:val="00F17569"/>
    <w:pPr>
      <w:spacing w:after="40" w:line="270" w:lineRule="atLeast"/>
      <w:ind w:left="284" w:hanging="284"/>
    </w:pPr>
    <w:rPr>
      <w:rFonts w:ascii="Arial" w:eastAsia="MS Mincho" w:hAnsi="Arial"/>
      <w:szCs w:val="24"/>
    </w:rPr>
  </w:style>
  <w:style w:type="numbering" w:customStyle="1" w:styleId="ZZBullets1">
    <w:name w:val="ZZ Bullets1"/>
    <w:rsid w:val="00F17569"/>
  </w:style>
  <w:style w:type="paragraph" w:customStyle="1" w:styleId="BulletBold">
    <w:name w:val="Bullet Bold"/>
    <w:basedOn w:val="Normal"/>
    <w:next w:val="Normal"/>
    <w:uiPriority w:val="99"/>
    <w:rsid w:val="00F45955"/>
    <w:pPr>
      <w:numPr>
        <w:numId w:val="4"/>
      </w:numPr>
      <w:spacing w:before="60" w:after="60"/>
    </w:pPr>
    <w:rPr>
      <w:rFonts w:ascii="Verdana" w:hAnsi="Verdana"/>
      <w:b/>
      <w:szCs w:val="24"/>
      <w:lang w:eastAsia="en-AU"/>
    </w:rPr>
  </w:style>
  <w:style w:type="paragraph" w:customStyle="1" w:styleId="Bodytab1">
    <w:name w:val="Body tab 1"/>
    <w:basedOn w:val="Normal"/>
    <w:rsid w:val="00397BAE"/>
    <w:pPr>
      <w:numPr>
        <w:numId w:val="5"/>
      </w:numPr>
    </w:pPr>
    <w:rPr>
      <w:rFonts w:ascii="Verdana" w:hAnsi="Verdana"/>
    </w:rPr>
  </w:style>
  <w:style w:type="numbering" w:customStyle="1" w:styleId="Bullets">
    <w:name w:val="Bullets"/>
    <w:rsid w:val="0039156E"/>
    <w:pPr>
      <w:numPr>
        <w:numId w:val="7"/>
      </w:numPr>
    </w:pPr>
  </w:style>
  <w:style w:type="numbering" w:customStyle="1" w:styleId="Numbers">
    <w:name w:val="Numbers"/>
    <w:rsid w:val="0039156E"/>
    <w:pPr>
      <w:numPr>
        <w:numId w:val="8"/>
      </w:numPr>
    </w:pPr>
  </w:style>
  <w:style w:type="character" w:customStyle="1" w:styleId="Healthbullet1Char">
    <w:name w:val="Health bullet 1 Char"/>
    <w:link w:val="Healthbullet1"/>
    <w:rsid w:val="0039156E"/>
    <w:rPr>
      <w:rFonts w:ascii="Arial" w:eastAsia="MS Mincho" w:hAnsi="Arial"/>
      <w:szCs w:val="24"/>
      <w:lang w:eastAsia="en-US"/>
    </w:rPr>
  </w:style>
  <w:style w:type="numbering" w:customStyle="1" w:styleId="Bullets1">
    <w:name w:val="Bullets1"/>
    <w:rsid w:val="000C3824"/>
  </w:style>
  <w:style w:type="table" w:customStyle="1" w:styleId="TableGrid1">
    <w:name w:val="Table Grid1"/>
    <w:basedOn w:val="TableNormal"/>
    <w:next w:val="TableGrid"/>
    <w:uiPriority w:val="59"/>
    <w:rsid w:val="00B969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3">
    <w:name w:val="List Bullet 3"/>
    <w:basedOn w:val="Normal"/>
    <w:autoRedefine/>
    <w:rsid w:val="00C45BAF"/>
    <w:pPr>
      <w:tabs>
        <w:tab w:val="num" w:pos="397"/>
      </w:tabs>
      <w:ind w:left="360" w:hanging="397"/>
    </w:pPr>
    <w:rPr>
      <w:rFonts w:ascii="Verdana" w:hAnsi="Verdana"/>
      <w:sz w:val="22"/>
      <w:szCs w:val="24"/>
    </w:rPr>
  </w:style>
  <w:style w:type="numbering" w:customStyle="1" w:styleId="Numbers1">
    <w:name w:val="Numbers1"/>
    <w:rsid w:val="00C45BAF"/>
  </w:style>
  <w:style w:type="numbering" w:customStyle="1" w:styleId="ZZNumbers1">
    <w:name w:val="ZZ Numbers1"/>
    <w:rsid w:val="00123919"/>
  </w:style>
  <w:style w:type="table" w:customStyle="1" w:styleId="TableGrid2">
    <w:name w:val="Table Grid2"/>
    <w:basedOn w:val="TableNormal"/>
    <w:next w:val="TableGrid"/>
    <w:uiPriority w:val="59"/>
    <w:rsid w:val="004D56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s2">
    <w:name w:val="Bullets2"/>
    <w:rsid w:val="00FB41AB"/>
  </w:style>
  <w:style w:type="paragraph" w:customStyle="1" w:styleId="Bullet2">
    <w:name w:val="Bullet 2"/>
    <w:basedOn w:val="Normal"/>
    <w:next w:val="Normal"/>
    <w:uiPriority w:val="99"/>
    <w:rsid w:val="005817A9"/>
    <w:pPr>
      <w:numPr>
        <w:numId w:val="9"/>
      </w:numPr>
      <w:tabs>
        <w:tab w:val="clear" w:pos="720"/>
        <w:tab w:val="num" w:pos="397"/>
        <w:tab w:val="num" w:pos="972"/>
      </w:tabs>
      <w:spacing w:before="60" w:after="60"/>
      <w:ind w:left="972" w:hanging="397"/>
    </w:pPr>
    <w:rPr>
      <w:rFonts w:ascii="Verdana" w:hAnsi="Verdana"/>
      <w:szCs w:val="24"/>
      <w:lang w:eastAsia="en-AU"/>
    </w:rPr>
  </w:style>
  <w:style w:type="numbering" w:customStyle="1" w:styleId="ZZNumbers2">
    <w:name w:val="ZZ Numbers2"/>
    <w:rsid w:val="00DA6875"/>
  </w:style>
  <w:style w:type="numbering" w:customStyle="1" w:styleId="Numbers2">
    <w:name w:val="Numbers2"/>
    <w:rsid w:val="00C46181"/>
  </w:style>
  <w:style w:type="numbering" w:customStyle="1" w:styleId="Numbers3">
    <w:name w:val="Numbers3"/>
    <w:rsid w:val="00C46181"/>
  </w:style>
  <w:style w:type="numbering" w:customStyle="1" w:styleId="ZZNumbers3">
    <w:name w:val="ZZ Numbers3"/>
    <w:rsid w:val="00FE2A5F"/>
  </w:style>
  <w:style w:type="numbering" w:customStyle="1" w:styleId="ZZNumbers4">
    <w:name w:val="ZZ Numbers4"/>
    <w:rsid w:val="00FE2A5F"/>
  </w:style>
  <w:style w:type="numbering" w:customStyle="1" w:styleId="ZZChapternumber">
    <w:name w:val="ZZ Chapter number"/>
    <w:basedOn w:val="NoList"/>
    <w:uiPriority w:val="99"/>
    <w:rsid w:val="004D6BDB"/>
    <w:pPr>
      <w:numPr>
        <w:numId w:val="10"/>
      </w:numPr>
    </w:pPr>
  </w:style>
  <w:style w:type="paragraph" w:styleId="BodyText">
    <w:name w:val="Body Text"/>
    <w:basedOn w:val="Normal"/>
    <w:link w:val="BodyTextChar"/>
    <w:rsid w:val="002A0FA5"/>
    <w:rPr>
      <w:rFonts w:ascii="Verdana" w:hAnsi="Verdana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2A0FA5"/>
    <w:rPr>
      <w:rFonts w:ascii="Verdana" w:hAnsi="Verdana"/>
      <w:color w:val="000000"/>
      <w:sz w:val="18"/>
      <w:lang w:eastAsia="en-US"/>
    </w:rPr>
  </w:style>
  <w:style w:type="numbering" w:customStyle="1" w:styleId="Bullets3">
    <w:name w:val="Bullets3"/>
    <w:rsid w:val="00BF7082"/>
  </w:style>
  <w:style w:type="numbering" w:customStyle="1" w:styleId="Numbers4">
    <w:name w:val="Numbers4"/>
    <w:rsid w:val="00BF7082"/>
  </w:style>
  <w:style w:type="numbering" w:customStyle="1" w:styleId="Numbers5">
    <w:name w:val="Numbers5"/>
    <w:rsid w:val="00B51E47"/>
  </w:style>
  <w:style w:type="paragraph" w:customStyle="1" w:styleId="Default">
    <w:name w:val="Default"/>
    <w:rsid w:val="00C237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9586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63BBD"/>
    <w:pPr>
      <w:ind w:left="720"/>
      <w:contextualSpacing/>
    </w:pPr>
    <w:rPr>
      <w:rFonts w:ascii="Verdana" w:hAnsi="Verdana"/>
    </w:rPr>
  </w:style>
  <w:style w:type="character" w:customStyle="1" w:styleId="ManualHL7TBodyChar">
    <w:name w:val="ManualHL7TBody Char"/>
    <w:link w:val="ManualHL7TBody"/>
    <w:rsid w:val="00FC5F31"/>
    <w:rPr>
      <w:rFonts w:ascii="Verdana" w:hAnsi="Verdana" w:cs="Arial"/>
      <w:sz w:val="16"/>
      <w:szCs w:val="16"/>
      <w:lang w:eastAsia="ar-SA"/>
    </w:rPr>
  </w:style>
  <w:style w:type="paragraph" w:customStyle="1" w:styleId="ManualHL7TBody">
    <w:name w:val="ManualHL7TBody"/>
    <w:basedOn w:val="Normal"/>
    <w:link w:val="ManualHL7TBodyChar"/>
    <w:rsid w:val="00FC5F31"/>
    <w:pPr>
      <w:keepNext/>
      <w:keepLines/>
      <w:suppressAutoHyphens/>
      <w:ind w:left="85" w:right="85"/>
    </w:pPr>
    <w:rPr>
      <w:rFonts w:ascii="Verdana" w:hAnsi="Verdana" w:cs="Arial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2.health.vic.gov.au/about/news-and-events/hospitalcirculars" TargetMode="External"/><Relationship Id="rId18" Type="http://schemas.openxmlformats.org/officeDocument/2006/relationships/hyperlink" Target="https://www2.health.vic.gov.au/hospitals-and-health-services/data-reporting/health-data-standards-system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Hosdata.frontdesk@vahi.vic.gov.a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ealth.gov.au/internet/main/publishing.nsf/Content/health-phicirculars2019-index1" TargetMode="External"/><Relationship Id="rId17" Type="http://schemas.openxmlformats.org/officeDocument/2006/relationships/hyperlink" Target="https://www2.health.vic.gov.au/about/publications/policiesandguidelines/esis-manual-2019-20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meteor.aihw.gov.au/content/index.phtml/itemId/717635" TargetMode="External"/><Relationship Id="rId20" Type="http://schemas.openxmlformats.org/officeDocument/2006/relationships/hyperlink" Target="https://vahi.freshdesk.com/support/ho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2.health.vic.gov.au/hospitals-and-health-services/data-reporting/health-data-standards-systems/hdss-communica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teor.aihw.gov.au/content/index.phtml/itemId/717635" TargetMode="External"/><Relationship Id="rId23" Type="http://schemas.openxmlformats.org/officeDocument/2006/relationships/hyperlink" Target="mailto:HDSS.helpdesk@dhhs.vic.gov.au" TargetMode="External"/><Relationship Id="rId10" Type="http://schemas.openxmlformats.org/officeDocument/2006/relationships/header" Target="header1.xml"/><Relationship Id="rId19" Type="http://schemas.openxmlformats.org/officeDocument/2006/relationships/hyperlink" Target="mailto:HDSS.helpdesk@dhhs.vic.gov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2.health.vic.gov.au/hospitals-and-health-services/data-reporting/health-data-standards-systems/annual-changes" TargetMode="External"/><Relationship Id="rId22" Type="http://schemas.openxmlformats.org/officeDocument/2006/relationships/hyperlink" Target="mailto:Hosdata.frontdesk@vahi.vic.gov.au%20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nline\TEMPLATES\Visual%20style\DHHS%20Factsheet%2003%20Blue%20294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E558F-0247-4071-8EE4-EB41C992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03 Blue 2945.dot</Template>
  <TotalTime>5161</TotalTime>
  <Pages>5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HDSS Bulletin 223</vt:lpstr>
    </vt:vector>
  </TitlesOfParts>
  <Company>Department of Health and Human Services</Company>
  <LinksUpToDate>false</LinksUpToDate>
  <CharactersWithSpaces>10142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HDSS Bulletin 223</dc:title>
  <dc:subject>HDSS Bulletin 223</dc:subject>
  <dc:creator>Customer Support Branch</dc:creator>
  <cp:keywords>HDSS, HDSS Bulletin 223</cp:keywords>
  <dc:description/>
  <cp:lastModifiedBy>Janet Cunningham (DHHS)</cp:lastModifiedBy>
  <cp:revision>175</cp:revision>
  <cp:lastPrinted>2019-11-19T00:08:00Z</cp:lastPrinted>
  <dcterms:created xsi:type="dcterms:W3CDTF">2018-10-08T01:02:00Z</dcterms:created>
  <dcterms:modified xsi:type="dcterms:W3CDTF">2019-11-20T03:26:00Z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