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E875" w14:textId="77777777" w:rsidR="0074696E" w:rsidRPr="004C6EEE" w:rsidRDefault="000E0970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3CBA76C0" wp14:editId="647C950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1420" cy="2068830"/>
            <wp:effectExtent l="0" t="0" r="5080" b="127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EA82B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38"/>
      </w:tblGrid>
      <w:tr w:rsidR="00AD784C" w14:paraId="3DC94537" w14:textId="77777777" w:rsidTr="00F52B17">
        <w:trPr>
          <w:trHeight w:val="1247"/>
        </w:trPr>
        <w:tc>
          <w:tcPr>
            <w:tcW w:w="7938" w:type="dxa"/>
            <w:shd w:val="clear" w:color="auto" w:fill="auto"/>
            <w:vAlign w:val="bottom"/>
          </w:tcPr>
          <w:p w14:paraId="70566763" w14:textId="145FEFAF" w:rsidR="00AD784C" w:rsidRPr="002C6D1C" w:rsidRDefault="00A05C38" w:rsidP="002C6D1C">
            <w:pPr>
              <w:pStyle w:val="DHHSmainheading"/>
            </w:pPr>
            <w:r w:rsidRPr="002C6D1C">
              <w:t xml:space="preserve">Check you are using the correct </w:t>
            </w:r>
            <w:r w:rsidR="00B40730">
              <w:rPr>
                <w:b/>
                <w:bCs/>
              </w:rPr>
              <w:t>Pneum</w:t>
            </w:r>
            <w:r w:rsidR="00F24D25">
              <w:rPr>
                <w:b/>
                <w:bCs/>
              </w:rPr>
              <w:t xml:space="preserve">ococcal </w:t>
            </w:r>
            <w:r w:rsidR="002C6D1C" w:rsidRPr="002C6D1C">
              <w:t>vaccines</w:t>
            </w:r>
          </w:p>
        </w:tc>
      </w:tr>
      <w:tr w:rsidR="00AD784C" w14:paraId="26E7AC9B" w14:textId="77777777" w:rsidTr="00F52B17">
        <w:trPr>
          <w:trHeight w:hRule="exact" w:val="1162"/>
        </w:trPr>
        <w:tc>
          <w:tcPr>
            <w:tcW w:w="7938" w:type="dxa"/>
            <w:shd w:val="clear" w:color="auto" w:fill="auto"/>
            <w:tcMar>
              <w:top w:w="170" w:type="dxa"/>
              <w:bottom w:w="510" w:type="dxa"/>
            </w:tcMar>
          </w:tcPr>
          <w:p w14:paraId="6D711962" w14:textId="7730D1F8" w:rsidR="00357B4E" w:rsidRPr="00AD784C" w:rsidRDefault="00FF7876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National Immunisation Program age recommendations for different vaccine brands</w:t>
            </w:r>
          </w:p>
        </w:tc>
      </w:tr>
    </w:tbl>
    <w:p w14:paraId="36F48DEF" w14:textId="6F1032EB" w:rsidR="007173CA" w:rsidRPr="00FF7876" w:rsidRDefault="00FF7876" w:rsidP="007173CA">
      <w:pPr>
        <w:pStyle w:val="DHHSbody"/>
        <w:rPr>
          <w:i/>
          <w:iCs/>
        </w:rPr>
      </w:pPr>
      <w:r w:rsidRPr="00E510A9">
        <w:t xml:space="preserve">Use this resource </w:t>
      </w:r>
      <w:r>
        <w:t xml:space="preserve">in conjunction </w:t>
      </w:r>
      <w:r w:rsidRPr="00E510A9">
        <w:t xml:space="preserve">with the </w:t>
      </w:r>
      <w:hyperlink r:id="rId14" w:history="1">
        <w:r w:rsidRPr="00DE0F62">
          <w:rPr>
            <w:rStyle w:val="Hyperlink"/>
          </w:rPr>
          <w:t>Immunisation schedule Victoria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>
        <w:t>&lt;h</w:t>
      </w:r>
      <w:r w:rsidRPr="00DE0F62">
        <w:t>ttps://www2.health.vic.gov.au/public-health/immunisation/immunisation-schedule-vaccine-eligibility-criteria/immunisation-schedule-victoria</w:t>
      </w:r>
      <w:r>
        <w:t xml:space="preserve">&gt; </w:t>
      </w:r>
    </w:p>
    <w:p w14:paraId="5EF5D221" w14:textId="77777777" w:rsidR="007173CA" w:rsidRDefault="007173CA" w:rsidP="007173CA">
      <w:pPr>
        <w:pStyle w:val="DHHSbody"/>
        <w:sectPr w:rsidR="007173CA" w:rsidSect="00F01E5F">
          <w:headerReference w:type="default" r:id="rId15"/>
          <w:footerReference w:type="default" r:id="rId16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178B20B2" w14:textId="1E994060" w:rsidR="00032039" w:rsidRDefault="00032039" w:rsidP="00892508">
      <w:pPr>
        <w:pStyle w:val="DHHSbody"/>
      </w:pPr>
      <w:bookmarkStart w:id="1" w:name="_Toc13581751"/>
    </w:p>
    <w:tbl>
      <w:tblPr>
        <w:tblStyle w:val="TableGrid"/>
        <w:tblW w:w="10060" w:type="dxa"/>
        <w:tblBorders>
          <w:top w:val="single" w:sz="24" w:space="0" w:color="00737B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828"/>
        <w:gridCol w:w="6232"/>
      </w:tblGrid>
      <w:tr w:rsidR="00B40730" w14:paraId="07FF5ECC" w14:textId="77777777" w:rsidTr="00B40730">
        <w:tc>
          <w:tcPr>
            <w:tcW w:w="3828" w:type="dxa"/>
            <w:tcBorders>
              <w:top w:val="single" w:sz="24" w:space="0" w:color="007B4B"/>
              <w:bottom w:val="nil"/>
            </w:tcBorders>
            <w:tcMar>
              <w:top w:w="113" w:type="dxa"/>
              <w:bottom w:w="113" w:type="dxa"/>
            </w:tcMar>
          </w:tcPr>
          <w:p w14:paraId="0271AB65" w14:textId="77777777" w:rsidR="00B40730" w:rsidRPr="009E1B75" w:rsidRDefault="00B40730" w:rsidP="00B40730">
            <w:pPr>
              <w:pStyle w:val="AVaccinebrand"/>
            </w:pPr>
            <w:r w:rsidRPr="00B40730">
              <w:t>Prevenar</w:t>
            </w:r>
            <w:r w:rsidRPr="009E1B75">
              <w:t xml:space="preserve"> 13®</w:t>
            </w:r>
          </w:p>
          <w:p w14:paraId="24580862" w14:textId="5DC8E80E" w:rsidR="00D37D1C" w:rsidRPr="00FF7876" w:rsidRDefault="00B40730" w:rsidP="00B40730">
            <w:pPr>
              <w:pStyle w:val="DHHSbody"/>
              <w:rPr>
                <w:sz w:val="40"/>
                <w:szCs w:val="40"/>
              </w:rPr>
            </w:pPr>
            <w:r w:rsidRPr="00B40730">
              <w:t>Pneumococcal</w:t>
            </w:r>
            <w:r>
              <w:t xml:space="preserve"> conjugate</w:t>
            </w:r>
            <w:r w:rsidRPr="00ED12E7">
              <w:t xml:space="preserve"> </w:t>
            </w:r>
            <w:r>
              <w:t>(13vPCV)</w:t>
            </w:r>
          </w:p>
        </w:tc>
        <w:tc>
          <w:tcPr>
            <w:tcW w:w="6232" w:type="dxa"/>
            <w:tcBorders>
              <w:top w:val="single" w:sz="24" w:space="0" w:color="007B4B"/>
              <w:bottom w:val="nil"/>
            </w:tcBorders>
            <w:tcMar>
              <w:top w:w="113" w:type="dxa"/>
              <w:bottom w:w="113" w:type="dxa"/>
            </w:tcMar>
          </w:tcPr>
          <w:p w14:paraId="6046678C" w14:textId="6A2124CA" w:rsidR="00D37D1C" w:rsidRDefault="00892508" w:rsidP="00D37D1C">
            <w:pPr>
              <w:pStyle w:val="DHHStabletext"/>
              <w:jc w:val="center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9BD2921" wp14:editId="69125651">
                  <wp:extent cx="1746160" cy="918017"/>
                  <wp:effectExtent l="0" t="0" r="0" b="0"/>
                  <wp:docPr id="5" name="Picture 5" descr="Prevenar 13® packa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Prevenar 13® packagi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160" cy="918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730" w14:paraId="55C09498" w14:textId="77777777" w:rsidTr="00B40730">
        <w:tc>
          <w:tcPr>
            <w:tcW w:w="3828" w:type="dxa"/>
            <w:tcBorders>
              <w:top w:val="nil"/>
              <w:bottom w:val="nil"/>
            </w:tcBorders>
            <w:tcMar>
              <w:top w:w="0" w:type="dxa"/>
              <w:bottom w:w="113" w:type="dxa"/>
            </w:tcMar>
          </w:tcPr>
          <w:p w14:paraId="6ABBB47D" w14:textId="2638520C" w:rsidR="00D37D1C" w:rsidRPr="00D37D1C" w:rsidRDefault="00D37D1C" w:rsidP="00D37D1C">
            <w:pPr>
              <w:pStyle w:val="AgerecommendationandNotessubheadings"/>
            </w:pPr>
            <w:r w:rsidRPr="00D37D1C">
              <w:t>Age recommendation</w:t>
            </w:r>
          </w:p>
        </w:tc>
        <w:tc>
          <w:tcPr>
            <w:tcW w:w="6232" w:type="dxa"/>
            <w:tcBorders>
              <w:top w:val="nil"/>
              <w:bottom w:val="nil"/>
            </w:tcBorders>
            <w:tcMar>
              <w:top w:w="0" w:type="dxa"/>
              <w:bottom w:w="113" w:type="dxa"/>
            </w:tcMar>
          </w:tcPr>
          <w:p w14:paraId="3E080BFC" w14:textId="59B063AF" w:rsidR="00D37D1C" w:rsidRPr="00D37D1C" w:rsidRDefault="00D37D1C" w:rsidP="00D37D1C">
            <w:pPr>
              <w:pStyle w:val="AgerecommendationandNotessubheadings"/>
            </w:pPr>
            <w:r w:rsidRPr="00D37D1C">
              <w:t>Notes</w:t>
            </w:r>
          </w:p>
        </w:tc>
      </w:tr>
      <w:tr w:rsidR="00B40730" w14:paraId="1C879C3A" w14:textId="77777777" w:rsidTr="00B40730">
        <w:tc>
          <w:tcPr>
            <w:tcW w:w="3828" w:type="dxa"/>
            <w:tcBorders>
              <w:top w:val="nil"/>
              <w:bottom w:val="single" w:sz="24" w:space="0" w:color="007B4B"/>
            </w:tcBorders>
            <w:tcMar>
              <w:top w:w="0" w:type="dxa"/>
              <w:bottom w:w="113" w:type="dxa"/>
            </w:tcMar>
          </w:tcPr>
          <w:p w14:paraId="19AD1342" w14:textId="77777777" w:rsidR="00B40730" w:rsidRPr="00B40730" w:rsidRDefault="00B40730" w:rsidP="00B40730">
            <w:pPr>
              <w:pStyle w:val="DHHSbullet1"/>
            </w:pPr>
            <w:r w:rsidRPr="00B40730">
              <w:t>2 (from 6 weeks), 4 &amp; 12 months</w:t>
            </w:r>
          </w:p>
          <w:p w14:paraId="1FC888CB" w14:textId="77777777" w:rsidR="00B40730" w:rsidRPr="00B40730" w:rsidRDefault="00B40730" w:rsidP="00B40730">
            <w:pPr>
              <w:pStyle w:val="DHHSbullet1"/>
            </w:pPr>
            <w:r w:rsidRPr="00B40730">
              <w:t xml:space="preserve">From 6 months - Risk condition </w:t>
            </w:r>
          </w:p>
          <w:p w14:paraId="6B34A7F7" w14:textId="77777777" w:rsidR="00B40730" w:rsidRPr="00B40730" w:rsidRDefault="00B40730" w:rsidP="00B40730">
            <w:pPr>
              <w:pStyle w:val="DHHSbullet1"/>
            </w:pPr>
            <w:r w:rsidRPr="00B40730">
              <w:t>Catch-up from 13 months to &lt;5 years</w:t>
            </w:r>
          </w:p>
          <w:p w14:paraId="5E1C8EDD" w14:textId="77777777" w:rsidR="00B40730" w:rsidRPr="00B40730" w:rsidRDefault="00B40730" w:rsidP="00B40730">
            <w:pPr>
              <w:pStyle w:val="DHHSbullet1"/>
            </w:pPr>
            <w:r w:rsidRPr="00B40730">
              <w:t>From 50 years – Aboriginal and Torres Strait Islander people</w:t>
            </w:r>
          </w:p>
          <w:p w14:paraId="75523060" w14:textId="08A18FED" w:rsidR="00D37D1C" w:rsidRPr="00D37D1C" w:rsidRDefault="00B40730" w:rsidP="00B40730">
            <w:pPr>
              <w:pStyle w:val="DHHSbullet1"/>
            </w:pPr>
            <w:r w:rsidRPr="00B40730">
              <w:t>From 70 years Non-Indigenous people</w:t>
            </w:r>
          </w:p>
        </w:tc>
        <w:tc>
          <w:tcPr>
            <w:tcW w:w="6232" w:type="dxa"/>
            <w:tcBorders>
              <w:top w:val="nil"/>
              <w:bottom w:val="single" w:sz="24" w:space="0" w:color="007B4B"/>
            </w:tcBorders>
            <w:tcMar>
              <w:top w:w="0" w:type="dxa"/>
              <w:bottom w:w="113" w:type="dxa"/>
            </w:tcMar>
          </w:tcPr>
          <w:p w14:paraId="3D65C8B3" w14:textId="77777777" w:rsidR="00B40730" w:rsidRPr="009431AF" w:rsidRDefault="00B40730" w:rsidP="00B40730">
            <w:pPr>
              <w:pStyle w:val="DHHSbullet1"/>
            </w:pPr>
            <w:r w:rsidRPr="009431AF">
              <w:t>Prefilled syringe</w:t>
            </w:r>
          </w:p>
          <w:p w14:paraId="6D16BE18" w14:textId="2BA4C90B" w:rsidR="00D37D1C" w:rsidRPr="00D37D1C" w:rsidRDefault="00792DE3" w:rsidP="00B40730">
            <w:pPr>
              <w:pStyle w:val="DHHSbullet1"/>
            </w:pPr>
            <w:hyperlink r:id="rId18" w:history="1">
              <w:r w:rsidR="00B40730" w:rsidRPr="00832966">
                <w:rPr>
                  <w:rStyle w:val="Hyperlink"/>
                  <w:rFonts w:cs="Arial"/>
                </w:rPr>
                <w:t>Pneumococcal clinical decision tree</w:t>
              </w:r>
            </w:hyperlink>
            <w:r w:rsidR="00B40730">
              <w:t xml:space="preserve"> </w:t>
            </w:r>
            <w:r w:rsidR="00FF7876" w:rsidRPr="00FF7876">
              <w:rPr>
                <w:rStyle w:val="DHHSbodyChar"/>
              </w:rPr>
              <w:t>&lt;</w:t>
            </w:r>
            <w:r w:rsidR="00B40730" w:rsidRPr="00B40730">
              <w:rPr>
                <w:rStyle w:val="DHHSbodyChar"/>
              </w:rPr>
              <w:t>https://www.health.gov.au/resources/publications/national-immunisation-program-pneumococcal-vaccination-schedule-from-1-july-2020-clinical-decision-tree-for-vaccination-providers</w:t>
            </w:r>
            <w:r w:rsidR="00FF7876" w:rsidRPr="00FF7876">
              <w:rPr>
                <w:rStyle w:val="DHHSbodyChar"/>
              </w:rPr>
              <w:t>&gt;</w:t>
            </w:r>
          </w:p>
        </w:tc>
      </w:tr>
      <w:tr w:rsidR="00B40730" w14:paraId="574BC503" w14:textId="77777777" w:rsidTr="00B40730">
        <w:tc>
          <w:tcPr>
            <w:tcW w:w="3828" w:type="dxa"/>
            <w:tcBorders>
              <w:top w:val="single" w:sz="24" w:space="0" w:color="007B4B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14:paraId="3D7B652C" w14:textId="77777777" w:rsidR="00B40730" w:rsidRDefault="00B40730" w:rsidP="00B40730">
            <w:pPr>
              <w:pStyle w:val="AVaccinebrand"/>
              <w:rPr>
                <w:vertAlign w:val="superscript"/>
              </w:rPr>
            </w:pPr>
            <w:r w:rsidRPr="00B40730">
              <w:t>Pneumovax23</w:t>
            </w:r>
            <w:r w:rsidRPr="009E1B75">
              <w:rPr>
                <w:vertAlign w:val="superscript"/>
              </w:rPr>
              <w:t>®</w:t>
            </w:r>
          </w:p>
          <w:p w14:paraId="41E517CF" w14:textId="77777777" w:rsidR="00B40730" w:rsidRDefault="00B40730" w:rsidP="00B40730">
            <w:pPr>
              <w:pStyle w:val="DHHSbody"/>
            </w:pPr>
            <w:r>
              <w:t xml:space="preserve">Pneumococcal polysaccharide </w:t>
            </w:r>
            <w:r w:rsidRPr="00B73417">
              <w:t>(23vPPV)</w:t>
            </w:r>
          </w:p>
          <w:p w14:paraId="712861C6" w14:textId="2E8EF5E0" w:rsidR="00B40730" w:rsidRDefault="00B40730" w:rsidP="00B40730">
            <w:pPr>
              <w:pStyle w:val="DHHSbody"/>
            </w:pPr>
          </w:p>
        </w:tc>
        <w:tc>
          <w:tcPr>
            <w:tcW w:w="6232" w:type="dxa"/>
            <w:tcBorders>
              <w:top w:val="single" w:sz="24" w:space="0" w:color="007B4B"/>
              <w:bottom w:val="nil"/>
            </w:tcBorders>
            <w:tcMar>
              <w:top w:w="113" w:type="dxa"/>
              <w:bottom w:w="113" w:type="dxa"/>
            </w:tcMar>
          </w:tcPr>
          <w:p w14:paraId="353BEEFA" w14:textId="2AE7311E" w:rsidR="00B40730" w:rsidRDefault="00B40730" w:rsidP="00B40730">
            <w:pPr>
              <w:pStyle w:val="DHHStabletext"/>
              <w:jc w:val="center"/>
            </w:pPr>
            <w:r>
              <w:rPr>
                <w:noProof/>
              </w:rPr>
              <w:drawing>
                <wp:inline distT="0" distB="0" distL="0" distR="0" wp14:anchorId="6ECB2E6D" wp14:editId="019CFF3A">
                  <wp:extent cx="2457263" cy="1116938"/>
                  <wp:effectExtent l="0" t="0" r="0" b="1270"/>
                  <wp:docPr id="8" name="Picture 8" descr="Pneumovax23® packa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Pneumovax23® packagi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263" cy="1116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B40730" w14:paraId="0CD66DF6" w14:textId="77777777" w:rsidTr="00B40730">
        <w:tc>
          <w:tcPr>
            <w:tcW w:w="3828" w:type="dxa"/>
            <w:tcBorders>
              <w:top w:val="nil"/>
              <w:bottom w:val="nil"/>
            </w:tcBorders>
            <w:tcMar>
              <w:top w:w="0" w:type="dxa"/>
              <w:bottom w:w="113" w:type="dxa"/>
            </w:tcMar>
          </w:tcPr>
          <w:p w14:paraId="3C1219CA" w14:textId="0CA47047" w:rsidR="00B40730" w:rsidRPr="00D37D1C" w:rsidRDefault="00B40730" w:rsidP="00B40730">
            <w:pPr>
              <w:pStyle w:val="AgerecommendationandNotessubheadings"/>
            </w:pPr>
            <w:r w:rsidRPr="00D37D1C">
              <w:t>Age recommendation</w:t>
            </w:r>
          </w:p>
        </w:tc>
        <w:tc>
          <w:tcPr>
            <w:tcW w:w="6232" w:type="dxa"/>
            <w:tcBorders>
              <w:top w:val="nil"/>
              <w:bottom w:val="nil"/>
            </w:tcBorders>
            <w:tcMar>
              <w:top w:w="0" w:type="dxa"/>
              <w:bottom w:w="113" w:type="dxa"/>
            </w:tcMar>
          </w:tcPr>
          <w:p w14:paraId="1D742C5B" w14:textId="1B741E59" w:rsidR="00B40730" w:rsidRPr="00D37D1C" w:rsidRDefault="00B40730" w:rsidP="00B40730">
            <w:pPr>
              <w:pStyle w:val="AgerecommendationandNotessubheadings"/>
            </w:pPr>
            <w:r w:rsidRPr="00D37D1C">
              <w:t>Notes</w:t>
            </w:r>
          </w:p>
        </w:tc>
      </w:tr>
      <w:tr w:rsidR="00B40730" w14:paraId="674495B7" w14:textId="77777777" w:rsidTr="00B40730">
        <w:tc>
          <w:tcPr>
            <w:tcW w:w="3828" w:type="dxa"/>
            <w:tcBorders>
              <w:top w:val="nil"/>
              <w:bottom w:val="single" w:sz="24" w:space="0" w:color="007B4B"/>
            </w:tcBorders>
            <w:tcMar>
              <w:top w:w="0" w:type="dxa"/>
              <w:bottom w:w="113" w:type="dxa"/>
            </w:tcMar>
          </w:tcPr>
          <w:p w14:paraId="79AC8BE5" w14:textId="77777777" w:rsidR="00B40730" w:rsidRPr="00B40730" w:rsidRDefault="00B40730" w:rsidP="00B40730">
            <w:pPr>
              <w:pStyle w:val="DHHSbullet1"/>
            </w:pPr>
            <w:r>
              <w:t>Fr</w:t>
            </w:r>
            <w:r w:rsidRPr="00B40730">
              <w:t>om 50 years – Aboriginal and Torres Strait Islander people</w:t>
            </w:r>
          </w:p>
          <w:p w14:paraId="037D936E" w14:textId="6B7FCA52" w:rsidR="00B40730" w:rsidRDefault="00B40730" w:rsidP="00B40730">
            <w:pPr>
              <w:pStyle w:val="DHHSbullet1"/>
            </w:pPr>
            <w:r w:rsidRPr="00B40730">
              <w:t>From 4 years and older – Risk condition</w:t>
            </w:r>
          </w:p>
        </w:tc>
        <w:tc>
          <w:tcPr>
            <w:tcW w:w="6232" w:type="dxa"/>
            <w:tcBorders>
              <w:top w:val="nil"/>
              <w:bottom w:val="single" w:sz="24" w:space="0" w:color="007B4B"/>
            </w:tcBorders>
            <w:tcMar>
              <w:top w:w="0" w:type="dxa"/>
              <w:bottom w:w="113" w:type="dxa"/>
            </w:tcMar>
          </w:tcPr>
          <w:p w14:paraId="55E6C63E" w14:textId="77777777" w:rsidR="00B40730" w:rsidRPr="00B40730" w:rsidRDefault="00B40730" w:rsidP="00B40730">
            <w:pPr>
              <w:pStyle w:val="DHHSbullet1"/>
            </w:pPr>
            <w:r w:rsidRPr="00B40730">
              <w:t>Vial of liquid</w:t>
            </w:r>
          </w:p>
          <w:p w14:paraId="11502BD7" w14:textId="77777777" w:rsidR="00B40730" w:rsidRPr="00B40730" w:rsidRDefault="00B40730" w:rsidP="00B40730">
            <w:pPr>
              <w:pStyle w:val="DHHSbullet1"/>
            </w:pPr>
            <w:r w:rsidRPr="00B40730">
              <w:t>Maximum of 2 lifetime doses spaced by a minimum 5 years</w:t>
            </w:r>
          </w:p>
          <w:p w14:paraId="326A9DE5" w14:textId="77777777" w:rsidR="00B40730" w:rsidRDefault="00792DE3" w:rsidP="00B40730">
            <w:pPr>
              <w:pStyle w:val="DHHSbullet1"/>
              <w:rPr>
                <w:rStyle w:val="Hyperlink"/>
                <w:noProof/>
                <w:color w:val="auto"/>
                <w:u w:val="none"/>
              </w:rPr>
            </w:pPr>
            <w:hyperlink r:id="rId20" w:history="1">
              <w:r w:rsidR="001A313D" w:rsidRPr="00832966">
                <w:rPr>
                  <w:rStyle w:val="Hyperlink"/>
                  <w:rFonts w:cs="Arial"/>
                </w:rPr>
                <w:t>Pneumococcal clinical decision tree</w:t>
              </w:r>
            </w:hyperlink>
            <w:r w:rsidR="001A313D">
              <w:t xml:space="preserve"> </w:t>
            </w:r>
            <w:r w:rsidR="001A313D" w:rsidRPr="00FF7876">
              <w:rPr>
                <w:rStyle w:val="DHHSbodyChar"/>
              </w:rPr>
              <w:t>&lt;</w:t>
            </w:r>
            <w:r w:rsidR="001A313D" w:rsidRPr="00B40730">
              <w:rPr>
                <w:rStyle w:val="DHHSbodyChar"/>
              </w:rPr>
              <w:t>https://www.health.gov.au/resources/publications/national-immunisation-program-pneumococcal-vaccination-schedule-from-1-july-2020-clinical-decision-tree-for-vaccination-providers</w:t>
            </w:r>
            <w:r w:rsidR="001A313D" w:rsidRPr="00FF7876">
              <w:rPr>
                <w:rStyle w:val="DHHSbodyChar"/>
              </w:rPr>
              <w:t>&gt;</w:t>
            </w:r>
            <w:hyperlink r:id="rId21" w:history="1">
              <w:r w:rsidR="00B40730" w:rsidRPr="00B40730">
                <w:rPr>
                  <w:rStyle w:val="Hyperlink"/>
                  <w:color w:val="auto"/>
                  <w:u w:val="none"/>
                </w:rPr>
                <w:t>Pneumococcal risk conditions</w:t>
              </w:r>
            </w:hyperlink>
          </w:p>
          <w:p w14:paraId="038D856F" w14:textId="5EFA3529" w:rsidR="001A313D" w:rsidRDefault="001A313D" w:rsidP="006A578D">
            <w:pPr>
              <w:pStyle w:val="DHHSbullet1"/>
              <w:numPr>
                <w:ilvl w:val="0"/>
                <w:numId w:val="0"/>
              </w:numPr>
              <w:ind w:left="284"/>
            </w:pPr>
          </w:p>
        </w:tc>
      </w:tr>
      <w:bookmarkEnd w:id="1"/>
    </w:tbl>
    <w:p w14:paraId="190DE3B5" w14:textId="77777777" w:rsidR="00EE0F53" w:rsidRDefault="00EE0F53" w:rsidP="00067044">
      <w:pPr>
        <w:spacing w:after="120" w:line="270" w:lineRule="atLeast"/>
        <w:rPr>
          <w:rFonts w:ascii="Arial" w:eastAsia="Times" w:hAnsi="Arial"/>
        </w:rPr>
      </w:pPr>
    </w:p>
    <w:p w14:paraId="44E54E6D" w14:textId="77777777" w:rsidR="00067044" w:rsidRDefault="00067044" w:rsidP="00067044">
      <w:pPr>
        <w:spacing w:after="120" w:line="270" w:lineRule="atLeast"/>
        <w:rPr>
          <w:rFonts w:ascii="Arial" w:eastAsia="Times" w:hAnsi="Arial"/>
          <w:color w:val="0072CE"/>
          <w:u w:val="dotted"/>
        </w:rPr>
      </w:pPr>
      <w:r w:rsidRPr="00826719">
        <w:rPr>
          <w:rFonts w:ascii="Arial" w:eastAsia="Times" w:hAnsi="Arial"/>
        </w:rPr>
        <w:t xml:space="preserve">Reference – The Australian Immunisation Handbook </w:t>
      </w:r>
      <w:hyperlink r:id="rId22" w:history="1">
        <w:r w:rsidRPr="00826719">
          <w:rPr>
            <w:rFonts w:ascii="Arial" w:eastAsia="Times" w:hAnsi="Arial"/>
            <w:color w:val="0072CE"/>
            <w:u w:val="dotted"/>
          </w:rPr>
          <w:t>https://immunisationhandbook.health.gov.au/</w:t>
        </w:r>
      </w:hyperlink>
    </w:p>
    <w:p w14:paraId="2BFE83DD" w14:textId="77777777" w:rsidR="00067044" w:rsidRDefault="00067044" w:rsidP="00067044">
      <w:pPr>
        <w:pStyle w:val="DHHSbody"/>
        <w:rPr>
          <w:lang w:val="en-US"/>
        </w:rPr>
      </w:pPr>
      <w:r w:rsidRPr="008672CA">
        <w:rPr>
          <w:lang w:val="en-US"/>
        </w:rPr>
        <w:t xml:space="preserve">Material adapted from </w:t>
      </w:r>
      <w:r>
        <w:rPr>
          <w:lang w:val="en-US"/>
        </w:rPr>
        <w:t xml:space="preserve">the </w:t>
      </w:r>
      <w:r w:rsidRPr="008672CA">
        <w:rPr>
          <w:lang w:val="en-US"/>
        </w:rPr>
        <w:t>Australian Immunisation Handbook, Australian Government Department of Health</w:t>
      </w:r>
      <w:r>
        <w:rPr>
          <w:lang w:val="en-US"/>
        </w:rPr>
        <w:t>.</w:t>
      </w:r>
    </w:p>
    <w:p w14:paraId="5E158E13" w14:textId="77777777" w:rsidR="00BB6F48" w:rsidRDefault="00067044" w:rsidP="00BB6F48">
      <w:pPr>
        <w:pStyle w:val="DHHSbody"/>
      </w:pPr>
      <w:r>
        <w:lastRenderedPageBreak/>
        <w:t>Images of packaging reproduced with permission.</w:t>
      </w:r>
    </w:p>
    <w:tbl>
      <w:tblPr>
        <w:tblW w:w="4895" w:type="pct"/>
        <w:tblCellMar>
          <w:top w:w="113" w:type="dxa"/>
          <w:bottom w:w="57" w:type="dxa"/>
        </w:tblCellMar>
        <w:tblLook w:val="0600" w:firstRow="0" w:lastRow="0" w:firstColumn="0" w:lastColumn="0" w:noHBand="1" w:noVBand="1"/>
      </w:tblPr>
      <w:tblGrid>
        <w:gridCol w:w="9980"/>
      </w:tblGrid>
      <w:tr w:rsidR="006254F8" w:rsidRPr="002802E3" w14:paraId="2CDBC24C" w14:textId="77777777" w:rsidTr="007A6912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8521B" w14:textId="1FBA0DB6" w:rsidR="00546305" w:rsidRDefault="00546305" w:rsidP="00A05C38">
            <w:pPr>
              <w:pStyle w:val="DHHSaccessibilitypara"/>
            </w:pPr>
            <w:r>
              <w:t xml:space="preserve">To receive this publication in an accessible format </w:t>
            </w:r>
            <w:hyperlink r:id="rId23" w:history="1">
              <w:r w:rsidRPr="00BD17CA">
                <w:rPr>
                  <w:rStyle w:val="Hyperlink"/>
                </w:rPr>
                <w:t>email</w:t>
              </w:r>
              <w:r w:rsidR="00A05C38" w:rsidRPr="00BD17CA">
                <w:rPr>
                  <w:rStyle w:val="Hyperlink"/>
                </w:rPr>
                <w:t xml:space="preserve"> Health Protection</w:t>
              </w:r>
            </w:hyperlink>
            <w:r w:rsidR="00BD17CA">
              <w:t xml:space="preserve"> </w:t>
            </w:r>
            <w:r w:rsidRPr="00A05C38">
              <w:t>&lt;</w:t>
            </w:r>
            <w:r w:rsidR="00A05C38" w:rsidRPr="00A05C38">
              <w:t>immunisation@dhhs.vic.gov.au</w:t>
            </w:r>
            <w:r>
              <w:t>&gt;.</w:t>
            </w:r>
          </w:p>
          <w:p w14:paraId="1E6738F2" w14:textId="77777777" w:rsidR="00AA36D3" w:rsidRDefault="006254F8" w:rsidP="00AA36D3">
            <w:pPr>
              <w:pStyle w:val="DHHSbody"/>
            </w:pPr>
            <w:r w:rsidRPr="00C31117">
              <w:t>Authorised and published by the Victorian Government, 1 Treasury Place, Melbourne.</w:t>
            </w:r>
            <w:r w:rsidR="00650178">
              <w:br/>
            </w:r>
            <w:r w:rsidRPr="00C31117">
              <w:t>© State of Victoria, Australia, Department of Health and Human Services</w:t>
            </w:r>
            <w:r w:rsidR="00A05C38">
              <w:t>, October 2020.</w:t>
            </w:r>
            <w:r w:rsidR="00650178">
              <w:br/>
            </w:r>
            <w:r w:rsidR="00AA36D3" w:rsidRPr="00C31117">
              <w:rPr>
                <w:szCs w:val="19"/>
              </w:rPr>
              <w:t xml:space="preserve">Available </w:t>
            </w:r>
            <w:r w:rsidR="00AA36D3">
              <w:rPr>
                <w:szCs w:val="19"/>
              </w:rPr>
              <w:t>on Health.vic –</w:t>
            </w:r>
            <w:r w:rsidR="00AA36D3">
              <w:t xml:space="preserve"> </w:t>
            </w:r>
            <w:hyperlink r:id="rId24" w:history="1">
              <w:r w:rsidR="00AA36D3" w:rsidRPr="00BD17CA">
                <w:rPr>
                  <w:rStyle w:val="Hyperlink"/>
                </w:rPr>
                <w:t>Immunisation factsheets, consent templates and mature minor information</w:t>
              </w:r>
            </w:hyperlink>
            <w:r w:rsidR="00AA36D3">
              <w:br/>
            </w:r>
            <w:r w:rsidR="00AA36D3" w:rsidRPr="00644F8D">
              <w:t>https://www2.health.vic.gov.au/public-health/immunisation/immunisation-provider-information/immunisation-resources-for-providers/vaccine-preventable-diseases-immunisation-fact-sheets</w:t>
            </w:r>
          </w:p>
          <w:p w14:paraId="33BB2088" w14:textId="79006BC9" w:rsidR="00DE0F62" w:rsidRPr="00BD17CA" w:rsidRDefault="00AA36D3" w:rsidP="00AA36D3">
            <w:pPr>
              <w:pStyle w:val="DHHSbody"/>
            </w:pPr>
            <w:r>
              <w:t>(</w:t>
            </w:r>
            <w:r w:rsidRPr="00DE0F62">
              <w:t>20098</w:t>
            </w:r>
            <w:r>
              <w:t>10 graphics)</w:t>
            </w:r>
          </w:p>
        </w:tc>
      </w:tr>
    </w:tbl>
    <w:p w14:paraId="05B99CA1" w14:textId="366D8542" w:rsidR="00B2752E" w:rsidRDefault="00B2752E" w:rsidP="00FF6D9D">
      <w:pPr>
        <w:pStyle w:val="DHHSbody"/>
      </w:pPr>
    </w:p>
    <w:p w14:paraId="229DF7F7" w14:textId="132E3FD7" w:rsidR="008E1C20" w:rsidRPr="008E1C20" w:rsidRDefault="008E1C20" w:rsidP="008E1C20"/>
    <w:p w14:paraId="7053E6DB" w14:textId="5DCC51E6" w:rsidR="008E1C20" w:rsidRPr="008E1C20" w:rsidRDefault="008E1C20" w:rsidP="008E1C20"/>
    <w:p w14:paraId="026EC597" w14:textId="6E9EEDF2" w:rsidR="008E1C20" w:rsidRPr="008E1C20" w:rsidRDefault="008E1C20" w:rsidP="008E1C20"/>
    <w:p w14:paraId="621B50AE" w14:textId="4CF3060A" w:rsidR="008E1C20" w:rsidRPr="008E1C20" w:rsidRDefault="008E1C20" w:rsidP="008E1C20"/>
    <w:p w14:paraId="223B9DE1" w14:textId="642477F5" w:rsidR="008E1C20" w:rsidRPr="008E1C20" w:rsidRDefault="008E1C20" w:rsidP="008E1C20"/>
    <w:p w14:paraId="661AED2F" w14:textId="320A1597" w:rsidR="008E1C20" w:rsidRPr="008E1C20" w:rsidRDefault="008E1C20" w:rsidP="008E1C20"/>
    <w:p w14:paraId="47EB22D0" w14:textId="22A3610D" w:rsidR="008E1C20" w:rsidRPr="008E1C20" w:rsidRDefault="008E1C20" w:rsidP="008E1C20"/>
    <w:p w14:paraId="70CF013E" w14:textId="506F9957" w:rsidR="008E1C20" w:rsidRDefault="008E1C20" w:rsidP="008E1C20">
      <w:pPr>
        <w:rPr>
          <w:rFonts w:ascii="Arial" w:eastAsia="Times" w:hAnsi="Arial"/>
        </w:rPr>
      </w:pPr>
    </w:p>
    <w:p w14:paraId="645A7525" w14:textId="7D4D04C6" w:rsidR="008E1C20" w:rsidRPr="008E1C20" w:rsidRDefault="008E1C20" w:rsidP="008E1C20">
      <w:pPr>
        <w:tabs>
          <w:tab w:val="left" w:pos="5865"/>
        </w:tabs>
      </w:pPr>
      <w:r>
        <w:tab/>
      </w:r>
    </w:p>
    <w:sectPr w:rsidR="008E1C20" w:rsidRPr="008E1C20" w:rsidSect="00F22073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4E4B7" w14:textId="77777777" w:rsidR="00C0056D" w:rsidRDefault="00C0056D">
      <w:r>
        <w:separator/>
      </w:r>
    </w:p>
  </w:endnote>
  <w:endnote w:type="continuationSeparator" w:id="0">
    <w:p w14:paraId="2932E584" w14:textId="77777777" w:rsidR="00C0056D" w:rsidRDefault="00C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DokChampa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14882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F14DBC" w14:textId="77777777" w:rsidR="00F22073" w:rsidRDefault="00F22073" w:rsidP="006F35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3FFFCF" w14:textId="77777777" w:rsidR="00F22073" w:rsidRDefault="00F22073" w:rsidP="00F220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6F5E" w14:textId="0B86E958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19C801B5" wp14:editId="51B2940F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073">
      <w:t>Check you are using the correct vaccine brand for 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FDD8" w14:textId="4AE6DB0A" w:rsidR="00466F3B" w:rsidRDefault="00466F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2F85" w14:textId="156DF570" w:rsidR="00F22073" w:rsidRDefault="00792DE3" w:rsidP="006F353D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116358307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22073">
          <w:rPr>
            <w:rStyle w:val="PageNumber"/>
          </w:rPr>
          <w:fldChar w:fldCharType="begin"/>
        </w:r>
        <w:r w:rsidR="00F22073">
          <w:rPr>
            <w:rStyle w:val="PageNumber"/>
          </w:rPr>
          <w:instrText xml:space="preserve"> PAGE </w:instrText>
        </w:r>
        <w:r w:rsidR="00F22073">
          <w:rPr>
            <w:rStyle w:val="PageNumber"/>
          </w:rPr>
          <w:fldChar w:fldCharType="separate"/>
        </w:r>
        <w:r w:rsidR="00F22073">
          <w:rPr>
            <w:rStyle w:val="PageNumber"/>
            <w:noProof/>
          </w:rPr>
          <w:t>2</w:t>
        </w:r>
        <w:r w:rsidR="00F22073">
          <w:rPr>
            <w:rStyle w:val="PageNumber"/>
          </w:rPr>
          <w:fldChar w:fldCharType="end"/>
        </w:r>
      </w:sdtContent>
    </w:sdt>
  </w:p>
  <w:p w14:paraId="7169E169" w14:textId="462B6DAE" w:rsidR="00B90EF0" w:rsidRPr="00B90EF0" w:rsidRDefault="00B90EF0" w:rsidP="00B90EF0">
    <w:pPr>
      <w:pStyle w:val="DHHSfooter"/>
    </w:pPr>
    <w:r w:rsidRPr="00B90EF0">
      <w:t xml:space="preserve">Check you are using the correct </w:t>
    </w:r>
    <w:r w:rsidR="00AC610A">
      <w:t>Pneumococcal</w:t>
    </w:r>
    <w:r w:rsidRPr="00B90EF0">
      <w:t xml:space="preserve"> vaccines</w:t>
    </w:r>
  </w:p>
  <w:p w14:paraId="3FB0C8CC" w14:textId="4A174F0A" w:rsidR="009D70A4" w:rsidRPr="00A11421" w:rsidRDefault="009D70A4" w:rsidP="00F22073">
    <w:pPr>
      <w:pStyle w:val="DHHS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F791B" w14:textId="77777777" w:rsidR="00C0056D" w:rsidRDefault="00C0056D" w:rsidP="002862F1">
      <w:pPr>
        <w:spacing w:before="120"/>
      </w:pPr>
      <w:r>
        <w:separator/>
      </w:r>
    </w:p>
  </w:footnote>
  <w:footnote w:type="continuationSeparator" w:id="0">
    <w:p w14:paraId="569B974D" w14:textId="77777777" w:rsidR="00C0056D" w:rsidRDefault="00C0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23F9" w14:textId="77777777" w:rsidR="006A578D" w:rsidRDefault="006A5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0C43" w14:textId="77777777" w:rsidR="006A578D" w:rsidRDefault="006A5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1DB4" w14:textId="77777777" w:rsidR="006A578D" w:rsidRDefault="006A57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4198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9E275AC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531A88"/>
    <w:multiLevelType w:val="hybridMultilevel"/>
    <w:tmpl w:val="23A49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E0D22"/>
    <w:multiLevelType w:val="hybridMultilevel"/>
    <w:tmpl w:val="5CAED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B47A0"/>
    <w:multiLevelType w:val="hybridMultilevel"/>
    <w:tmpl w:val="2D5C82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814B7"/>
    <w:multiLevelType w:val="hybridMultilevel"/>
    <w:tmpl w:val="0B10A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4C340B"/>
    <w:multiLevelType w:val="hybridMultilevel"/>
    <w:tmpl w:val="4E56A2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7E4AC5"/>
    <w:multiLevelType w:val="hybridMultilevel"/>
    <w:tmpl w:val="3DC07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CDA"/>
    <w:multiLevelType w:val="multilevel"/>
    <w:tmpl w:val="C07040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6C68D4"/>
    <w:multiLevelType w:val="multilevel"/>
    <w:tmpl w:val="19E275AC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1A0293E"/>
    <w:multiLevelType w:val="hybridMultilevel"/>
    <w:tmpl w:val="F5845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EC45C0A"/>
    <w:multiLevelType w:val="hybridMultilevel"/>
    <w:tmpl w:val="5A025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760712"/>
    <w:multiLevelType w:val="hybridMultilevel"/>
    <w:tmpl w:val="E9064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62B304D"/>
    <w:multiLevelType w:val="hybridMultilevel"/>
    <w:tmpl w:val="B186D3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D53F11"/>
    <w:multiLevelType w:val="hybridMultilevel"/>
    <w:tmpl w:val="4D623F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4B46D0"/>
    <w:multiLevelType w:val="hybridMultilevel"/>
    <w:tmpl w:val="C03084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3"/>
  </w:num>
  <w:num w:numId="25">
    <w:abstractNumId w:val="9"/>
  </w:num>
  <w:num w:numId="26">
    <w:abstractNumId w:val="17"/>
  </w:num>
  <w:num w:numId="27">
    <w:abstractNumId w:val="15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Restart w:val="0"/>
        <w:pStyle w:val="DHHSbullet2"/>
        <w:lvlText w:val="•"/>
        <w:lvlJc w:val="left"/>
        <w:pPr>
          <w:ind w:left="284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Restart w:val="0"/>
        <w:lvlText w:val="–"/>
        <w:lvlJc w:val="left"/>
        <w:pPr>
          <w:ind w:left="567" w:hanging="283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Restart w:val="0"/>
        <w:lvlText w:val="–"/>
        <w:lvlJc w:val="left"/>
        <w:pPr>
          <w:ind w:left="567" w:hanging="283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Restart w:val="0"/>
        <w:lvlText w:val="•"/>
        <w:lvlJc w:val="left"/>
        <w:pPr>
          <w:ind w:left="680" w:hanging="283"/>
        </w:pPr>
        <w:rPr>
          <w:rFonts w:ascii="Calibri" w:hAnsi="Calibri" w:hint="default"/>
        </w:rPr>
      </w:lvl>
    </w:lvlOverride>
    <w:lvlOverride w:ilvl="5">
      <w:lvl w:ilvl="5">
        <w:start w:val="1"/>
        <w:numFmt w:val="bullet"/>
        <w:lvlRestart w:val="0"/>
        <w:lvlText w:val="•"/>
        <w:lvlJc w:val="left"/>
        <w:pPr>
          <w:ind w:left="680" w:hanging="283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Restart w:val="0"/>
        <w:lvlText w:val="•"/>
        <w:lvlJc w:val="left"/>
        <w:pPr>
          <w:ind w:left="227" w:hanging="227"/>
        </w:pPr>
        <w:rPr>
          <w:rFonts w:ascii="Calibri" w:hAnsi="Calibri" w:hint="default"/>
          <w:color w:val="auto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20"/>
  </w:num>
  <w:num w:numId="29">
    <w:abstractNumId w:val="5"/>
  </w:num>
  <w:num w:numId="30">
    <w:abstractNumId w:val="22"/>
  </w:num>
  <w:num w:numId="31">
    <w:abstractNumId w:val="8"/>
  </w:num>
  <w:num w:numId="32">
    <w:abstractNumId w:val="4"/>
  </w:num>
  <w:num w:numId="33">
    <w:abstractNumId w:val="7"/>
  </w:num>
  <w:num w:numId="34">
    <w:abstractNumId w:val="6"/>
  </w:num>
  <w:num w:numId="3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2C"/>
    <w:rsid w:val="000072B6"/>
    <w:rsid w:val="0001021B"/>
    <w:rsid w:val="00011D89"/>
    <w:rsid w:val="000154FD"/>
    <w:rsid w:val="00024D89"/>
    <w:rsid w:val="000250B6"/>
    <w:rsid w:val="00032039"/>
    <w:rsid w:val="00033D81"/>
    <w:rsid w:val="00041BF0"/>
    <w:rsid w:val="0004536B"/>
    <w:rsid w:val="00046B68"/>
    <w:rsid w:val="000527DD"/>
    <w:rsid w:val="000578B2"/>
    <w:rsid w:val="00060959"/>
    <w:rsid w:val="000663CD"/>
    <w:rsid w:val="00067044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C7AEE"/>
    <w:rsid w:val="000D1242"/>
    <w:rsid w:val="000D1858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13D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747"/>
    <w:rsid w:val="001F7C91"/>
    <w:rsid w:val="00200A2D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60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106"/>
    <w:rsid w:val="002B77C1"/>
    <w:rsid w:val="002C2728"/>
    <w:rsid w:val="002C6D1C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46D9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324E1"/>
    <w:rsid w:val="00442C6C"/>
    <w:rsid w:val="00443CBE"/>
    <w:rsid w:val="00443E8A"/>
    <w:rsid w:val="004441BC"/>
    <w:rsid w:val="004468B4"/>
    <w:rsid w:val="0045230A"/>
    <w:rsid w:val="00457337"/>
    <w:rsid w:val="00466F3B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70FE6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43D3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E73D0"/>
    <w:rsid w:val="005F0775"/>
    <w:rsid w:val="005F0CF5"/>
    <w:rsid w:val="005F21EB"/>
    <w:rsid w:val="006055FF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17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AA5"/>
    <w:rsid w:val="0068454C"/>
    <w:rsid w:val="00686DA7"/>
    <w:rsid w:val="00691B62"/>
    <w:rsid w:val="006933B5"/>
    <w:rsid w:val="00693D14"/>
    <w:rsid w:val="006A18C2"/>
    <w:rsid w:val="006A578D"/>
    <w:rsid w:val="006B077C"/>
    <w:rsid w:val="006B35C0"/>
    <w:rsid w:val="006B6803"/>
    <w:rsid w:val="006B6F65"/>
    <w:rsid w:val="006D0F16"/>
    <w:rsid w:val="006D2A3F"/>
    <w:rsid w:val="006D2FBC"/>
    <w:rsid w:val="006E138B"/>
    <w:rsid w:val="006E3F88"/>
    <w:rsid w:val="006F1FDC"/>
    <w:rsid w:val="006F6B8C"/>
    <w:rsid w:val="007013EF"/>
    <w:rsid w:val="0071135D"/>
    <w:rsid w:val="007173CA"/>
    <w:rsid w:val="007216AA"/>
    <w:rsid w:val="00721AB5"/>
    <w:rsid w:val="00721CFB"/>
    <w:rsid w:val="00721DEF"/>
    <w:rsid w:val="00724A43"/>
    <w:rsid w:val="00731302"/>
    <w:rsid w:val="007346E4"/>
    <w:rsid w:val="00736E76"/>
    <w:rsid w:val="00740B23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35F2"/>
    <w:rsid w:val="00785677"/>
    <w:rsid w:val="00786F16"/>
    <w:rsid w:val="00791BD7"/>
    <w:rsid w:val="00792DE3"/>
    <w:rsid w:val="007933F7"/>
    <w:rsid w:val="00796E20"/>
    <w:rsid w:val="00797C32"/>
    <w:rsid w:val="007A11E8"/>
    <w:rsid w:val="007A2590"/>
    <w:rsid w:val="007A691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7A5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D2C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1831"/>
    <w:rsid w:val="00892508"/>
    <w:rsid w:val="0089270A"/>
    <w:rsid w:val="00893AF6"/>
    <w:rsid w:val="00894BC4"/>
    <w:rsid w:val="008A28A8"/>
    <w:rsid w:val="008A5B32"/>
    <w:rsid w:val="008A7EA1"/>
    <w:rsid w:val="008B2EE4"/>
    <w:rsid w:val="008B4D3D"/>
    <w:rsid w:val="008B57C7"/>
    <w:rsid w:val="008C2F92"/>
    <w:rsid w:val="008D2846"/>
    <w:rsid w:val="008D4236"/>
    <w:rsid w:val="008D462F"/>
    <w:rsid w:val="008D6DCF"/>
    <w:rsid w:val="008E064C"/>
    <w:rsid w:val="008E1C20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46FC4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1A22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5C38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36D3"/>
    <w:rsid w:val="00AA63D4"/>
    <w:rsid w:val="00AB06E8"/>
    <w:rsid w:val="00AB1CD3"/>
    <w:rsid w:val="00AB352F"/>
    <w:rsid w:val="00AC274B"/>
    <w:rsid w:val="00AC4764"/>
    <w:rsid w:val="00AC610A"/>
    <w:rsid w:val="00AC6D36"/>
    <w:rsid w:val="00AD0CBA"/>
    <w:rsid w:val="00AD256B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0A84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0730"/>
    <w:rsid w:val="00B431E8"/>
    <w:rsid w:val="00B45141"/>
    <w:rsid w:val="00B5273A"/>
    <w:rsid w:val="00B55C41"/>
    <w:rsid w:val="00B57329"/>
    <w:rsid w:val="00B60E61"/>
    <w:rsid w:val="00B62B50"/>
    <w:rsid w:val="00B635B7"/>
    <w:rsid w:val="00B63AE8"/>
    <w:rsid w:val="00B65950"/>
    <w:rsid w:val="00B66D83"/>
    <w:rsid w:val="00B67165"/>
    <w:rsid w:val="00B672C0"/>
    <w:rsid w:val="00B75646"/>
    <w:rsid w:val="00B90729"/>
    <w:rsid w:val="00B907DA"/>
    <w:rsid w:val="00B90EF0"/>
    <w:rsid w:val="00B950BC"/>
    <w:rsid w:val="00B9714C"/>
    <w:rsid w:val="00BA29AD"/>
    <w:rsid w:val="00BA3F8D"/>
    <w:rsid w:val="00BB6F48"/>
    <w:rsid w:val="00BB7A10"/>
    <w:rsid w:val="00BC7468"/>
    <w:rsid w:val="00BC7D4F"/>
    <w:rsid w:val="00BC7ED7"/>
    <w:rsid w:val="00BD17CA"/>
    <w:rsid w:val="00BD2850"/>
    <w:rsid w:val="00BE28D2"/>
    <w:rsid w:val="00BE4A64"/>
    <w:rsid w:val="00BF557D"/>
    <w:rsid w:val="00BF7F58"/>
    <w:rsid w:val="00C0056D"/>
    <w:rsid w:val="00C01381"/>
    <w:rsid w:val="00C01AB1"/>
    <w:rsid w:val="00C079B8"/>
    <w:rsid w:val="00C10037"/>
    <w:rsid w:val="00C123EA"/>
    <w:rsid w:val="00C12A49"/>
    <w:rsid w:val="00C133EE"/>
    <w:rsid w:val="00C13BF5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442B"/>
    <w:rsid w:val="00D17B72"/>
    <w:rsid w:val="00D3185C"/>
    <w:rsid w:val="00D3318E"/>
    <w:rsid w:val="00D33E72"/>
    <w:rsid w:val="00D35BD6"/>
    <w:rsid w:val="00D361B5"/>
    <w:rsid w:val="00D37D1C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0F62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83013"/>
    <w:rsid w:val="00E92AC3"/>
    <w:rsid w:val="00EB00E0"/>
    <w:rsid w:val="00EB5E65"/>
    <w:rsid w:val="00EC059F"/>
    <w:rsid w:val="00EC1F24"/>
    <w:rsid w:val="00EC22F6"/>
    <w:rsid w:val="00ED5B9B"/>
    <w:rsid w:val="00ED6BAD"/>
    <w:rsid w:val="00ED7447"/>
    <w:rsid w:val="00EE0F53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2073"/>
    <w:rsid w:val="00F24D25"/>
    <w:rsid w:val="00F250A9"/>
    <w:rsid w:val="00F30FF4"/>
    <w:rsid w:val="00F3122E"/>
    <w:rsid w:val="00F32F65"/>
    <w:rsid w:val="00F331AD"/>
    <w:rsid w:val="00F35287"/>
    <w:rsid w:val="00F43A37"/>
    <w:rsid w:val="00F4641B"/>
    <w:rsid w:val="00F46EB8"/>
    <w:rsid w:val="00F50CD1"/>
    <w:rsid w:val="00F511E4"/>
    <w:rsid w:val="00F52B17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109E"/>
    <w:rsid w:val="00FB4769"/>
    <w:rsid w:val="00FB4CDA"/>
    <w:rsid w:val="00FC0F81"/>
    <w:rsid w:val="00FC395C"/>
    <w:rsid w:val="00FD3766"/>
    <w:rsid w:val="00FD47C4"/>
    <w:rsid w:val="00FD540C"/>
    <w:rsid w:val="00FD59AC"/>
    <w:rsid w:val="00FE2DCF"/>
    <w:rsid w:val="00FE3FA7"/>
    <w:rsid w:val="00FF2A4E"/>
    <w:rsid w:val="00FF2FCE"/>
    <w:rsid w:val="00FF4F7D"/>
    <w:rsid w:val="00FF6D9D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150950"/>
  <w15:docId w15:val="{E9CCD6D2-833C-484C-8C6B-1F649458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BB6F48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9"/>
    <w:qFormat/>
    <w:rsid w:val="00B40730"/>
    <w:pPr>
      <w:keepNext/>
      <w:keepLines/>
      <w:spacing w:before="360" w:after="200"/>
      <w:outlineLvl w:val="0"/>
    </w:pPr>
    <w:rPr>
      <w:rFonts w:ascii="Arial" w:eastAsia="MS Gothic" w:hAnsi="Arial" w:cs="Arial"/>
      <w:b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40730"/>
    <w:pPr>
      <w:keepNext/>
      <w:keepLines/>
      <w:spacing w:after="90" w:line="320" w:lineRule="atLeast"/>
      <w:outlineLvl w:val="1"/>
    </w:pPr>
    <w:rPr>
      <w:rFonts w:ascii="Arial" w:hAnsi="Arial"/>
      <w:b/>
      <w:color w:val="007B4B"/>
      <w:sz w:val="24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9"/>
    <w:rsid w:val="00B40730"/>
    <w:rPr>
      <w:rFonts w:ascii="Arial" w:eastAsia="MS Gothic" w:hAnsi="Arial" w:cs="Arial"/>
      <w:b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40730"/>
    <w:rPr>
      <w:rFonts w:ascii="Arial" w:hAnsi="Arial"/>
      <w:b/>
      <w:color w:val="007B4B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40730"/>
    <w:pPr>
      <w:spacing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40730"/>
    <w:rPr>
      <w:rFonts w:ascii="Arial" w:hAnsi="Arial"/>
      <w:b/>
      <w:color w:val="007B4B"/>
      <w:sz w:val="24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2C6D1C"/>
    <w:pPr>
      <w:spacing w:line="560" w:lineRule="atLeast"/>
    </w:pPr>
    <w:rPr>
      <w:rFonts w:ascii="Arial" w:hAnsi="Arial"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B40730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A6912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7A6912"/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A691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A6912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A691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C3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38"/>
    <w:rPr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0F53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BD17CA"/>
    <w:rPr>
      <w:rFonts w:ascii="Cambria" w:hAnsi="Cambria"/>
      <w:lang w:eastAsia="en-US"/>
    </w:rPr>
  </w:style>
  <w:style w:type="paragraph" w:customStyle="1" w:styleId="Specialinstructionforavaccinebrand">
    <w:name w:val="Special instruction for a vaccine brand"/>
    <w:uiPriority w:val="11"/>
    <w:rsid w:val="00DE0F62"/>
    <w:pPr>
      <w:spacing w:before="80" w:line="360" w:lineRule="auto"/>
    </w:pPr>
    <w:rPr>
      <w:rFonts w:ascii="Arial" w:eastAsia="Times" w:hAnsi="Arial"/>
      <w:b/>
      <w:lang w:eastAsia="en-US"/>
    </w:rPr>
  </w:style>
  <w:style w:type="paragraph" w:customStyle="1" w:styleId="AVaccinebrand">
    <w:name w:val="A Vaccine brand"/>
    <w:uiPriority w:val="11"/>
    <w:rsid w:val="00B40730"/>
    <w:pPr>
      <w:spacing w:before="80" w:after="80"/>
    </w:pPr>
    <w:rPr>
      <w:rFonts w:ascii="Arial" w:hAnsi="Arial"/>
      <w:b/>
      <w:iCs/>
      <w:color w:val="007B4B"/>
      <w:sz w:val="28"/>
      <w:szCs w:val="28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4324E1"/>
    <w:pPr>
      <w:ind w:left="720"/>
      <w:contextualSpacing/>
    </w:pPr>
    <w:rPr>
      <w:rFonts w:ascii="Verdana" w:hAnsi="Verdana"/>
      <w:szCs w:val="24"/>
    </w:rPr>
  </w:style>
  <w:style w:type="character" w:customStyle="1" w:styleId="eop">
    <w:name w:val="eop"/>
    <w:basedOn w:val="DefaultParagraphFont"/>
    <w:rsid w:val="002B7106"/>
  </w:style>
  <w:style w:type="paragraph" w:customStyle="1" w:styleId="AgerecommendationandNotessubheadings">
    <w:name w:val="Age recommendation and Notes subheadings"/>
    <w:uiPriority w:val="11"/>
    <w:rsid w:val="00B40730"/>
    <w:rPr>
      <w:rFonts w:ascii="Arial" w:eastAsia="Times" w:hAnsi="Arial"/>
      <w:b/>
      <w:bCs/>
      <w:color w:val="007B4B"/>
      <w:sz w:val="21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D37D1C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D37D1C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D37D1C"/>
    <w:pPr>
      <w:numPr>
        <w:numId w:val="0"/>
      </w:numPr>
      <w:spacing w:after="120"/>
      <w:ind w:left="284" w:hanging="284"/>
    </w:pPr>
  </w:style>
  <w:style w:type="paragraph" w:customStyle="1" w:styleId="DHHSbullet2lastline">
    <w:name w:val="DHHS bullet 2 last line"/>
    <w:basedOn w:val="DHHSbullet2"/>
    <w:uiPriority w:val="2"/>
    <w:qFormat/>
    <w:rsid w:val="00D37D1C"/>
    <w:pPr>
      <w:numPr>
        <w:ilvl w:val="0"/>
        <w:numId w:val="0"/>
      </w:numPr>
      <w:spacing w:after="120"/>
      <w:ind w:left="567" w:hanging="283"/>
    </w:pPr>
  </w:style>
  <w:style w:type="paragraph" w:customStyle="1" w:styleId="DHHSbulletindentlastline">
    <w:name w:val="DHHS bullet indent last line"/>
    <w:basedOn w:val="DHHSbody"/>
    <w:uiPriority w:val="4"/>
    <w:rsid w:val="00D37D1C"/>
    <w:pPr>
      <w:ind w:left="680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466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3B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3B"/>
    <w:rPr>
      <w:rFonts w:ascii="Cambria" w:hAnsi="Cambria"/>
      <w:b/>
      <w:bCs/>
      <w:lang w:eastAsia="en-US"/>
    </w:rPr>
  </w:style>
  <w:style w:type="character" w:customStyle="1" w:styleId="DHHSbodyChar">
    <w:name w:val="DHHS body Char"/>
    <w:basedOn w:val="DefaultParagraphFont"/>
    <w:link w:val="DHHSbody"/>
    <w:rsid w:val="00FF7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health.gov.au/resources/publications/national-immunisation-program-pneumococcal-vaccination-schedule-from-1-july-2020-clinical-decision-tree-for-vaccination-provider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hhsvicgovau.sharepoint.com/sites/RHPEMImmunisationUnit-DHHS-GRP/Shared%20Documents/COVID-19%20Working%20from%20home/Nurse%20tasks/&#8226;%09https:/immunisationhandbook.health.gov.au/resources/handbook-tables/list-risk-conditions-for-pneumococcal-disease" TargetMode="Externa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s://www.health.gov.au/resources/publications/national-immunisation-program-pneumococcal-vaccination-schedule-from-1-july-2020-clinical-decision-tree-for-vaccination-provid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2.health.vic.gov.au/public-health/immunisation/immunisation-provider-information/immunisation-resources-for-providers/vaccine-preventable-diseases-immunisation-fact-shee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://immunisation@dhhs.vic.gov.au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2.health.vic.gov.au/public-health/immunisation/immunisation-schedule-vaccine-eligibility-criteria/immunisation-schedule-victoria" TargetMode="External"/><Relationship Id="rId22" Type="http://schemas.openxmlformats.org/officeDocument/2006/relationships/hyperlink" Target="https://immunisationhandbook.health.gov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you are using the correct Pneumococcal vaccines</vt:lpstr>
    </vt:vector>
  </TitlesOfParts>
  <Manager/>
  <Company>Department of Health and Human Services</Company>
  <LinksUpToDate>false</LinksUpToDate>
  <CharactersWithSpaces>3325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you are using the correct Pneumococcal vaccines</dc:title>
  <dc:subject>Check you are using the correct Pneumococcal vaccines</dc:subject>
  <dc:creator>Health Protection Branch</dc:creator>
  <cp:keywords>Diphtheria, Tetanus, Pertussis, formulations, age, eligibility</cp:keywords>
  <dc:description/>
  <cp:lastModifiedBy>Alice York</cp:lastModifiedBy>
  <cp:revision>2</cp:revision>
  <cp:lastPrinted>2017-07-07T00:32:00Z</cp:lastPrinted>
  <dcterms:created xsi:type="dcterms:W3CDTF">2020-11-04T23:24:00Z</dcterms:created>
  <dcterms:modified xsi:type="dcterms:W3CDTF">2020-11-04T23:24:00Z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efdf5488-3066-4b6c-8fea-9472b8a1f34c_Enabled">
    <vt:lpwstr>true</vt:lpwstr>
  </property>
  <property fmtid="{D5CDD505-2E9C-101B-9397-08002B2CF9AE}" pid="4" name="MSIP_Label_efdf5488-3066-4b6c-8fea-9472b8a1f34c_SetDate">
    <vt:lpwstr>2020-11-02T00:07:52Z</vt:lpwstr>
  </property>
  <property fmtid="{D5CDD505-2E9C-101B-9397-08002B2CF9AE}" pid="5" name="MSIP_Label_efdf5488-3066-4b6c-8fea-9472b8a1f34c_Method">
    <vt:lpwstr>Privileged</vt:lpwstr>
  </property>
  <property fmtid="{D5CDD505-2E9C-101B-9397-08002B2CF9AE}" pid="6" name="MSIP_Label_efdf5488-3066-4b6c-8fea-9472b8a1f34c_Name">
    <vt:lpwstr>efdf5488-3066-4b6c-8fea-9472b8a1f34c</vt:lpwstr>
  </property>
  <property fmtid="{D5CDD505-2E9C-101B-9397-08002B2CF9AE}" pid="7" name="MSIP_Label_efdf5488-3066-4b6c-8fea-9472b8a1f34c_SiteId">
    <vt:lpwstr>c0e0601f-0fac-449c-9c88-a104c4eb9f28</vt:lpwstr>
  </property>
  <property fmtid="{D5CDD505-2E9C-101B-9397-08002B2CF9AE}" pid="8" name="MSIP_Label_efdf5488-3066-4b6c-8fea-9472b8a1f34c_ActionId">
    <vt:lpwstr>9cfc2198-b608-47f7-a061-0f72ae4456d8</vt:lpwstr>
  </property>
  <property fmtid="{D5CDD505-2E9C-101B-9397-08002B2CF9AE}" pid="9" name="MSIP_Label_efdf5488-3066-4b6c-8fea-9472b8a1f34c_ContentBits">
    <vt:lpwstr>0</vt:lpwstr>
  </property>
</Properties>
</file>