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953" w:type="dxa"/>
        <w:tblInd w:w="113" w:type="dxa"/>
        <w:tblCellMar>
          <w:left w:w="0" w:type="dxa"/>
          <w:right w:w="0" w:type="dxa"/>
        </w:tblCellMar>
        <w:tblLook w:val="04A0" w:firstRow="1" w:lastRow="0" w:firstColumn="1" w:lastColumn="0" w:noHBand="0" w:noVBand="1"/>
      </w:tblPr>
      <w:tblGrid>
        <w:gridCol w:w="7953"/>
      </w:tblGrid>
      <w:tr w:rsidR="00C160DE" w:rsidRPr="003072C6" w:rsidTr="00527267">
        <w:trPr>
          <w:trHeight w:val="7418"/>
        </w:trPr>
        <w:tc>
          <w:tcPr>
            <w:tcW w:w="7953" w:type="dxa"/>
            <w:shd w:val="clear" w:color="auto" w:fill="auto"/>
          </w:tcPr>
          <w:p w:rsidR="00C160DE" w:rsidRPr="003072C6" w:rsidRDefault="00C160DE" w:rsidP="00CB0B21">
            <w:pPr>
              <w:pStyle w:val="DHHSreportmaintitlewhite"/>
            </w:pPr>
            <w:r>
              <w:rPr>
                <w:noProof/>
                <w:lang w:eastAsia="en-AU"/>
              </w:rPr>
              <w:drawing>
                <wp:anchor distT="0" distB="0" distL="114300" distR="114300" simplePos="0" relativeHeight="251660288" behindDoc="1" locked="1" layoutInCell="0" allowOverlap="1" wp14:anchorId="31546AE7" wp14:editId="0E95F3C4">
                  <wp:simplePos x="0" y="0"/>
                  <wp:positionH relativeFrom="page">
                    <wp:posOffset>0</wp:posOffset>
                  </wp:positionH>
                  <wp:positionV relativeFrom="page">
                    <wp:posOffset>0</wp:posOffset>
                  </wp:positionV>
                  <wp:extent cx="7563485" cy="10700385"/>
                  <wp:effectExtent l="0" t="0" r="0" b="5715"/>
                  <wp:wrapNone/>
                  <wp:docPr id="100" name="Picture 100"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Victoria State Government Department of Health and Human Servic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anchor>
              </w:drawing>
            </w:r>
            <w:r>
              <w:t xml:space="preserve">Victorian guideline on environmental sampling for carbapenemase-producing </w:t>
            </w:r>
            <w:r w:rsidRPr="00126B54">
              <w:rPr>
                <w:i/>
              </w:rPr>
              <w:t>Enterobacteriaceae</w:t>
            </w:r>
          </w:p>
          <w:p w:rsidR="00C160DE" w:rsidRPr="003072C6" w:rsidRDefault="00BE09C3" w:rsidP="00CB0B21">
            <w:pPr>
              <w:pStyle w:val="DHHSreportsubtitlewhite"/>
            </w:pPr>
            <w:r>
              <w:t>Version 1</w:t>
            </w:r>
          </w:p>
        </w:tc>
      </w:tr>
    </w:tbl>
    <w:p w:rsidR="00C160DE" w:rsidRPr="003072C6" w:rsidRDefault="00C160DE" w:rsidP="00CB0B21">
      <w:pPr>
        <w:pStyle w:val="DHHSbodynospace"/>
        <w:ind w:left="-454"/>
      </w:pPr>
    </w:p>
    <w:p w:rsidR="00C160DE" w:rsidRDefault="00C160DE" w:rsidP="00CB0B21">
      <w:pPr>
        <w:pStyle w:val="DHHSbodynospace"/>
        <w:sectPr w:rsidR="00C160DE" w:rsidSect="00527267">
          <w:pgSz w:w="11906" w:h="16838"/>
          <w:pgMar w:top="3970" w:right="1440" w:bottom="1440" w:left="1440" w:header="708" w:footer="708" w:gutter="0"/>
          <w:cols w:space="708"/>
          <w:docGrid w:linePitch="360"/>
        </w:sectPr>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C160DE" w:rsidRPr="00805D06" w:rsidTr="00CB0B21">
        <w:trPr>
          <w:trHeight w:val="4313"/>
        </w:trPr>
        <w:tc>
          <w:tcPr>
            <w:tcW w:w="9298" w:type="dxa"/>
          </w:tcPr>
          <w:p w:rsidR="00C160DE" w:rsidRPr="00805D06" w:rsidRDefault="00C160DE" w:rsidP="00CB0B21">
            <w:pPr>
              <w:pStyle w:val="DHHSbody"/>
              <w:rPr>
                <w:sz w:val="26"/>
                <w:szCs w:val="26"/>
              </w:rPr>
            </w:pPr>
            <w:r>
              <w:rPr>
                <w:noProof/>
                <w:lang w:eastAsia="en-AU"/>
              </w:rPr>
              <w:lastRenderedPageBreak/>
              <mc:AlternateContent>
                <mc:Choice Requires="wps">
                  <w:drawing>
                    <wp:anchor distT="0" distB="0" distL="114300" distR="114300" simplePos="0" relativeHeight="251659264" behindDoc="0" locked="0" layoutInCell="1" allowOverlap="1" wp14:anchorId="18BFDB63" wp14:editId="1350348B">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372" w:rsidRDefault="00242372" w:rsidP="00CB0B21">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5in;margin-top:801pt;width:19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rsidR="00242372" w:rsidRDefault="00242372" w:rsidP="00CB0B21">
                            <w:pPr>
                              <w:jc w:val="right"/>
                            </w:pPr>
                            <w:r w:rsidRPr="000147AF">
                              <w:rPr>
                                <w:rFonts w:ascii="Arial" w:hAnsi="Arial" w:cs="Arial"/>
                                <w:color w:val="808080"/>
                                <w:sz w:val="22"/>
                                <w:szCs w:val="22"/>
                              </w:rPr>
                              <w:t>Department of Health</w:t>
                            </w:r>
                          </w:p>
                        </w:txbxContent>
                      </v:textbox>
                    </v:shape>
                  </w:pict>
                </mc:Fallback>
              </mc:AlternateContent>
            </w:r>
          </w:p>
        </w:tc>
      </w:tr>
      <w:tr w:rsidR="00C160DE" w:rsidRPr="003072C6" w:rsidTr="00CB0B21">
        <w:trPr>
          <w:trHeight w:val="6336"/>
        </w:trPr>
        <w:tc>
          <w:tcPr>
            <w:tcW w:w="9298" w:type="dxa"/>
            <w:vAlign w:val="bottom"/>
          </w:tcPr>
          <w:p w:rsidR="00C160DE" w:rsidRPr="00605B5B" w:rsidRDefault="00C160DE" w:rsidP="00CB0B21">
            <w:pPr>
              <w:spacing w:after="200" w:line="300" w:lineRule="atLeast"/>
              <w:rPr>
                <w:rFonts w:ascii="Arial" w:eastAsia="Times" w:hAnsi="Arial"/>
                <w:sz w:val="24"/>
                <w:szCs w:val="19"/>
              </w:rPr>
            </w:pPr>
            <w:r w:rsidRPr="00605B5B">
              <w:rPr>
                <w:rFonts w:ascii="Arial" w:eastAsia="Times" w:hAnsi="Arial"/>
                <w:sz w:val="24"/>
                <w:szCs w:val="19"/>
              </w:rPr>
              <w:t>To receive this publication in an accessible format phone</w:t>
            </w:r>
            <w:r>
              <w:rPr>
                <w:rFonts w:ascii="Arial" w:eastAsia="Times" w:hAnsi="Arial"/>
                <w:sz w:val="24"/>
                <w:szCs w:val="19"/>
              </w:rPr>
              <w:t xml:space="preserve"> Communicable Disease Prevention and Control on 1300 651 160,</w:t>
            </w:r>
            <w:r w:rsidRPr="00605B5B">
              <w:rPr>
                <w:rFonts w:ascii="Arial" w:eastAsia="Times" w:hAnsi="Arial"/>
                <w:sz w:val="24"/>
                <w:szCs w:val="19"/>
              </w:rPr>
              <w:t xml:space="preserve"> using the National Relay Service 13 36 77 if required, or </w:t>
            </w:r>
            <w:hyperlink r:id="rId9" w:history="1">
              <w:r w:rsidRPr="003C6C42">
                <w:rPr>
                  <w:rStyle w:val="Hyperlink"/>
                  <w:rFonts w:ascii="Arial" w:eastAsia="Times" w:hAnsi="Arial"/>
                  <w:sz w:val="24"/>
                  <w:szCs w:val="19"/>
                </w:rPr>
                <w:t>email Communicable Disease Prevention and Control</w:t>
              </w:r>
            </w:hyperlink>
            <w:r w:rsidRPr="00605B5B">
              <w:rPr>
                <w:rFonts w:ascii="Arial" w:eastAsia="Times" w:hAnsi="Arial"/>
                <w:sz w:val="24"/>
                <w:szCs w:val="19"/>
              </w:rPr>
              <w:t xml:space="preserve"> </w:t>
            </w:r>
            <w:r w:rsidRPr="003C6C42">
              <w:rPr>
                <w:rFonts w:ascii="Arial" w:eastAsia="Times" w:hAnsi="Arial"/>
                <w:sz w:val="24"/>
                <w:szCs w:val="19"/>
              </w:rPr>
              <w:t>&lt;infectious.diseases@dhhs.vic.gov.au&gt;</w:t>
            </w:r>
          </w:p>
          <w:p w:rsidR="00C160DE" w:rsidRPr="00605B5B" w:rsidRDefault="00C160DE" w:rsidP="00CB0B21">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rsidR="00C160DE" w:rsidRDefault="00C160DE" w:rsidP="00CB0B21">
            <w:pPr>
              <w:spacing w:after="120" w:line="270" w:lineRule="atLeast"/>
              <w:rPr>
                <w:rFonts w:ascii="Arial" w:eastAsia="Times" w:hAnsi="Arial"/>
              </w:rPr>
            </w:pPr>
            <w:r w:rsidRPr="00605B5B">
              <w:rPr>
                <w:rFonts w:ascii="Arial" w:eastAsia="Times" w:hAnsi="Arial"/>
              </w:rPr>
              <w:t xml:space="preserve">© State of Victoria, Department of Health </w:t>
            </w:r>
            <w:r>
              <w:rPr>
                <w:rFonts w:ascii="Arial" w:eastAsia="Times" w:hAnsi="Arial"/>
              </w:rPr>
              <w:t>and</w:t>
            </w:r>
            <w:r w:rsidRPr="00605B5B">
              <w:rPr>
                <w:rFonts w:ascii="Arial" w:eastAsia="Times" w:hAnsi="Arial"/>
              </w:rPr>
              <w:t xml:space="preserve"> Human Services</w:t>
            </w:r>
            <w:r w:rsidR="005E5B91" w:rsidRPr="005E5B91">
              <w:rPr>
                <w:rFonts w:ascii="Arial" w:eastAsia="Times" w:hAnsi="Arial"/>
              </w:rPr>
              <w:t xml:space="preserve"> </w:t>
            </w:r>
            <w:r w:rsidR="007F3AFA">
              <w:rPr>
                <w:rFonts w:ascii="Arial" w:eastAsia="Times" w:hAnsi="Arial"/>
              </w:rPr>
              <w:t>May</w:t>
            </w:r>
            <w:bookmarkStart w:id="0" w:name="_GoBack"/>
            <w:bookmarkEnd w:id="0"/>
            <w:r w:rsidR="005E5B91" w:rsidRPr="005E5B91">
              <w:rPr>
                <w:rFonts w:ascii="Arial" w:eastAsia="Times" w:hAnsi="Arial"/>
              </w:rPr>
              <w:t xml:space="preserve"> 2018</w:t>
            </w:r>
            <w:r w:rsidRPr="00605B5B">
              <w:rPr>
                <w:rFonts w:ascii="Arial" w:eastAsia="Times" w:hAnsi="Arial"/>
              </w:rPr>
              <w:t>.</w:t>
            </w:r>
          </w:p>
          <w:p w:rsidR="00C160DE" w:rsidRPr="00135533" w:rsidRDefault="00C160DE" w:rsidP="00CB0B21">
            <w:pPr>
              <w:spacing w:after="120" w:line="270" w:lineRule="atLeast"/>
              <w:rPr>
                <w:rFonts w:ascii="Arial" w:eastAsia="Times" w:hAnsi="Arial" w:cs="Arial"/>
                <w:szCs w:val="19"/>
              </w:rPr>
            </w:pPr>
            <w:r w:rsidRPr="00135533">
              <w:rPr>
                <w:rFonts w:ascii="Arial" w:hAnsi="Arial" w:cs="Arial"/>
                <w:szCs w:val="19"/>
              </w:rPr>
              <w:t xml:space="preserve">Available on the </w:t>
            </w:r>
            <w:hyperlink r:id="rId10" w:history="1">
              <w:r w:rsidRPr="00135533">
                <w:rPr>
                  <w:rStyle w:val="Hyperlink"/>
                  <w:rFonts w:ascii="Arial" w:hAnsi="Arial" w:cs="Arial"/>
                  <w:szCs w:val="19"/>
                </w:rPr>
                <w:t xml:space="preserve">Carbapenemase-producing </w:t>
              </w:r>
              <w:r w:rsidRPr="00135533">
                <w:rPr>
                  <w:rStyle w:val="Hyperlink"/>
                  <w:rFonts w:ascii="Arial" w:hAnsi="Arial" w:cs="Arial"/>
                  <w:i/>
                  <w:szCs w:val="19"/>
                </w:rPr>
                <w:t>Enterobacteriaceae</w:t>
              </w:r>
              <w:r w:rsidRPr="00135533">
                <w:rPr>
                  <w:rStyle w:val="Hyperlink"/>
                  <w:rFonts w:ascii="Arial" w:hAnsi="Arial" w:cs="Arial"/>
                  <w:szCs w:val="19"/>
                </w:rPr>
                <w:t xml:space="preserve"> management guidelines webpage</w:t>
              </w:r>
            </w:hyperlink>
            <w:r w:rsidRPr="00135533">
              <w:rPr>
                <w:rFonts w:ascii="Arial" w:hAnsi="Arial" w:cs="Arial"/>
                <w:szCs w:val="19"/>
              </w:rPr>
              <w:t xml:space="preserve"> </w:t>
            </w:r>
            <w:r w:rsidRPr="00135533">
              <w:rPr>
                <w:rFonts w:ascii="Arial" w:hAnsi="Arial" w:cs="Arial"/>
              </w:rPr>
              <w:t>&lt;https://www2.health.vic.gov.au/public-health/infectious-diseases/infection-control-guidelines/carbapenemase-producing-enterobacteriaceae-management&gt;.</w:t>
            </w:r>
          </w:p>
        </w:tc>
      </w:tr>
      <w:tr w:rsidR="00C160DE" w:rsidRPr="003072C6" w:rsidTr="00CB0B21">
        <w:tc>
          <w:tcPr>
            <w:tcW w:w="9298" w:type="dxa"/>
            <w:vAlign w:val="bottom"/>
          </w:tcPr>
          <w:p w:rsidR="00C160DE" w:rsidRPr="003072C6" w:rsidRDefault="00C160DE" w:rsidP="00CB0B21">
            <w:pPr>
              <w:pStyle w:val="DHHSbody"/>
            </w:pPr>
          </w:p>
        </w:tc>
      </w:tr>
    </w:tbl>
    <w:p w:rsidR="00C160DE" w:rsidRPr="003072C6" w:rsidRDefault="00C160DE" w:rsidP="00CB0B21">
      <w:pPr>
        <w:pStyle w:val="DHHSbody"/>
      </w:pPr>
    </w:p>
    <w:p w:rsidR="00C160DE" w:rsidRPr="00636934" w:rsidRDefault="00C160DE" w:rsidP="00CB0B21">
      <w:pPr>
        <w:pStyle w:val="DHHSTOCheadingreport"/>
      </w:pPr>
      <w:r w:rsidRPr="00636934">
        <w:lastRenderedPageBreak/>
        <w:t>Contents</w:t>
      </w:r>
    </w:p>
    <w:p w:rsidR="00C160DE" w:rsidRDefault="00C160DE">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504988358" w:history="1">
        <w:r w:rsidRPr="00B21A50">
          <w:rPr>
            <w:rStyle w:val="Hyperlink"/>
          </w:rPr>
          <w:t>Acronyms and abbreviations</w:t>
        </w:r>
        <w:r>
          <w:rPr>
            <w:webHidden/>
          </w:rPr>
          <w:tab/>
        </w:r>
        <w:r>
          <w:rPr>
            <w:webHidden/>
          </w:rPr>
          <w:fldChar w:fldCharType="begin"/>
        </w:r>
        <w:r>
          <w:rPr>
            <w:webHidden/>
          </w:rPr>
          <w:instrText xml:space="preserve"> PAGEREF _Toc504988358 \h </w:instrText>
        </w:r>
        <w:r>
          <w:rPr>
            <w:webHidden/>
          </w:rPr>
        </w:r>
        <w:r>
          <w:rPr>
            <w:webHidden/>
          </w:rPr>
          <w:fldChar w:fldCharType="separate"/>
        </w:r>
        <w:r w:rsidR="001C4973">
          <w:rPr>
            <w:webHidden/>
          </w:rPr>
          <w:t>4</w:t>
        </w:r>
        <w:r>
          <w:rPr>
            <w:webHidden/>
          </w:rPr>
          <w:fldChar w:fldCharType="end"/>
        </w:r>
      </w:hyperlink>
    </w:p>
    <w:p w:rsidR="00C160DE" w:rsidRDefault="007F3AFA">
      <w:pPr>
        <w:pStyle w:val="TOC1"/>
        <w:rPr>
          <w:rFonts w:asciiTheme="minorHAnsi" w:eastAsiaTheme="minorEastAsia" w:hAnsiTheme="minorHAnsi" w:cstheme="minorBidi"/>
          <w:b w:val="0"/>
          <w:sz w:val="22"/>
          <w:szCs w:val="22"/>
          <w:lang w:eastAsia="en-AU"/>
        </w:rPr>
      </w:pPr>
      <w:hyperlink w:anchor="_Toc504988359" w:history="1">
        <w:r w:rsidR="00C160DE" w:rsidRPr="00B21A50">
          <w:rPr>
            <w:rStyle w:val="Hyperlink"/>
          </w:rPr>
          <w:t>Glossary</w:t>
        </w:r>
        <w:r w:rsidR="00C160DE">
          <w:rPr>
            <w:webHidden/>
          </w:rPr>
          <w:tab/>
        </w:r>
        <w:r w:rsidR="00C160DE">
          <w:rPr>
            <w:webHidden/>
          </w:rPr>
          <w:fldChar w:fldCharType="begin"/>
        </w:r>
        <w:r w:rsidR="00C160DE">
          <w:rPr>
            <w:webHidden/>
          </w:rPr>
          <w:instrText xml:space="preserve"> PAGEREF _Toc504988359 \h </w:instrText>
        </w:r>
        <w:r w:rsidR="00C160DE">
          <w:rPr>
            <w:webHidden/>
          </w:rPr>
        </w:r>
        <w:r w:rsidR="00C160DE">
          <w:rPr>
            <w:webHidden/>
          </w:rPr>
          <w:fldChar w:fldCharType="separate"/>
        </w:r>
        <w:r w:rsidR="001C4973">
          <w:rPr>
            <w:webHidden/>
          </w:rPr>
          <w:t>5</w:t>
        </w:r>
        <w:r w:rsidR="00C160DE">
          <w:rPr>
            <w:webHidden/>
          </w:rPr>
          <w:fldChar w:fldCharType="end"/>
        </w:r>
      </w:hyperlink>
    </w:p>
    <w:p w:rsidR="00C160DE" w:rsidRDefault="007F3AFA">
      <w:pPr>
        <w:pStyle w:val="TOC1"/>
        <w:rPr>
          <w:rFonts w:asciiTheme="minorHAnsi" w:eastAsiaTheme="minorEastAsia" w:hAnsiTheme="minorHAnsi" w:cstheme="minorBidi"/>
          <w:b w:val="0"/>
          <w:sz w:val="22"/>
          <w:szCs w:val="22"/>
          <w:lang w:eastAsia="en-AU"/>
        </w:rPr>
      </w:pPr>
      <w:hyperlink w:anchor="_Toc504988360" w:history="1">
        <w:r w:rsidR="00C160DE" w:rsidRPr="00B21A50">
          <w:rPr>
            <w:rStyle w:val="Hyperlink"/>
          </w:rPr>
          <w:t>Section 1: Background</w:t>
        </w:r>
        <w:r w:rsidR="00C160DE">
          <w:rPr>
            <w:webHidden/>
          </w:rPr>
          <w:tab/>
        </w:r>
        <w:r w:rsidR="00C160DE">
          <w:rPr>
            <w:webHidden/>
          </w:rPr>
          <w:fldChar w:fldCharType="begin"/>
        </w:r>
        <w:r w:rsidR="00C160DE">
          <w:rPr>
            <w:webHidden/>
          </w:rPr>
          <w:instrText xml:space="preserve"> PAGEREF _Toc504988360 \h </w:instrText>
        </w:r>
        <w:r w:rsidR="00C160DE">
          <w:rPr>
            <w:webHidden/>
          </w:rPr>
        </w:r>
        <w:r w:rsidR="00C160DE">
          <w:rPr>
            <w:webHidden/>
          </w:rPr>
          <w:fldChar w:fldCharType="separate"/>
        </w:r>
        <w:r w:rsidR="001C4973">
          <w:rPr>
            <w:webHidden/>
          </w:rPr>
          <w:t>7</w:t>
        </w:r>
        <w:r w:rsidR="00C160DE">
          <w:rPr>
            <w:webHidden/>
          </w:rPr>
          <w:fldChar w:fldCharType="end"/>
        </w:r>
      </w:hyperlink>
    </w:p>
    <w:p w:rsidR="00C160DE" w:rsidRDefault="007F3AFA">
      <w:pPr>
        <w:pStyle w:val="TOC2"/>
        <w:rPr>
          <w:rFonts w:asciiTheme="minorHAnsi" w:eastAsiaTheme="minorEastAsia" w:hAnsiTheme="minorHAnsi" w:cstheme="minorBidi"/>
          <w:sz w:val="22"/>
          <w:szCs w:val="22"/>
          <w:lang w:eastAsia="en-AU"/>
        </w:rPr>
      </w:pPr>
      <w:hyperlink w:anchor="_Toc504988361" w:history="1">
        <w:r w:rsidR="00C160DE" w:rsidRPr="00B21A50">
          <w:rPr>
            <w:rStyle w:val="Hyperlink"/>
          </w:rPr>
          <w:t xml:space="preserve">Carbapenemase-producing </w:t>
        </w:r>
        <w:r w:rsidR="00C160DE" w:rsidRPr="00B21A50">
          <w:rPr>
            <w:rStyle w:val="Hyperlink"/>
            <w:i/>
          </w:rPr>
          <w:t>Enterobacteriaceae</w:t>
        </w:r>
        <w:r w:rsidR="00C160DE">
          <w:rPr>
            <w:webHidden/>
          </w:rPr>
          <w:tab/>
        </w:r>
        <w:r w:rsidR="00C160DE">
          <w:rPr>
            <w:webHidden/>
          </w:rPr>
          <w:fldChar w:fldCharType="begin"/>
        </w:r>
        <w:r w:rsidR="00C160DE">
          <w:rPr>
            <w:webHidden/>
          </w:rPr>
          <w:instrText xml:space="preserve"> PAGEREF _Toc504988361 \h </w:instrText>
        </w:r>
        <w:r w:rsidR="00C160DE">
          <w:rPr>
            <w:webHidden/>
          </w:rPr>
        </w:r>
        <w:r w:rsidR="00C160DE">
          <w:rPr>
            <w:webHidden/>
          </w:rPr>
          <w:fldChar w:fldCharType="separate"/>
        </w:r>
        <w:r w:rsidR="001C4973">
          <w:rPr>
            <w:webHidden/>
          </w:rPr>
          <w:t>7</w:t>
        </w:r>
        <w:r w:rsidR="00C160DE">
          <w:rPr>
            <w:webHidden/>
          </w:rPr>
          <w:fldChar w:fldCharType="end"/>
        </w:r>
      </w:hyperlink>
    </w:p>
    <w:p w:rsidR="00C160DE" w:rsidRDefault="007F3AFA">
      <w:pPr>
        <w:pStyle w:val="TOC2"/>
        <w:rPr>
          <w:rFonts w:asciiTheme="minorHAnsi" w:eastAsiaTheme="minorEastAsia" w:hAnsiTheme="minorHAnsi" w:cstheme="minorBidi"/>
          <w:sz w:val="22"/>
          <w:szCs w:val="22"/>
          <w:lang w:eastAsia="en-AU"/>
        </w:rPr>
      </w:pPr>
      <w:hyperlink w:anchor="_Toc504988362" w:history="1">
        <w:r w:rsidR="00C160DE" w:rsidRPr="00B21A50">
          <w:rPr>
            <w:rStyle w:val="Hyperlink"/>
          </w:rPr>
          <w:t>Epidemiology of Environmental CPE</w:t>
        </w:r>
        <w:r w:rsidR="00C160DE">
          <w:rPr>
            <w:webHidden/>
          </w:rPr>
          <w:tab/>
        </w:r>
        <w:r w:rsidR="00C160DE">
          <w:rPr>
            <w:webHidden/>
          </w:rPr>
          <w:fldChar w:fldCharType="begin"/>
        </w:r>
        <w:r w:rsidR="00C160DE">
          <w:rPr>
            <w:webHidden/>
          </w:rPr>
          <w:instrText xml:space="preserve"> PAGEREF _Toc504988362 \h </w:instrText>
        </w:r>
        <w:r w:rsidR="00C160DE">
          <w:rPr>
            <w:webHidden/>
          </w:rPr>
        </w:r>
        <w:r w:rsidR="00C160DE">
          <w:rPr>
            <w:webHidden/>
          </w:rPr>
          <w:fldChar w:fldCharType="separate"/>
        </w:r>
        <w:r w:rsidR="001C4973">
          <w:rPr>
            <w:webHidden/>
          </w:rPr>
          <w:t>7</w:t>
        </w:r>
        <w:r w:rsidR="00C160DE">
          <w:rPr>
            <w:webHidden/>
          </w:rPr>
          <w:fldChar w:fldCharType="end"/>
        </w:r>
      </w:hyperlink>
    </w:p>
    <w:p w:rsidR="00C160DE" w:rsidRDefault="007F3AFA">
      <w:pPr>
        <w:pStyle w:val="TOC2"/>
        <w:rPr>
          <w:rFonts w:asciiTheme="minorHAnsi" w:eastAsiaTheme="minorEastAsia" w:hAnsiTheme="minorHAnsi" w:cstheme="minorBidi"/>
          <w:sz w:val="22"/>
          <w:szCs w:val="22"/>
          <w:lang w:eastAsia="en-AU"/>
        </w:rPr>
      </w:pPr>
      <w:hyperlink w:anchor="_Toc504988363" w:history="1">
        <w:r w:rsidR="00C160DE" w:rsidRPr="00B21A50">
          <w:rPr>
            <w:rStyle w:val="Hyperlink"/>
          </w:rPr>
          <w:t>Scope of the Victorian guideline on environmental sampling for CPE</w:t>
        </w:r>
        <w:r w:rsidR="00C160DE">
          <w:rPr>
            <w:webHidden/>
          </w:rPr>
          <w:tab/>
        </w:r>
        <w:r w:rsidR="00C160DE">
          <w:rPr>
            <w:webHidden/>
          </w:rPr>
          <w:fldChar w:fldCharType="begin"/>
        </w:r>
        <w:r w:rsidR="00C160DE">
          <w:rPr>
            <w:webHidden/>
          </w:rPr>
          <w:instrText xml:space="preserve"> PAGEREF _Toc504988363 \h </w:instrText>
        </w:r>
        <w:r w:rsidR="00C160DE">
          <w:rPr>
            <w:webHidden/>
          </w:rPr>
        </w:r>
        <w:r w:rsidR="00C160DE">
          <w:rPr>
            <w:webHidden/>
          </w:rPr>
          <w:fldChar w:fldCharType="separate"/>
        </w:r>
        <w:r w:rsidR="001C4973">
          <w:rPr>
            <w:webHidden/>
          </w:rPr>
          <w:t>8</w:t>
        </w:r>
        <w:r w:rsidR="00C160DE">
          <w:rPr>
            <w:webHidden/>
          </w:rPr>
          <w:fldChar w:fldCharType="end"/>
        </w:r>
      </w:hyperlink>
    </w:p>
    <w:p w:rsidR="00C160DE" w:rsidRDefault="007F3AFA">
      <w:pPr>
        <w:pStyle w:val="TOC1"/>
        <w:rPr>
          <w:rFonts w:asciiTheme="minorHAnsi" w:eastAsiaTheme="minorEastAsia" w:hAnsiTheme="minorHAnsi" w:cstheme="minorBidi"/>
          <w:b w:val="0"/>
          <w:sz w:val="22"/>
          <w:szCs w:val="22"/>
          <w:lang w:eastAsia="en-AU"/>
        </w:rPr>
      </w:pPr>
      <w:hyperlink w:anchor="_Toc504988364" w:history="1">
        <w:r w:rsidR="00C160DE" w:rsidRPr="00B21A50">
          <w:rPr>
            <w:rStyle w:val="Hyperlink"/>
          </w:rPr>
          <w:t>Section 2: Governance</w:t>
        </w:r>
        <w:r w:rsidR="00C160DE">
          <w:rPr>
            <w:webHidden/>
          </w:rPr>
          <w:tab/>
        </w:r>
        <w:r w:rsidR="00C160DE">
          <w:rPr>
            <w:webHidden/>
          </w:rPr>
          <w:fldChar w:fldCharType="begin"/>
        </w:r>
        <w:r w:rsidR="00C160DE">
          <w:rPr>
            <w:webHidden/>
          </w:rPr>
          <w:instrText xml:space="preserve"> PAGEREF _Toc504988364 \h </w:instrText>
        </w:r>
        <w:r w:rsidR="00C160DE">
          <w:rPr>
            <w:webHidden/>
          </w:rPr>
        </w:r>
        <w:r w:rsidR="00C160DE">
          <w:rPr>
            <w:webHidden/>
          </w:rPr>
          <w:fldChar w:fldCharType="separate"/>
        </w:r>
        <w:r w:rsidR="001C4973">
          <w:rPr>
            <w:webHidden/>
          </w:rPr>
          <w:t>10</w:t>
        </w:r>
        <w:r w:rsidR="00C160DE">
          <w:rPr>
            <w:webHidden/>
          </w:rPr>
          <w:fldChar w:fldCharType="end"/>
        </w:r>
      </w:hyperlink>
    </w:p>
    <w:p w:rsidR="00C160DE" w:rsidRDefault="007F3AFA">
      <w:pPr>
        <w:pStyle w:val="TOC2"/>
        <w:rPr>
          <w:rFonts w:asciiTheme="minorHAnsi" w:eastAsiaTheme="minorEastAsia" w:hAnsiTheme="minorHAnsi" w:cstheme="minorBidi"/>
          <w:sz w:val="22"/>
          <w:szCs w:val="22"/>
          <w:lang w:eastAsia="en-AU"/>
        </w:rPr>
      </w:pPr>
      <w:hyperlink w:anchor="_Toc504988365" w:history="1">
        <w:r w:rsidR="00C160DE" w:rsidRPr="00B21A50">
          <w:rPr>
            <w:rStyle w:val="Hyperlink"/>
          </w:rPr>
          <w:t>Roles and responsibilities of all agencies</w:t>
        </w:r>
        <w:r w:rsidR="00C160DE">
          <w:rPr>
            <w:webHidden/>
          </w:rPr>
          <w:tab/>
        </w:r>
        <w:r w:rsidR="00C160DE">
          <w:rPr>
            <w:webHidden/>
          </w:rPr>
          <w:fldChar w:fldCharType="begin"/>
        </w:r>
        <w:r w:rsidR="00C160DE">
          <w:rPr>
            <w:webHidden/>
          </w:rPr>
          <w:instrText xml:space="preserve"> PAGEREF _Toc504988365 \h </w:instrText>
        </w:r>
        <w:r w:rsidR="00C160DE">
          <w:rPr>
            <w:webHidden/>
          </w:rPr>
        </w:r>
        <w:r w:rsidR="00C160DE">
          <w:rPr>
            <w:webHidden/>
          </w:rPr>
          <w:fldChar w:fldCharType="separate"/>
        </w:r>
        <w:r w:rsidR="001C4973">
          <w:rPr>
            <w:webHidden/>
          </w:rPr>
          <w:t>10</w:t>
        </w:r>
        <w:r w:rsidR="00C160DE">
          <w:rPr>
            <w:webHidden/>
          </w:rPr>
          <w:fldChar w:fldCharType="end"/>
        </w:r>
      </w:hyperlink>
    </w:p>
    <w:p w:rsidR="00C160DE" w:rsidRDefault="007F3AFA">
      <w:pPr>
        <w:pStyle w:val="TOC1"/>
        <w:rPr>
          <w:rFonts w:asciiTheme="minorHAnsi" w:eastAsiaTheme="minorEastAsia" w:hAnsiTheme="minorHAnsi" w:cstheme="minorBidi"/>
          <w:b w:val="0"/>
          <w:sz w:val="22"/>
          <w:szCs w:val="22"/>
          <w:lang w:eastAsia="en-AU"/>
        </w:rPr>
      </w:pPr>
      <w:hyperlink w:anchor="_Toc504988366" w:history="1">
        <w:r w:rsidR="00C160DE" w:rsidRPr="00B21A50">
          <w:rPr>
            <w:rStyle w:val="Hyperlink"/>
          </w:rPr>
          <w:t>Section 3: Environmental sampling methods</w:t>
        </w:r>
        <w:r w:rsidR="00C160DE">
          <w:rPr>
            <w:webHidden/>
          </w:rPr>
          <w:tab/>
        </w:r>
        <w:r w:rsidR="00C160DE">
          <w:rPr>
            <w:webHidden/>
          </w:rPr>
          <w:fldChar w:fldCharType="begin"/>
        </w:r>
        <w:r w:rsidR="00C160DE">
          <w:rPr>
            <w:webHidden/>
          </w:rPr>
          <w:instrText xml:space="preserve"> PAGEREF _Toc504988366 \h </w:instrText>
        </w:r>
        <w:r w:rsidR="00C160DE">
          <w:rPr>
            <w:webHidden/>
          </w:rPr>
        </w:r>
        <w:r w:rsidR="00C160DE">
          <w:rPr>
            <w:webHidden/>
          </w:rPr>
          <w:fldChar w:fldCharType="separate"/>
        </w:r>
        <w:r w:rsidR="001C4973">
          <w:rPr>
            <w:webHidden/>
          </w:rPr>
          <w:t>12</w:t>
        </w:r>
        <w:r w:rsidR="00C160DE">
          <w:rPr>
            <w:webHidden/>
          </w:rPr>
          <w:fldChar w:fldCharType="end"/>
        </w:r>
      </w:hyperlink>
    </w:p>
    <w:p w:rsidR="00C160DE" w:rsidRDefault="007F3AFA">
      <w:pPr>
        <w:pStyle w:val="TOC2"/>
        <w:rPr>
          <w:rFonts w:asciiTheme="minorHAnsi" w:eastAsiaTheme="minorEastAsia" w:hAnsiTheme="minorHAnsi" w:cstheme="minorBidi"/>
          <w:sz w:val="22"/>
          <w:szCs w:val="22"/>
          <w:lang w:eastAsia="en-AU"/>
        </w:rPr>
      </w:pPr>
      <w:hyperlink w:anchor="_Toc504988367" w:history="1">
        <w:r w:rsidR="00C160DE" w:rsidRPr="00B21A50">
          <w:rPr>
            <w:rStyle w:val="Hyperlink"/>
          </w:rPr>
          <w:t>Choosing sites to sample</w:t>
        </w:r>
        <w:r w:rsidR="00C160DE">
          <w:rPr>
            <w:webHidden/>
          </w:rPr>
          <w:tab/>
        </w:r>
        <w:r w:rsidR="00C160DE">
          <w:rPr>
            <w:webHidden/>
          </w:rPr>
          <w:fldChar w:fldCharType="begin"/>
        </w:r>
        <w:r w:rsidR="00C160DE">
          <w:rPr>
            <w:webHidden/>
          </w:rPr>
          <w:instrText xml:space="preserve"> PAGEREF _Toc504988367 \h </w:instrText>
        </w:r>
        <w:r w:rsidR="00C160DE">
          <w:rPr>
            <w:webHidden/>
          </w:rPr>
        </w:r>
        <w:r w:rsidR="00C160DE">
          <w:rPr>
            <w:webHidden/>
          </w:rPr>
          <w:fldChar w:fldCharType="separate"/>
        </w:r>
        <w:r w:rsidR="001C4973">
          <w:rPr>
            <w:webHidden/>
          </w:rPr>
          <w:t>12</w:t>
        </w:r>
        <w:r w:rsidR="00C160DE">
          <w:rPr>
            <w:webHidden/>
          </w:rPr>
          <w:fldChar w:fldCharType="end"/>
        </w:r>
      </w:hyperlink>
    </w:p>
    <w:p w:rsidR="00C160DE" w:rsidRDefault="007F3AFA">
      <w:pPr>
        <w:pStyle w:val="TOC2"/>
        <w:rPr>
          <w:rFonts w:asciiTheme="minorHAnsi" w:eastAsiaTheme="minorEastAsia" w:hAnsiTheme="minorHAnsi" w:cstheme="minorBidi"/>
          <w:sz w:val="22"/>
          <w:szCs w:val="22"/>
          <w:lang w:eastAsia="en-AU"/>
        </w:rPr>
      </w:pPr>
      <w:hyperlink w:anchor="_Toc504988368" w:history="1">
        <w:r w:rsidR="00C160DE" w:rsidRPr="00B21A50">
          <w:rPr>
            <w:rStyle w:val="Hyperlink"/>
          </w:rPr>
          <w:t>Recommended collection methods</w:t>
        </w:r>
        <w:r w:rsidR="00C160DE">
          <w:rPr>
            <w:webHidden/>
          </w:rPr>
          <w:tab/>
        </w:r>
        <w:r w:rsidR="00C160DE">
          <w:rPr>
            <w:webHidden/>
          </w:rPr>
          <w:fldChar w:fldCharType="begin"/>
        </w:r>
        <w:r w:rsidR="00C160DE">
          <w:rPr>
            <w:webHidden/>
          </w:rPr>
          <w:instrText xml:space="preserve"> PAGEREF _Toc504988368 \h </w:instrText>
        </w:r>
        <w:r w:rsidR="00C160DE">
          <w:rPr>
            <w:webHidden/>
          </w:rPr>
        </w:r>
        <w:r w:rsidR="00C160DE">
          <w:rPr>
            <w:webHidden/>
          </w:rPr>
          <w:fldChar w:fldCharType="separate"/>
        </w:r>
        <w:r w:rsidR="001C4973">
          <w:rPr>
            <w:webHidden/>
          </w:rPr>
          <w:t>12</w:t>
        </w:r>
        <w:r w:rsidR="00C160DE">
          <w:rPr>
            <w:webHidden/>
          </w:rPr>
          <w:fldChar w:fldCharType="end"/>
        </w:r>
      </w:hyperlink>
    </w:p>
    <w:p w:rsidR="00C160DE" w:rsidRDefault="007F3AFA">
      <w:pPr>
        <w:pStyle w:val="TOC1"/>
        <w:rPr>
          <w:rFonts w:asciiTheme="minorHAnsi" w:eastAsiaTheme="minorEastAsia" w:hAnsiTheme="minorHAnsi" w:cstheme="minorBidi"/>
          <w:b w:val="0"/>
          <w:sz w:val="22"/>
          <w:szCs w:val="22"/>
          <w:lang w:eastAsia="en-AU"/>
        </w:rPr>
      </w:pPr>
      <w:hyperlink w:anchor="_Toc504988369" w:history="1">
        <w:r w:rsidR="00C160DE" w:rsidRPr="00B21A50">
          <w:rPr>
            <w:rStyle w:val="Hyperlink"/>
          </w:rPr>
          <w:t>Section 4: Laboratory methods</w:t>
        </w:r>
        <w:r w:rsidR="00C160DE">
          <w:rPr>
            <w:webHidden/>
          </w:rPr>
          <w:tab/>
        </w:r>
        <w:r w:rsidR="00C160DE">
          <w:rPr>
            <w:webHidden/>
          </w:rPr>
          <w:fldChar w:fldCharType="begin"/>
        </w:r>
        <w:r w:rsidR="00C160DE">
          <w:rPr>
            <w:webHidden/>
          </w:rPr>
          <w:instrText xml:space="preserve"> PAGEREF _Toc504988369 \h </w:instrText>
        </w:r>
        <w:r w:rsidR="00C160DE">
          <w:rPr>
            <w:webHidden/>
          </w:rPr>
        </w:r>
        <w:r w:rsidR="00C160DE">
          <w:rPr>
            <w:webHidden/>
          </w:rPr>
          <w:fldChar w:fldCharType="separate"/>
        </w:r>
        <w:r w:rsidR="001C4973">
          <w:rPr>
            <w:webHidden/>
          </w:rPr>
          <w:t>14</w:t>
        </w:r>
        <w:r w:rsidR="00C160DE">
          <w:rPr>
            <w:webHidden/>
          </w:rPr>
          <w:fldChar w:fldCharType="end"/>
        </w:r>
      </w:hyperlink>
    </w:p>
    <w:p w:rsidR="00C160DE" w:rsidRDefault="007F3AFA">
      <w:pPr>
        <w:pStyle w:val="TOC2"/>
        <w:rPr>
          <w:rFonts w:asciiTheme="minorHAnsi" w:eastAsiaTheme="minorEastAsia" w:hAnsiTheme="minorHAnsi" w:cstheme="minorBidi"/>
          <w:sz w:val="22"/>
          <w:szCs w:val="22"/>
          <w:lang w:eastAsia="en-AU"/>
        </w:rPr>
      </w:pPr>
      <w:hyperlink w:anchor="_Toc504988370" w:history="1">
        <w:r w:rsidR="00C160DE" w:rsidRPr="00B21A50">
          <w:rPr>
            <w:rStyle w:val="Hyperlink"/>
          </w:rPr>
          <w:t>Laboratory methods for processing samples</w:t>
        </w:r>
        <w:r w:rsidR="00C160DE">
          <w:rPr>
            <w:webHidden/>
          </w:rPr>
          <w:tab/>
        </w:r>
        <w:r w:rsidR="00C160DE">
          <w:rPr>
            <w:webHidden/>
          </w:rPr>
          <w:fldChar w:fldCharType="begin"/>
        </w:r>
        <w:r w:rsidR="00C160DE">
          <w:rPr>
            <w:webHidden/>
          </w:rPr>
          <w:instrText xml:space="preserve"> PAGEREF _Toc504988370 \h </w:instrText>
        </w:r>
        <w:r w:rsidR="00C160DE">
          <w:rPr>
            <w:webHidden/>
          </w:rPr>
        </w:r>
        <w:r w:rsidR="00C160DE">
          <w:rPr>
            <w:webHidden/>
          </w:rPr>
          <w:fldChar w:fldCharType="separate"/>
        </w:r>
        <w:r w:rsidR="001C4973">
          <w:rPr>
            <w:webHidden/>
          </w:rPr>
          <w:t>14</w:t>
        </w:r>
        <w:r w:rsidR="00C160DE">
          <w:rPr>
            <w:webHidden/>
          </w:rPr>
          <w:fldChar w:fldCharType="end"/>
        </w:r>
      </w:hyperlink>
    </w:p>
    <w:p w:rsidR="00C160DE" w:rsidRDefault="007F3AFA">
      <w:pPr>
        <w:pStyle w:val="TOC2"/>
        <w:rPr>
          <w:rFonts w:asciiTheme="minorHAnsi" w:eastAsiaTheme="minorEastAsia" w:hAnsiTheme="minorHAnsi" w:cstheme="minorBidi"/>
          <w:sz w:val="22"/>
          <w:szCs w:val="22"/>
          <w:lang w:eastAsia="en-AU"/>
        </w:rPr>
      </w:pPr>
      <w:hyperlink w:anchor="_Toc504988371" w:history="1">
        <w:r w:rsidR="00C160DE" w:rsidRPr="00B21A50">
          <w:rPr>
            <w:rStyle w:val="Hyperlink"/>
          </w:rPr>
          <w:t>Methods for detecting CPE</w:t>
        </w:r>
        <w:r w:rsidR="00C160DE">
          <w:rPr>
            <w:webHidden/>
          </w:rPr>
          <w:tab/>
        </w:r>
        <w:r w:rsidR="00C160DE">
          <w:rPr>
            <w:webHidden/>
          </w:rPr>
          <w:fldChar w:fldCharType="begin"/>
        </w:r>
        <w:r w:rsidR="00C160DE">
          <w:rPr>
            <w:webHidden/>
          </w:rPr>
          <w:instrText xml:space="preserve"> PAGEREF _Toc504988371 \h </w:instrText>
        </w:r>
        <w:r w:rsidR="00C160DE">
          <w:rPr>
            <w:webHidden/>
          </w:rPr>
        </w:r>
        <w:r w:rsidR="00C160DE">
          <w:rPr>
            <w:webHidden/>
          </w:rPr>
          <w:fldChar w:fldCharType="separate"/>
        </w:r>
        <w:r w:rsidR="001C4973">
          <w:rPr>
            <w:webHidden/>
          </w:rPr>
          <w:t>14</w:t>
        </w:r>
        <w:r w:rsidR="00C160DE">
          <w:rPr>
            <w:webHidden/>
          </w:rPr>
          <w:fldChar w:fldCharType="end"/>
        </w:r>
      </w:hyperlink>
    </w:p>
    <w:p w:rsidR="00C160DE" w:rsidRDefault="007F3AFA">
      <w:pPr>
        <w:pStyle w:val="TOC2"/>
        <w:rPr>
          <w:rFonts w:asciiTheme="minorHAnsi" w:eastAsiaTheme="minorEastAsia" w:hAnsiTheme="minorHAnsi" w:cstheme="minorBidi"/>
          <w:sz w:val="22"/>
          <w:szCs w:val="22"/>
          <w:lang w:eastAsia="en-AU"/>
        </w:rPr>
      </w:pPr>
      <w:hyperlink w:anchor="_Toc504988372" w:history="1">
        <w:r w:rsidR="00C160DE" w:rsidRPr="00B21A50">
          <w:rPr>
            <w:rStyle w:val="Hyperlink"/>
          </w:rPr>
          <w:t>Role of the reference laboratory</w:t>
        </w:r>
        <w:r w:rsidR="00C160DE">
          <w:rPr>
            <w:webHidden/>
          </w:rPr>
          <w:tab/>
        </w:r>
        <w:r w:rsidR="00C160DE">
          <w:rPr>
            <w:webHidden/>
          </w:rPr>
          <w:fldChar w:fldCharType="begin"/>
        </w:r>
        <w:r w:rsidR="00C160DE">
          <w:rPr>
            <w:webHidden/>
          </w:rPr>
          <w:instrText xml:space="preserve"> PAGEREF _Toc504988372 \h </w:instrText>
        </w:r>
        <w:r w:rsidR="00C160DE">
          <w:rPr>
            <w:webHidden/>
          </w:rPr>
        </w:r>
        <w:r w:rsidR="00C160DE">
          <w:rPr>
            <w:webHidden/>
          </w:rPr>
          <w:fldChar w:fldCharType="separate"/>
        </w:r>
        <w:r w:rsidR="001C4973">
          <w:rPr>
            <w:webHidden/>
          </w:rPr>
          <w:t>15</w:t>
        </w:r>
        <w:r w:rsidR="00C160DE">
          <w:rPr>
            <w:webHidden/>
          </w:rPr>
          <w:fldChar w:fldCharType="end"/>
        </w:r>
      </w:hyperlink>
    </w:p>
    <w:p w:rsidR="00C160DE" w:rsidRDefault="007F3AFA">
      <w:pPr>
        <w:pStyle w:val="TOC1"/>
        <w:rPr>
          <w:rFonts w:asciiTheme="minorHAnsi" w:eastAsiaTheme="minorEastAsia" w:hAnsiTheme="minorHAnsi" w:cstheme="minorBidi"/>
          <w:b w:val="0"/>
          <w:sz w:val="22"/>
          <w:szCs w:val="22"/>
          <w:lang w:eastAsia="en-AU"/>
        </w:rPr>
      </w:pPr>
      <w:hyperlink w:anchor="_Toc504988373" w:history="1">
        <w:r w:rsidR="00C160DE" w:rsidRPr="00B21A50">
          <w:rPr>
            <w:rStyle w:val="Hyperlink"/>
          </w:rPr>
          <w:t>Section 5: Reporting requirements</w:t>
        </w:r>
        <w:r w:rsidR="00C160DE">
          <w:rPr>
            <w:webHidden/>
          </w:rPr>
          <w:tab/>
        </w:r>
        <w:r w:rsidR="00C160DE">
          <w:rPr>
            <w:webHidden/>
          </w:rPr>
          <w:fldChar w:fldCharType="begin"/>
        </w:r>
        <w:r w:rsidR="00C160DE">
          <w:rPr>
            <w:webHidden/>
          </w:rPr>
          <w:instrText xml:space="preserve"> PAGEREF _Toc504988373 \h </w:instrText>
        </w:r>
        <w:r w:rsidR="00C160DE">
          <w:rPr>
            <w:webHidden/>
          </w:rPr>
        </w:r>
        <w:r w:rsidR="00C160DE">
          <w:rPr>
            <w:webHidden/>
          </w:rPr>
          <w:fldChar w:fldCharType="separate"/>
        </w:r>
        <w:r w:rsidR="001C4973">
          <w:rPr>
            <w:webHidden/>
          </w:rPr>
          <w:t>17</w:t>
        </w:r>
        <w:r w:rsidR="00C160DE">
          <w:rPr>
            <w:webHidden/>
          </w:rPr>
          <w:fldChar w:fldCharType="end"/>
        </w:r>
      </w:hyperlink>
    </w:p>
    <w:p w:rsidR="00C160DE" w:rsidRDefault="007F3AFA">
      <w:pPr>
        <w:pStyle w:val="TOC2"/>
        <w:rPr>
          <w:rFonts w:asciiTheme="minorHAnsi" w:eastAsiaTheme="minorEastAsia" w:hAnsiTheme="minorHAnsi" w:cstheme="minorBidi"/>
          <w:sz w:val="22"/>
          <w:szCs w:val="22"/>
          <w:lang w:eastAsia="en-AU"/>
        </w:rPr>
      </w:pPr>
      <w:hyperlink w:anchor="_Toc504988374" w:history="1">
        <w:r w:rsidR="00C160DE" w:rsidRPr="00B21A50">
          <w:rPr>
            <w:rStyle w:val="Hyperlink"/>
          </w:rPr>
          <w:t>Requirements for primary diagnostic laboratories to report cases</w:t>
        </w:r>
        <w:r w:rsidR="00C160DE">
          <w:rPr>
            <w:webHidden/>
          </w:rPr>
          <w:tab/>
        </w:r>
        <w:r w:rsidR="00C160DE">
          <w:rPr>
            <w:webHidden/>
          </w:rPr>
          <w:fldChar w:fldCharType="begin"/>
        </w:r>
        <w:r w:rsidR="00C160DE">
          <w:rPr>
            <w:webHidden/>
          </w:rPr>
          <w:instrText xml:space="preserve"> PAGEREF _Toc504988374 \h </w:instrText>
        </w:r>
        <w:r w:rsidR="00C160DE">
          <w:rPr>
            <w:webHidden/>
          </w:rPr>
        </w:r>
        <w:r w:rsidR="00C160DE">
          <w:rPr>
            <w:webHidden/>
          </w:rPr>
          <w:fldChar w:fldCharType="separate"/>
        </w:r>
        <w:r w:rsidR="001C4973">
          <w:rPr>
            <w:webHidden/>
          </w:rPr>
          <w:t>17</w:t>
        </w:r>
        <w:r w:rsidR="00C160DE">
          <w:rPr>
            <w:webHidden/>
          </w:rPr>
          <w:fldChar w:fldCharType="end"/>
        </w:r>
      </w:hyperlink>
    </w:p>
    <w:p w:rsidR="00C160DE" w:rsidRDefault="007F3AFA">
      <w:pPr>
        <w:pStyle w:val="TOC2"/>
        <w:rPr>
          <w:rFonts w:asciiTheme="minorHAnsi" w:eastAsiaTheme="minorEastAsia" w:hAnsiTheme="minorHAnsi" w:cstheme="minorBidi"/>
          <w:sz w:val="22"/>
          <w:szCs w:val="22"/>
          <w:lang w:eastAsia="en-AU"/>
        </w:rPr>
      </w:pPr>
      <w:hyperlink w:anchor="_Toc504988375" w:history="1">
        <w:r w:rsidR="00C160DE" w:rsidRPr="00B21A50">
          <w:rPr>
            <w:rStyle w:val="Hyperlink"/>
          </w:rPr>
          <w:t>Reporting environmental screening results to the VCIMT</w:t>
        </w:r>
        <w:r w:rsidR="00C160DE">
          <w:rPr>
            <w:webHidden/>
          </w:rPr>
          <w:tab/>
        </w:r>
        <w:r w:rsidR="00C160DE">
          <w:rPr>
            <w:webHidden/>
          </w:rPr>
          <w:fldChar w:fldCharType="begin"/>
        </w:r>
        <w:r w:rsidR="00C160DE">
          <w:rPr>
            <w:webHidden/>
          </w:rPr>
          <w:instrText xml:space="preserve"> PAGEREF _Toc504988375 \h </w:instrText>
        </w:r>
        <w:r w:rsidR="00C160DE">
          <w:rPr>
            <w:webHidden/>
          </w:rPr>
        </w:r>
        <w:r w:rsidR="00C160DE">
          <w:rPr>
            <w:webHidden/>
          </w:rPr>
          <w:fldChar w:fldCharType="separate"/>
        </w:r>
        <w:r w:rsidR="001C4973">
          <w:rPr>
            <w:webHidden/>
          </w:rPr>
          <w:t>17</w:t>
        </w:r>
        <w:r w:rsidR="00C160DE">
          <w:rPr>
            <w:webHidden/>
          </w:rPr>
          <w:fldChar w:fldCharType="end"/>
        </w:r>
      </w:hyperlink>
    </w:p>
    <w:p w:rsidR="00C160DE" w:rsidRDefault="007F3AFA">
      <w:pPr>
        <w:pStyle w:val="TOC1"/>
        <w:rPr>
          <w:rFonts w:asciiTheme="minorHAnsi" w:eastAsiaTheme="minorEastAsia" w:hAnsiTheme="minorHAnsi" w:cstheme="minorBidi"/>
          <w:b w:val="0"/>
          <w:sz w:val="22"/>
          <w:szCs w:val="22"/>
          <w:lang w:eastAsia="en-AU"/>
        </w:rPr>
      </w:pPr>
      <w:hyperlink w:anchor="_Toc504988376" w:history="1">
        <w:r w:rsidR="00C160DE" w:rsidRPr="00B21A50">
          <w:rPr>
            <w:rStyle w:val="Hyperlink"/>
          </w:rPr>
          <w:t>Section 6: Response to identification of CPE in the environment</w:t>
        </w:r>
        <w:r w:rsidR="00C160DE">
          <w:rPr>
            <w:webHidden/>
          </w:rPr>
          <w:tab/>
        </w:r>
        <w:r w:rsidR="00C160DE">
          <w:rPr>
            <w:webHidden/>
          </w:rPr>
          <w:fldChar w:fldCharType="begin"/>
        </w:r>
        <w:r w:rsidR="00C160DE">
          <w:rPr>
            <w:webHidden/>
          </w:rPr>
          <w:instrText xml:space="preserve"> PAGEREF _Toc504988376 \h </w:instrText>
        </w:r>
        <w:r w:rsidR="00C160DE">
          <w:rPr>
            <w:webHidden/>
          </w:rPr>
        </w:r>
        <w:r w:rsidR="00C160DE">
          <w:rPr>
            <w:webHidden/>
          </w:rPr>
          <w:fldChar w:fldCharType="separate"/>
        </w:r>
        <w:r w:rsidR="001C4973">
          <w:rPr>
            <w:webHidden/>
          </w:rPr>
          <w:t>18</w:t>
        </w:r>
        <w:r w:rsidR="00C160DE">
          <w:rPr>
            <w:webHidden/>
          </w:rPr>
          <w:fldChar w:fldCharType="end"/>
        </w:r>
      </w:hyperlink>
    </w:p>
    <w:p w:rsidR="00C160DE" w:rsidRDefault="007F3AFA">
      <w:pPr>
        <w:pStyle w:val="TOC2"/>
        <w:rPr>
          <w:rFonts w:asciiTheme="minorHAnsi" w:eastAsiaTheme="minorEastAsia" w:hAnsiTheme="minorHAnsi" w:cstheme="minorBidi"/>
          <w:sz w:val="22"/>
          <w:szCs w:val="22"/>
          <w:lang w:eastAsia="en-AU"/>
        </w:rPr>
      </w:pPr>
      <w:hyperlink w:anchor="_Toc504988377" w:history="1">
        <w:r w:rsidR="00C160DE" w:rsidRPr="00B21A50">
          <w:rPr>
            <w:rStyle w:val="Hyperlink"/>
          </w:rPr>
          <w:t>Enhancement of cleaning practices</w:t>
        </w:r>
        <w:r w:rsidR="00C160DE">
          <w:rPr>
            <w:webHidden/>
          </w:rPr>
          <w:tab/>
        </w:r>
        <w:r w:rsidR="00C160DE">
          <w:rPr>
            <w:webHidden/>
          </w:rPr>
          <w:fldChar w:fldCharType="begin"/>
        </w:r>
        <w:r w:rsidR="00C160DE">
          <w:rPr>
            <w:webHidden/>
          </w:rPr>
          <w:instrText xml:space="preserve"> PAGEREF _Toc504988377 \h </w:instrText>
        </w:r>
        <w:r w:rsidR="00C160DE">
          <w:rPr>
            <w:webHidden/>
          </w:rPr>
        </w:r>
        <w:r w:rsidR="00C160DE">
          <w:rPr>
            <w:webHidden/>
          </w:rPr>
          <w:fldChar w:fldCharType="separate"/>
        </w:r>
        <w:r w:rsidR="001C4973">
          <w:rPr>
            <w:webHidden/>
          </w:rPr>
          <w:t>18</w:t>
        </w:r>
        <w:r w:rsidR="00C160DE">
          <w:rPr>
            <w:webHidden/>
          </w:rPr>
          <w:fldChar w:fldCharType="end"/>
        </w:r>
      </w:hyperlink>
    </w:p>
    <w:p w:rsidR="00C160DE" w:rsidRDefault="007F3AFA">
      <w:pPr>
        <w:pStyle w:val="TOC2"/>
        <w:rPr>
          <w:rFonts w:asciiTheme="minorHAnsi" w:eastAsiaTheme="minorEastAsia" w:hAnsiTheme="minorHAnsi" w:cstheme="minorBidi"/>
          <w:sz w:val="22"/>
          <w:szCs w:val="22"/>
          <w:lang w:eastAsia="en-AU"/>
        </w:rPr>
      </w:pPr>
      <w:hyperlink w:anchor="_Toc504988378" w:history="1">
        <w:r w:rsidR="00C160DE" w:rsidRPr="00B21A50">
          <w:rPr>
            <w:rStyle w:val="Hyperlink"/>
          </w:rPr>
          <w:t>Contaminated clinical hand basins</w:t>
        </w:r>
        <w:r w:rsidR="00C160DE">
          <w:rPr>
            <w:webHidden/>
          </w:rPr>
          <w:tab/>
        </w:r>
        <w:r w:rsidR="00C160DE">
          <w:rPr>
            <w:webHidden/>
          </w:rPr>
          <w:fldChar w:fldCharType="begin"/>
        </w:r>
        <w:r w:rsidR="00C160DE">
          <w:rPr>
            <w:webHidden/>
          </w:rPr>
          <w:instrText xml:space="preserve"> PAGEREF _Toc504988378 \h </w:instrText>
        </w:r>
        <w:r w:rsidR="00C160DE">
          <w:rPr>
            <w:webHidden/>
          </w:rPr>
        </w:r>
        <w:r w:rsidR="00C160DE">
          <w:rPr>
            <w:webHidden/>
          </w:rPr>
          <w:fldChar w:fldCharType="separate"/>
        </w:r>
        <w:r w:rsidR="001C4973">
          <w:rPr>
            <w:webHidden/>
          </w:rPr>
          <w:t>18</w:t>
        </w:r>
        <w:r w:rsidR="00C160DE">
          <w:rPr>
            <w:webHidden/>
          </w:rPr>
          <w:fldChar w:fldCharType="end"/>
        </w:r>
      </w:hyperlink>
    </w:p>
    <w:p w:rsidR="00C160DE" w:rsidRDefault="007F3AFA">
      <w:pPr>
        <w:pStyle w:val="TOC2"/>
        <w:rPr>
          <w:rFonts w:asciiTheme="minorHAnsi" w:eastAsiaTheme="minorEastAsia" w:hAnsiTheme="minorHAnsi" w:cstheme="minorBidi"/>
          <w:sz w:val="22"/>
          <w:szCs w:val="22"/>
          <w:lang w:eastAsia="en-AU"/>
        </w:rPr>
      </w:pPr>
      <w:hyperlink w:anchor="_Toc504988379" w:history="1">
        <w:r w:rsidR="00C160DE" w:rsidRPr="00B21A50">
          <w:rPr>
            <w:rStyle w:val="Hyperlink"/>
          </w:rPr>
          <w:t>Contaminated toilets</w:t>
        </w:r>
        <w:r w:rsidR="00C160DE">
          <w:rPr>
            <w:webHidden/>
          </w:rPr>
          <w:tab/>
        </w:r>
        <w:r w:rsidR="00C160DE">
          <w:rPr>
            <w:webHidden/>
          </w:rPr>
          <w:fldChar w:fldCharType="begin"/>
        </w:r>
        <w:r w:rsidR="00C160DE">
          <w:rPr>
            <w:webHidden/>
          </w:rPr>
          <w:instrText xml:space="preserve"> PAGEREF _Toc504988379 \h </w:instrText>
        </w:r>
        <w:r w:rsidR="00C160DE">
          <w:rPr>
            <w:webHidden/>
          </w:rPr>
        </w:r>
        <w:r w:rsidR="00C160DE">
          <w:rPr>
            <w:webHidden/>
          </w:rPr>
          <w:fldChar w:fldCharType="separate"/>
        </w:r>
        <w:r w:rsidR="001C4973">
          <w:rPr>
            <w:webHidden/>
          </w:rPr>
          <w:t>19</w:t>
        </w:r>
        <w:r w:rsidR="00C160DE">
          <w:rPr>
            <w:webHidden/>
          </w:rPr>
          <w:fldChar w:fldCharType="end"/>
        </w:r>
      </w:hyperlink>
    </w:p>
    <w:p w:rsidR="00C160DE" w:rsidRDefault="007F3AFA">
      <w:pPr>
        <w:pStyle w:val="TOC1"/>
        <w:rPr>
          <w:rFonts w:asciiTheme="minorHAnsi" w:eastAsiaTheme="minorEastAsia" w:hAnsiTheme="minorHAnsi" w:cstheme="minorBidi"/>
          <w:b w:val="0"/>
          <w:sz w:val="22"/>
          <w:szCs w:val="22"/>
          <w:lang w:eastAsia="en-AU"/>
        </w:rPr>
      </w:pPr>
      <w:hyperlink w:anchor="_Toc504988380" w:history="1">
        <w:r w:rsidR="00C160DE" w:rsidRPr="00B21A50">
          <w:rPr>
            <w:rStyle w:val="Hyperlink"/>
          </w:rPr>
          <w:t>References:</w:t>
        </w:r>
        <w:r w:rsidR="00C160DE">
          <w:rPr>
            <w:webHidden/>
          </w:rPr>
          <w:tab/>
        </w:r>
        <w:r w:rsidR="00C160DE">
          <w:rPr>
            <w:webHidden/>
          </w:rPr>
          <w:fldChar w:fldCharType="begin"/>
        </w:r>
        <w:r w:rsidR="00C160DE">
          <w:rPr>
            <w:webHidden/>
          </w:rPr>
          <w:instrText xml:space="preserve"> PAGEREF _Toc504988380 \h </w:instrText>
        </w:r>
        <w:r w:rsidR="00C160DE">
          <w:rPr>
            <w:webHidden/>
          </w:rPr>
        </w:r>
        <w:r w:rsidR="00C160DE">
          <w:rPr>
            <w:webHidden/>
          </w:rPr>
          <w:fldChar w:fldCharType="separate"/>
        </w:r>
        <w:r w:rsidR="001C4973">
          <w:rPr>
            <w:webHidden/>
          </w:rPr>
          <w:t>20</w:t>
        </w:r>
        <w:r w:rsidR="00C160DE">
          <w:rPr>
            <w:webHidden/>
          </w:rPr>
          <w:fldChar w:fldCharType="end"/>
        </w:r>
      </w:hyperlink>
    </w:p>
    <w:p w:rsidR="00C160DE" w:rsidRDefault="007F3AFA">
      <w:pPr>
        <w:pStyle w:val="TOC1"/>
        <w:rPr>
          <w:rFonts w:asciiTheme="minorHAnsi" w:eastAsiaTheme="minorEastAsia" w:hAnsiTheme="minorHAnsi" w:cstheme="minorBidi"/>
          <w:b w:val="0"/>
          <w:sz w:val="22"/>
          <w:szCs w:val="22"/>
          <w:lang w:eastAsia="en-AU"/>
        </w:rPr>
      </w:pPr>
      <w:hyperlink w:anchor="_Toc504988381" w:history="1">
        <w:r w:rsidR="00C160DE" w:rsidRPr="00B21A50">
          <w:rPr>
            <w:rStyle w:val="Hyperlink"/>
          </w:rPr>
          <w:t>Appendix A: Selective media</w:t>
        </w:r>
        <w:r w:rsidR="00C160DE">
          <w:rPr>
            <w:webHidden/>
          </w:rPr>
          <w:tab/>
        </w:r>
        <w:r w:rsidR="00C160DE">
          <w:rPr>
            <w:webHidden/>
          </w:rPr>
          <w:fldChar w:fldCharType="begin"/>
        </w:r>
        <w:r w:rsidR="00C160DE">
          <w:rPr>
            <w:webHidden/>
          </w:rPr>
          <w:instrText xml:space="preserve"> PAGEREF _Toc504988381 \h </w:instrText>
        </w:r>
        <w:r w:rsidR="00C160DE">
          <w:rPr>
            <w:webHidden/>
          </w:rPr>
        </w:r>
        <w:r w:rsidR="00C160DE">
          <w:rPr>
            <w:webHidden/>
          </w:rPr>
          <w:fldChar w:fldCharType="separate"/>
        </w:r>
        <w:r w:rsidR="001C4973">
          <w:rPr>
            <w:webHidden/>
          </w:rPr>
          <w:t>22</w:t>
        </w:r>
        <w:r w:rsidR="00C160DE">
          <w:rPr>
            <w:webHidden/>
          </w:rPr>
          <w:fldChar w:fldCharType="end"/>
        </w:r>
      </w:hyperlink>
    </w:p>
    <w:p w:rsidR="00C160DE" w:rsidRPr="003072C6" w:rsidRDefault="00C160DE" w:rsidP="00CB0B21">
      <w:pPr>
        <w:pStyle w:val="TOC2"/>
        <w:rPr>
          <w:noProof w:val="0"/>
        </w:rPr>
      </w:pPr>
      <w:r w:rsidRPr="003072C6">
        <w:rPr>
          <w:noProof w:val="0"/>
        </w:rPr>
        <w:fldChar w:fldCharType="end"/>
      </w:r>
    </w:p>
    <w:p w:rsidR="00C160DE" w:rsidRPr="003072C6" w:rsidRDefault="00C160DE" w:rsidP="00CB0B21">
      <w:pPr>
        <w:pStyle w:val="DHHSbody"/>
      </w:pPr>
      <w:r w:rsidRPr="003072C6">
        <w:br w:type="page"/>
      </w:r>
    </w:p>
    <w:p w:rsidR="00C160DE" w:rsidRPr="003072C6" w:rsidRDefault="00C160DE" w:rsidP="00CB0B21">
      <w:pPr>
        <w:pStyle w:val="DHHSbody"/>
        <w:sectPr w:rsidR="00C160DE" w:rsidRPr="003072C6" w:rsidSect="00CB0B21">
          <w:pgSz w:w="11906" w:h="16838"/>
          <w:pgMar w:top="1701" w:right="1304" w:bottom="1134" w:left="1304" w:header="454" w:footer="567" w:gutter="0"/>
          <w:cols w:space="720"/>
          <w:docGrid w:linePitch="360"/>
        </w:sectPr>
      </w:pPr>
    </w:p>
    <w:p w:rsidR="00C160DE" w:rsidRDefault="00C160DE" w:rsidP="00CB0B21">
      <w:pPr>
        <w:pStyle w:val="Heading1"/>
        <w:spacing w:before="0"/>
      </w:pPr>
      <w:bookmarkStart w:id="1" w:name="_Toc480979828"/>
      <w:bookmarkStart w:id="2" w:name="_Toc504988358"/>
      <w:r>
        <w:lastRenderedPageBreak/>
        <w:t>Acronyms and abbreviations</w:t>
      </w:r>
      <w:bookmarkEnd w:id="1"/>
      <w:bookmarkEnd w:id="2"/>
    </w:p>
    <w:p w:rsidR="00C160DE" w:rsidRDefault="00C160DE" w:rsidP="00CB0B21">
      <w:pPr>
        <w:pStyle w:val="DHHSbody"/>
        <w:tabs>
          <w:tab w:val="left" w:pos="1985"/>
        </w:tabs>
      </w:pPr>
      <w:r>
        <w:t>AMR</w:t>
      </w:r>
      <w:r>
        <w:tab/>
        <w:t>antimicrobial resistance</w:t>
      </w:r>
    </w:p>
    <w:p w:rsidR="00C160DE" w:rsidRDefault="00C160DE" w:rsidP="00CB0B21">
      <w:pPr>
        <w:pStyle w:val="DHHSbody"/>
        <w:tabs>
          <w:tab w:val="left" w:pos="1985"/>
        </w:tabs>
      </w:pPr>
      <w:r>
        <w:t>CDS</w:t>
      </w:r>
      <w:r>
        <w:tab/>
        <w:t>calibrated dichotomous s</w:t>
      </w:r>
      <w:r w:rsidRPr="0033495D">
        <w:t>ensitivity</w:t>
      </w:r>
      <w:r>
        <w:t xml:space="preserve"> test</w:t>
      </w:r>
    </w:p>
    <w:p w:rsidR="00C160DE" w:rsidRDefault="00C160DE" w:rsidP="00CB0B21">
      <w:pPr>
        <w:pStyle w:val="DHHSbody"/>
        <w:tabs>
          <w:tab w:val="left" w:pos="1985"/>
        </w:tabs>
      </w:pPr>
      <w:r>
        <w:t>CLSI</w:t>
      </w:r>
      <w:r>
        <w:tab/>
      </w:r>
      <w:r w:rsidRPr="0033495D">
        <w:t>Clinical Laboratory Standards Institute</w:t>
      </w:r>
    </w:p>
    <w:p w:rsidR="00C160DE" w:rsidRDefault="00C160DE" w:rsidP="00CB0B21">
      <w:pPr>
        <w:pStyle w:val="DHHSbody"/>
        <w:tabs>
          <w:tab w:val="left" w:pos="1985"/>
        </w:tabs>
      </w:pPr>
      <w:r>
        <w:t>CPE</w:t>
      </w:r>
      <w:r>
        <w:tab/>
        <w:t xml:space="preserve">carbapenemase-producing </w:t>
      </w:r>
      <w:r w:rsidRPr="009E52FA">
        <w:rPr>
          <w:i/>
        </w:rPr>
        <w:t>Enterobacteriaceae</w:t>
      </w:r>
    </w:p>
    <w:p w:rsidR="00C160DE" w:rsidRDefault="00C160DE" w:rsidP="00CB0B21">
      <w:pPr>
        <w:pStyle w:val="DHHSbody"/>
        <w:tabs>
          <w:tab w:val="left" w:pos="1985"/>
        </w:tabs>
        <w:rPr>
          <w:i/>
        </w:rPr>
      </w:pPr>
      <w:r>
        <w:t>CRE</w:t>
      </w:r>
      <w:r>
        <w:tab/>
        <w:t xml:space="preserve">carbapenem-resistant </w:t>
      </w:r>
      <w:r w:rsidRPr="009E52FA">
        <w:rPr>
          <w:i/>
        </w:rPr>
        <w:t>Enterobacteriaceae</w:t>
      </w:r>
    </w:p>
    <w:p w:rsidR="00C160DE" w:rsidRDefault="00C160DE" w:rsidP="00CB0B21">
      <w:pPr>
        <w:pStyle w:val="DHHSbody"/>
        <w:tabs>
          <w:tab w:val="left" w:pos="1985"/>
        </w:tabs>
      </w:pPr>
      <w:r w:rsidRPr="00C92EA1">
        <w:t>EUCAST</w:t>
      </w:r>
      <w:r>
        <w:tab/>
      </w:r>
      <w:r w:rsidRPr="0033495D">
        <w:t>European Committee on Antimicrobial Susceptibility Testing</w:t>
      </w:r>
    </w:p>
    <w:p w:rsidR="00C160DE" w:rsidRDefault="00C160DE" w:rsidP="00CB0B21">
      <w:pPr>
        <w:pStyle w:val="DHHSbody"/>
        <w:tabs>
          <w:tab w:val="left" w:pos="1985"/>
        </w:tabs>
      </w:pPr>
      <w:r>
        <w:t>HI</w:t>
      </w:r>
      <w:r>
        <w:tab/>
        <w:t>heart infusion</w:t>
      </w:r>
    </w:p>
    <w:p w:rsidR="00C160DE" w:rsidRDefault="00C160DE" w:rsidP="00CB0B21">
      <w:pPr>
        <w:pStyle w:val="DHHSbody"/>
        <w:tabs>
          <w:tab w:val="left" w:pos="1985"/>
        </w:tabs>
      </w:pPr>
      <w:r>
        <w:t>HSIMT</w:t>
      </w:r>
      <w:r>
        <w:tab/>
        <w:t>health service incident management team</w:t>
      </w:r>
    </w:p>
    <w:p w:rsidR="00C160DE" w:rsidRDefault="00C160DE" w:rsidP="00CB0B21">
      <w:pPr>
        <w:pStyle w:val="DHHSbody"/>
        <w:tabs>
          <w:tab w:val="left" w:pos="1985"/>
        </w:tabs>
      </w:pPr>
      <w:r>
        <w:t>ICU</w:t>
      </w:r>
      <w:r>
        <w:tab/>
        <w:t>intensive care unit</w:t>
      </w:r>
    </w:p>
    <w:p w:rsidR="00C160DE" w:rsidRDefault="00C160DE" w:rsidP="00CB0B21">
      <w:pPr>
        <w:pStyle w:val="DHHSbody"/>
        <w:tabs>
          <w:tab w:val="left" w:pos="1985"/>
        </w:tabs>
      </w:pPr>
      <w:r w:rsidRPr="00C77320">
        <w:t>IMP</w:t>
      </w:r>
      <w:r>
        <w:tab/>
        <w:t>i</w:t>
      </w:r>
      <w:r w:rsidRPr="00C77320">
        <w:t>mipenemase metallo-</w:t>
      </w:r>
      <w:r>
        <w:rPr>
          <w:rFonts w:cs="Arial"/>
        </w:rPr>
        <w:t>β</w:t>
      </w:r>
      <w:r>
        <w:t>-</w:t>
      </w:r>
      <w:r w:rsidRPr="00C77320">
        <w:t>lactamase</w:t>
      </w:r>
    </w:p>
    <w:p w:rsidR="00C160DE" w:rsidRDefault="00C160DE" w:rsidP="00CB0B21">
      <w:pPr>
        <w:pStyle w:val="DHHSbody"/>
        <w:tabs>
          <w:tab w:val="left" w:pos="1985"/>
        </w:tabs>
      </w:pPr>
      <w:r>
        <w:t>KPC</w:t>
      </w:r>
      <w:r>
        <w:tab/>
      </w:r>
      <w:r w:rsidRPr="009E52FA">
        <w:rPr>
          <w:i/>
        </w:rPr>
        <w:t xml:space="preserve">Klebsiella pneumonia </w:t>
      </w:r>
      <w:r>
        <w:t>carbapenemase</w:t>
      </w:r>
    </w:p>
    <w:p w:rsidR="00C160DE" w:rsidRDefault="00C160DE" w:rsidP="00CB0B21">
      <w:pPr>
        <w:pStyle w:val="DHHSbody"/>
        <w:tabs>
          <w:tab w:val="left" w:pos="1985"/>
        </w:tabs>
      </w:pPr>
      <w:r>
        <w:t>LTRCF</w:t>
      </w:r>
      <w:r>
        <w:tab/>
        <w:t>long-term residential care facilities</w:t>
      </w:r>
    </w:p>
    <w:p w:rsidR="00C160DE" w:rsidRDefault="00C160DE" w:rsidP="00CB0B21">
      <w:pPr>
        <w:pStyle w:val="DHHSbody"/>
        <w:tabs>
          <w:tab w:val="left" w:pos="1985"/>
        </w:tabs>
      </w:pPr>
      <w:r>
        <w:t>MDU PHL</w:t>
      </w:r>
      <w:r>
        <w:tab/>
        <w:t>Microbiological Diagnostic Unit Public Health Laboratory</w:t>
      </w:r>
    </w:p>
    <w:p w:rsidR="00C160DE" w:rsidRDefault="00C160DE" w:rsidP="00CB0B21">
      <w:pPr>
        <w:pStyle w:val="DHHSbody"/>
        <w:tabs>
          <w:tab w:val="left" w:pos="1985"/>
        </w:tabs>
      </w:pPr>
      <w:r>
        <w:t>MIC</w:t>
      </w:r>
      <w:r>
        <w:tab/>
        <w:t>minimal inhibitory concentration</w:t>
      </w:r>
    </w:p>
    <w:p w:rsidR="00C160DE" w:rsidRDefault="00C160DE" w:rsidP="00CB0B21">
      <w:pPr>
        <w:pStyle w:val="DHHSbody"/>
        <w:tabs>
          <w:tab w:val="left" w:pos="1985"/>
        </w:tabs>
      </w:pPr>
      <w:r>
        <w:t>NDM</w:t>
      </w:r>
      <w:r>
        <w:tab/>
        <w:t>New Delhi metallo-</w:t>
      </w:r>
      <w:r>
        <w:rPr>
          <w:rFonts w:cs="Arial"/>
        </w:rPr>
        <w:t>β</w:t>
      </w:r>
      <w:r>
        <w:t>-lactamase</w:t>
      </w:r>
    </w:p>
    <w:p w:rsidR="00C160DE" w:rsidRDefault="00C160DE" w:rsidP="00CB0B21">
      <w:pPr>
        <w:pStyle w:val="DHHSbody"/>
        <w:tabs>
          <w:tab w:val="left" w:pos="1985"/>
        </w:tabs>
      </w:pPr>
      <w:r>
        <w:t>OXA-48-like</w:t>
      </w:r>
      <w:r>
        <w:tab/>
        <w:t xml:space="preserve">oxacillinase-48-like </w:t>
      </w:r>
      <w:proofErr w:type="spellStart"/>
      <w:r>
        <w:t>carbapenemases</w:t>
      </w:r>
      <w:proofErr w:type="spellEnd"/>
    </w:p>
    <w:p w:rsidR="00C160DE" w:rsidRDefault="00C160DE" w:rsidP="00CB0B21">
      <w:pPr>
        <w:pStyle w:val="DHHSbody"/>
        <w:tabs>
          <w:tab w:val="left" w:pos="1985"/>
        </w:tabs>
      </w:pPr>
      <w:r>
        <w:t>PCR</w:t>
      </w:r>
      <w:r>
        <w:tab/>
        <w:t>polymerase chain reaction</w:t>
      </w:r>
    </w:p>
    <w:p w:rsidR="00C160DE" w:rsidRDefault="00C160DE" w:rsidP="00CB0B21">
      <w:pPr>
        <w:pStyle w:val="DHHSbody"/>
        <w:tabs>
          <w:tab w:val="left" w:pos="1985"/>
        </w:tabs>
      </w:pPr>
      <w:r>
        <w:t>PPE</w:t>
      </w:r>
      <w:r>
        <w:tab/>
        <w:t>personal protective equipment</w:t>
      </w:r>
    </w:p>
    <w:p w:rsidR="00C160DE" w:rsidRDefault="00C160DE" w:rsidP="00CB0B21">
      <w:pPr>
        <w:pStyle w:val="DHHSbody"/>
        <w:tabs>
          <w:tab w:val="left" w:pos="1985"/>
        </w:tabs>
      </w:pPr>
      <w:r>
        <w:t>the department</w:t>
      </w:r>
      <w:r>
        <w:tab/>
        <w:t>Department of Health and Human Services</w:t>
      </w:r>
    </w:p>
    <w:p w:rsidR="00C160DE" w:rsidRDefault="00C160DE" w:rsidP="00CB0B21">
      <w:pPr>
        <w:pStyle w:val="DHHSbody"/>
        <w:tabs>
          <w:tab w:val="left" w:pos="1985"/>
        </w:tabs>
      </w:pPr>
      <w:r>
        <w:t>TRA</w:t>
      </w:r>
      <w:r>
        <w:tab/>
        <w:t>transmission risk area</w:t>
      </w:r>
    </w:p>
    <w:p w:rsidR="00C160DE" w:rsidRDefault="00C160DE" w:rsidP="00CB0B21">
      <w:pPr>
        <w:pStyle w:val="DHHSbody"/>
        <w:tabs>
          <w:tab w:val="left" w:pos="1985"/>
        </w:tabs>
      </w:pPr>
      <w:r>
        <w:t>TSB</w:t>
      </w:r>
      <w:r>
        <w:tab/>
      </w:r>
      <w:proofErr w:type="spellStart"/>
      <w:r>
        <w:t>tryptone</w:t>
      </w:r>
      <w:proofErr w:type="spellEnd"/>
      <w:r>
        <w:t xml:space="preserve"> soy broth</w:t>
      </w:r>
    </w:p>
    <w:p w:rsidR="00C160DE" w:rsidRDefault="00C160DE" w:rsidP="00CB0B21">
      <w:pPr>
        <w:pStyle w:val="DHHSbody"/>
        <w:tabs>
          <w:tab w:val="left" w:pos="1985"/>
        </w:tabs>
      </w:pPr>
      <w:r>
        <w:t>VCIMT</w:t>
      </w:r>
      <w:r>
        <w:tab/>
        <w:t>Victorian CPE Incident Management Team</w:t>
      </w:r>
    </w:p>
    <w:p w:rsidR="00C160DE" w:rsidRDefault="00C160DE" w:rsidP="00CB0B21">
      <w:pPr>
        <w:pStyle w:val="DHHSbody"/>
        <w:tabs>
          <w:tab w:val="left" w:pos="1985"/>
        </w:tabs>
      </w:pPr>
      <w:r>
        <w:t>VCSRU</w:t>
      </w:r>
      <w:r>
        <w:tab/>
        <w:t>Victorian CPE Surveillance and Response Unit</w:t>
      </w:r>
    </w:p>
    <w:p w:rsidR="00C160DE" w:rsidRDefault="00C160DE" w:rsidP="00CB0B21">
      <w:pPr>
        <w:pStyle w:val="DHHSbody"/>
        <w:tabs>
          <w:tab w:val="left" w:pos="1985"/>
        </w:tabs>
      </w:pPr>
      <w:r>
        <w:t>VICNISS</w:t>
      </w:r>
      <w:r>
        <w:tab/>
        <w:t>VICNISS Healthcare Associated Infection Surveillance Coordinating Centre</w:t>
      </w:r>
    </w:p>
    <w:p w:rsidR="00C160DE" w:rsidRDefault="00C160DE" w:rsidP="00CB0B21">
      <w:pPr>
        <w:pStyle w:val="DHHSbody"/>
        <w:tabs>
          <w:tab w:val="left" w:pos="1985"/>
        </w:tabs>
      </w:pPr>
      <w:r>
        <w:t>VIM</w:t>
      </w:r>
      <w:r>
        <w:tab/>
      </w:r>
      <w:proofErr w:type="spellStart"/>
      <w:r>
        <w:t>verona</w:t>
      </w:r>
      <w:proofErr w:type="spellEnd"/>
      <w:r>
        <w:t xml:space="preserve"> integrin-encoded metallo-</w:t>
      </w:r>
      <w:r>
        <w:rPr>
          <w:rFonts w:cs="Arial"/>
        </w:rPr>
        <w:t>β</w:t>
      </w:r>
      <w:r>
        <w:t>-lactamase</w:t>
      </w:r>
    </w:p>
    <w:p w:rsidR="00C160DE" w:rsidRDefault="00C160DE">
      <w:pPr>
        <w:rPr>
          <w:rFonts w:ascii="Arial" w:hAnsi="Arial"/>
          <w:bCs/>
          <w:color w:val="004EA8"/>
          <w:sz w:val="44"/>
          <w:szCs w:val="44"/>
        </w:rPr>
      </w:pPr>
      <w:r>
        <w:br w:type="page"/>
      </w:r>
    </w:p>
    <w:p w:rsidR="00C160DE" w:rsidRPr="00AB50C1" w:rsidRDefault="00C160DE" w:rsidP="00CB0B21">
      <w:pPr>
        <w:pStyle w:val="Heading1"/>
      </w:pPr>
      <w:bookmarkStart w:id="3" w:name="_Toc480979829"/>
      <w:bookmarkStart w:id="4" w:name="_Toc504988359"/>
      <w:r w:rsidRPr="00AA629B">
        <w:rPr>
          <w:rStyle w:val="Heading1Char"/>
        </w:rPr>
        <w:lastRenderedPageBreak/>
        <w:t>Glossary</w:t>
      </w:r>
      <w:bookmarkEnd w:id="3"/>
      <w:bookmarkEnd w:id="4"/>
    </w:p>
    <w:tbl>
      <w:tblPr>
        <w:tblStyle w:val="TableGrid"/>
        <w:tblW w:w="0" w:type="auto"/>
        <w:tblBorders>
          <w:top w:val="single" w:sz="4" w:space="0" w:color="004EA8"/>
          <w:left w:val="none" w:sz="0" w:space="0" w:color="auto"/>
          <w:bottom w:val="single" w:sz="4" w:space="0" w:color="004EA8"/>
          <w:right w:val="none" w:sz="0" w:space="0" w:color="auto"/>
          <w:insideH w:val="single" w:sz="4" w:space="0" w:color="004EA8"/>
          <w:insideV w:val="none" w:sz="0" w:space="0" w:color="auto"/>
        </w:tblBorders>
        <w:tblLook w:val="04A0" w:firstRow="1" w:lastRow="0" w:firstColumn="1" w:lastColumn="0" w:noHBand="0" w:noVBand="1"/>
      </w:tblPr>
      <w:tblGrid>
        <w:gridCol w:w="3118"/>
        <w:gridCol w:w="6180"/>
      </w:tblGrid>
      <w:tr w:rsidR="00C160DE" w:rsidRPr="002F4444" w:rsidTr="00CB0B21">
        <w:trPr>
          <w:cantSplit/>
        </w:trPr>
        <w:tc>
          <w:tcPr>
            <w:tcW w:w="3118" w:type="dxa"/>
          </w:tcPr>
          <w:p w:rsidR="00C160DE" w:rsidRPr="002F4444" w:rsidRDefault="00C160DE" w:rsidP="00CB0B21">
            <w:pPr>
              <w:pStyle w:val="DHHStablecolhead"/>
              <w:rPr>
                <w:lang w:val="en-GB"/>
              </w:rPr>
            </w:pPr>
            <w:r w:rsidRPr="002F4444">
              <w:rPr>
                <w:lang w:val="en-GB"/>
              </w:rPr>
              <w:t xml:space="preserve">Carbapenemase-producing </w:t>
            </w:r>
            <w:r w:rsidRPr="002F4444">
              <w:rPr>
                <w:i/>
                <w:lang w:val="en-GB"/>
              </w:rPr>
              <w:t>Enterobacteriaceae</w:t>
            </w:r>
          </w:p>
        </w:tc>
        <w:tc>
          <w:tcPr>
            <w:tcW w:w="6180" w:type="dxa"/>
          </w:tcPr>
          <w:p w:rsidR="00C160DE" w:rsidRPr="002F4444" w:rsidRDefault="00C160DE" w:rsidP="00CB0B21">
            <w:pPr>
              <w:pStyle w:val="DHHStabletext"/>
              <w:rPr>
                <w:lang w:val="en-GB"/>
              </w:rPr>
            </w:pPr>
            <w:r w:rsidRPr="002F4444">
              <w:rPr>
                <w:lang w:val="en-GB"/>
              </w:rPr>
              <w:t xml:space="preserve">The term carbapenemase-producing </w:t>
            </w:r>
            <w:r w:rsidRPr="002F4444">
              <w:rPr>
                <w:i/>
                <w:lang w:val="en-GB"/>
              </w:rPr>
              <w:t>Enterobacteriaceae</w:t>
            </w:r>
            <w:r w:rsidRPr="002F4444">
              <w:rPr>
                <w:lang w:val="en-GB"/>
              </w:rPr>
              <w:t xml:space="preserve"> (CPE) refers to bacteria that are members of the family </w:t>
            </w:r>
            <w:r w:rsidRPr="002F4444">
              <w:rPr>
                <w:i/>
                <w:lang w:val="en-GB"/>
              </w:rPr>
              <w:t>Enterobacteriaceae</w:t>
            </w:r>
            <w:r w:rsidRPr="002F4444">
              <w:rPr>
                <w:lang w:val="en-GB"/>
              </w:rPr>
              <w:t xml:space="preserve"> that have been identified to carry a carbapenemase gene.</w:t>
            </w:r>
          </w:p>
        </w:tc>
      </w:tr>
      <w:tr w:rsidR="00C160DE" w:rsidRPr="002F4444" w:rsidTr="00CB0B21">
        <w:trPr>
          <w:cantSplit/>
        </w:trPr>
        <w:tc>
          <w:tcPr>
            <w:tcW w:w="3118" w:type="dxa"/>
          </w:tcPr>
          <w:p w:rsidR="00C160DE" w:rsidRPr="002F4444" w:rsidRDefault="00C160DE" w:rsidP="00CB0B21">
            <w:pPr>
              <w:pStyle w:val="DHHStablecolhead"/>
              <w:rPr>
                <w:lang w:val="en-GB"/>
              </w:rPr>
            </w:pPr>
            <w:r w:rsidRPr="002F4444">
              <w:rPr>
                <w:lang w:val="en-GB"/>
              </w:rPr>
              <w:t xml:space="preserve">Carbapenem-resistant </w:t>
            </w:r>
            <w:r w:rsidRPr="002F4444">
              <w:rPr>
                <w:i/>
                <w:lang w:val="en-GB"/>
              </w:rPr>
              <w:t>Enterobacteriaceae</w:t>
            </w:r>
          </w:p>
        </w:tc>
        <w:tc>
          <w:tcPr>
            <w:tcW w:w="6180" w:type="dxa"/>
          </w:tcPr>
          <w:p w:rsidR="00C160DE" w:rsidRPr="002F4444" w:rsidRDefault="00C160DE" w:rsidP="00CB0B21">
            <w:pPr>
              <w:pStyle w:val="DHHStabletext"/>
              <w:rPr>
                <w:lang w:val="en-GB"/>
              </w:rPr>
            </w:pPr>
            <w:r w:rsidRPr="002F4444">
              <w:rPr>
                <w:lang w:val="en-GB"/>
              </w:rPr>
              <w:t xml:space="preserve">The term carbapenem-resistant </w:t>
            </w:r>
            <w:r w:rsidRPr="002F4444">
              <w:rPr>
                <w:i/>
                <w:lang w:val="en-GB"/>
              </w:rPr>
              <w:t>Enterobacteriaceae</w:t>
            </w:r>
            <w:r w:rsidRPr="002F4444">
              <w:rPr>
                <w:lang w:val="en-GB"/>
              </w:rPr>
              <w:t xml:space="preserve"> (CRE) refers to bacteria that are members of the family </w:t>
            </w:r>
            <w:r w:rsidRPr="002F4444">
              <w:rPr>
                <w:i/>
                <w:lang w:val="en-GB"/>
              </w:rPr>
              <w:t>Enterobacteriaceae</w:t>
            </w:r>
            <w:r w:rsidRPr="002F4444">
              <w:rPr>
                <w:lang w:val="en-GB"/>
              </w:rPr>
              <w:t xml:space="preserve"> that have been found to have resistance to carbapenem antibiotics by any mechanism.</w:t>
            </w:r>
          </w:p>
        </w:tc>
      </w:tr>
      <w:tr w:rsidR="00C160DE" w:rsidRPr="002F4444" w:rsidTr="00CB0B21">
        <w:trPr>
          <w:cantSplit/>
        </w:trPr>
        <w:tc>
          <w:tcPr>
            <w:tcW w:w="3118" w:type="dxa"/>
          </w:tcPr>
          <w:p w:rsidR="00C160DE" w:rsidRPr="002F4444" w:rsidRDefault="00C160DE" w:rsidP="00CB0B21">
            <w:pPr>
              <w:pStyle w:val="DHHStablecolhead"/>
              <w:rPr>
                <w:lang w:val="en-GB"/>
              </w:rPr>
            </w:pPr>
            <w:r w:rsidRPr="002F4444">
              <w:rPr>
                <w:lang w:val="en-GB"/>
              </w:rPr>
              <w:t>Case</w:t>
            </w:r>
          </w:p>
        </w:tc>
        <w:tc>
          <w:tcPr>
            <w:tcW w:w="6180" w:type="dxa"/>
          </w:tcPr>
          <w:p w:rsidR="00C160DE" w:rsidRPr="002F4444" w:rsidRDefault="00C160DE" w:rsidP="00CB0B21">
            <w:pPr>
              <w:pStyle w:val="DHHStabletext"/>
              <w:rPr>
                <w:b/>
                <w:lang w:val="en-US"/>
              </w:rPr>
            </w:pPr>
            <w:r w:rsidRPr="002F4444">
              <w:rPr>
                <w:b/>
                <w:lang w:val="en-GB"/>
              </w:rPr>
              <w:t>Suspected case</w:t>
            </w:r>
          </w:p>
          <w:p w:rsidR="00C160DE" w:rsidRPr="002F4444" w:rsidRDefault="00C160DE" w:rsidP="00CB0B21">
            <w:pPr>
              <w:pStyle w:val="DHHStabletext"/>
              <w:rPr>
                <w:lang w:val="en-US"/>
              </w:rPr>
            </w:pPr>
            <w:r w:rsidRPr="002F4444">
              <w:rPr>
                <w:lang w:val="en-US"/>
              </w:rPr>
              <w:t xml:space="preserve">A person with a species of </w:t>
            </w:r>
            <w:r w:rsidRPr="002F4444">
              <w:rPr>
                <w:i/>
                <w:lang w:val="en-US"/>
              </w:rPr>
              <w:t xml:space="preserve">Enterobacteriaceae </w:t>
            </w:r>
            <w:r w:rsidRPr="002F4444">
              <w:rPr>
                <w:lang w:val="en-US"/>
              </w:rPr>
              <w:t xml:space="preserve">isolated from routine clinical or screening specimens (infection or </w:t>
            </w:r>
            <w:proofErr w:type="spellStart"/>
            <w:r w:rsidRPr="002F4444">
              <w:rPr>
                <w:lang w:val="en-US"/>
              </w:rPr>
              <w:t>colonisation</w:t>
            </w:r>
            <w:proofErr w:type="spellEnd"/>
            <w:r w:rsidRPr="002F4444">
              <w:rPr>
                <w:lang w:val="en-US"/>
              </w:rPr>
              <w:t>), with any of the following:</w:t>
            </w:r>
          </w:p>
          <w:p w:rsidR="00C160DE" w:rsidRPr="002F4444" w:rsidRDefault="00C160DE" w:rsidP="00C160DE">
            <w:pPr>
              <w:pStyle w:val="DHHStablebullet"/>
            </w:pPr>
            <w:r w:rsidRPr="002F4444">
              <w:t xml:space="preserve">meropenem minimum inhibitory concentrations (MIC) ≥ 0.5mg/L, or disc diffusion zone ≤ 24 mm using Clinical Laboratory Standards Institute (CLSI) or European Committee on Antimicrobial Susceptibility Testing (EUCAST), or calibrated dichotomous sensitivity test (CDS) disc diffusion zone ≤ 6 mm, </w:t>
            </w:r>
            <w:r w:rsidRPr="002F4444">
              <w:rPr>
                <w:b/>
              </w:rPr>
              <w:t>or</w:t>
            </w:r>
          </w:p>
          <w:p w:rsidR="00C160DE" w:rsidRPr="002F4444" w:rsidRDefault="00C160DE" w:rsidP="00C160DE">
            <w:pPr>
              <w:pStyle w:val="DHHStablebullet"/>
            </w:pPr>
            <w:r w:rsidRPr="002F4444">
              <w:t xml:space="preserve">phenotypic resistance to any carbapenem where the MIC is above the clinical breakpoint as defined by CLSI or EUCAST or zone diameter suggests resistance by CDS, </w:t>
            </w:r>
            <w:r w:rsidRPr="002F4444">
              <w:rPr>
                <w:b/>
              </w:rPr>
              <w:t>or</w:t>
            </w:r>
          </w:p>
          <w:p w:rsidR="00C160DE" w:rsidRPr="002F4444" w:rsidRDefault="00C160DE" w:rsidP="00C160DE">
            <w:pPr>
              <w:pStyle w:val="DHHStablebullet"/>
            </w:pPr>
            <w:r w:rsidRPr="002F4444">
              <w:rPr>
                <w:lang w:val="en-US"/>
              </w:rPr>
              <w:t>positive colorimetric test for carbapenemase (</w:t>
            </w:r>
            <w:proofErr w:type="spellStart"/>
            <w:r w:rsidRPr="002F4444">
              <w:rPr>
                <w:lang w:val="en-US"/>
              </w:rPr>
              <w:t>CarbaNP</w:t>
            </w:r>
            <w:proofErr w:type="spellEnd"/>
            <w:r w:rsidRPr="002F4444">
              <w:rPr>
                <w:lang w:val="en-US"/>
              </w:rPr>
              <w:t xml:space="preserve"> or Blue-</w:t>
            </w:r>
            <w:proofErr w:type="spellStart"/>
            <w:r w:rsidRPr="002F4444">
              <w:rPr>
                <w:lang w:val="en-US"/>
              </w:rPr>
              <w:t>Carba</w:t>
            </w:r>
            <w:proofErr w:type="spellEnd"/>
            <w:r w:rsidRPr="002F4444">
              <w:rPr>
                <w:lang w:val="en-US"/>
              </w:rPr>
              <w:t>).</w:t>
            </w:r>
          </w:p>
          <w:p w:rsidR="00C160DE" w:rsidRPr="002F4444" w:rsidRDefault="00C160DE" w:rsidP="00CB0B21">
            <w:pPr>
              <w:pStyle w:val="DHHStabletext"/>
              <w:rPr>
                <w:lang w:val="en-US"/>
              </w:rPr>
            </w:pPr>
            <w:r w:rsidRPr="002F4444">
              <w:rPr>
                <w:lang w:val="en-US"/>
              </w:rPr>
              <w:t xml:space="preserve">This definition of a suspected case will capture patients who are </w:t>
            </w:r>
            <w:proofErr w:type="spellStart"/>
            <w:r w:rsidRPr="002F4444">
              <w:rPr>
                <w:lang w:val="en-US"/>
              </w:rPr>
              <w:t>colonised</w:t>
            </w:r>
            <w:proofErr w:type="spellEnd"/>
            <w:r w:rsidRPr="002F4444">
              <w:rPr>
                <w:lang w:val="en-US"/>
              </w:rPr>
              <w:t xml:space="preserve"> or infected with bacteria that are more likely to eventually be found to be either CRE or CPE, in recognition of the need to take similar infection control action at the initial point of suspicion, prior to determining whether the bacteria is CPE.</w:t>
            </w:r>
          </w:p>
          <w:p w:rsidR="00C160DE" w:rsidRPr="002F4444" w:rsidRDefault="00C160DE" w:rsidP="00CB0B21">
            <w:pPr>
              <w:pStyle w:val="DHHStabletext"/>
              <w:rPr>
                <w:b/>
                <w:lang w:val="en-GB"/>
              </w:rPr>
            </w:pPr>
            <w:r w:rsidRPr="002F4444">
              <w:rPr>
                <w:b/>
                <w:lang w:val="en-GB"/>
              </w:rPr>
              <w:t>Confirmed case</w:t>
            </w:r>
          </w:p>
          <w:p w:rsidR="00C160DE" w:rsidRPr="002F4444" w:rsidRDefault="00C160DE" w:rsidP="00CB0B21">
            <w:pPr>
              <w:pStyle w:val="DHHStabletext"/>
            </w:pPr>
            <w:r w:rsidRPr="002F4444">
              <w:t>A person meeting the definition of a suspected case and where a carbapenemase gene is detected in a sample or isolate irrespective of phenotypic susceptibility, for example, KPC</w:t>
            </w:r>
            <w:r>
              <w:t>-</w:t>
            </w:r>
            <w:r w:rsidRPr="002F4444">
              <w:t xml:space="preserve">2 gene-positive </w:t>
            </w:r>
            <w:r w:rsidRPr="002F4444">
              <w:rPr>
                <w:i/>
              </w:rPr>
              <w:t>Klebsiella pneumoniae</w:t>
            </w:r>
            <w:r w:rsidRPr="002F4444">
              <w:t>.</w:t>
            </w:r>
          </w:p>
          <w:p w:rsidR="00C160DE" w:rsidRPr="002F4444" w:rsidRDefault="00C160DE" w:rsidP="00CB0B21">
            <w:pPr>
              <w:pStyle w:val="DHHStabletext"/>
              <w:rPr>
                <w:lang w:val="en-GB"/>
              </w:rPr>
            </w:pPr>
            <w:r w:rsidRPr="002F4444">
              <w:t>This definition intends for the term ‘confirmed case’ to refer to a person who is colonised or infected with a CPE.</w:t>
            </w:r>
          </w:p>
        </w:tc>
      </w:tr>
      <w:tr w:rsidR="00C160DE" w:rsidRPr="002F4444" w:rsidTr="00CB0B21">
        <w:trPr>
          <w:cantSplit/>
        </w:trPr>
        <w:tc>
          <w:tcPr>
            <w:tcW w:w="3118" w:type="dxa"/>
          </w:tcPr>
          <w:p w:rsidR="00C160DE" w:rsidRPr="002F4444" w:rsidRDefault="00C160DE" w:rsidP="00CB0B21">
            <w:pPr>
              <w:pStyle w:val="DHHStablecolhead"/>
              <w:rPr>
                <w:lang w:val="en-GB"/>
              </w:rPr>
            </w:pPr>
            <w:r w:rsidRPr="002F4444">
              <w:rPr>
                <w:lang w:val="en-GB"/>
              </w:rPr>
              <w:t>Frequently touched surfaces</w:t>
            </w:r>
          </w:p>
        </w:tc>
        <w:tc>
          <w:tcPr>
            <w:tcW w:w="6180" w:type="dxa"/>
          </w:tcPr>
          <w:p w:rsidR="00C160DE" w:rsidRPr="002F4444" w:rsidRDefault="00C160DE" w:rsidP="00CB0B21">
            <w:pPr>
              <w:pStyle w:val="DHHStabletext"/>
              <w:rPr>
                <w:lang w:val="en-GB"/>
              </w:rPr>
            </w:pPr>
            <w:r w:rsidRPr="002F4444">
              <w:rPr>
                <w:lang w:val="en-GB"/>
              </w:rPr>
              <w:t xml:space="preserve">As per national guidelines, environmental surfaces can be classified into two groups – those with minimal hand contact (for example, floors and ceilings) and those with frequent </w:t>
            </w:r>
            <w:r>
              <w:rPr>
                <w:lang w:val="en-GB"/>
              </w:rPr>
              <w:t>hand</w:t>
            </w:r>
            <w:r w:rsidRPr="002F4444">
              <w:rPr>
                <w:lang w:val="en-GB"/>
              </w:rPr>
              <w:t xml:space="preserve"> contact (‘frequently touched’ or ‘high-risk’ surfaces). Examples of frequently touched surfaces include doorknobs, bedrails, over-bed tables, light switches, table</w:t>
            </w:r>
            <w:r>
              <w:rPr>
                <w:lang w:val="en-GB"/>
              </w:rPr>
              <w:t xml:space="preserve"> </w:t>
            </w:r>
            <w:r w:rsidRPr="002F4444">
              <w:rPr>
                <w:lang w:val="en-GB"/>
              </w:rPr>
              <w:t>tops, commode chairs, and wall areas around the toilet in the patient’s room.</w:t>
            </w:r>
          </w:p>
        </w:tc>
      </w:tr>
      <w:tr w:rsidR="00C160DE" w:rsidRPr="002F4444" w:rsidTr="00CB0B21">
        <w:trPr>
          <w:cantSplit/>
        </w:trPr>
        <w:tc>
          <w:tcPr>
            <w:tcW w:w="3118" w:type="dxa"/>
          </w:tcPr>
          <w:p w:rsidR="00C160DE" w:rsidRPr="002F4444" w:rsidRDefault="00C160DE" w:rsidP="00CB0B21">
            <w:pPr>
              <w:pStyle w:val="DHHStablecolhead"/>
              <w:rPr>
                <w:lang w:val="en-GB"/>
              </w:rPr>
            </w:pPr>
            <w:r w:rsidRPr="002F4444">
              <w:rPr>
                <w:lang w:val="en-GB"/>
              </w:rPr>
              <w:t>Local transmission / outbreak</w:t>
            </w:r>
          </w:p>
        </w:tc>
        <w:tc>
          <w:tcPr>
            <w:tcW w:w="6180" w:type="dxa"/>
          </w:tcPr>
          <w:p w:rsidR="00C160DE" w:rsidRPr="002F4444" w:rsidRDefault="00C160DE" w:rsidP="00CB0B21">
            <w:pPr>
              <w:pStyle w:val="DHHStabletext"/>
              <w:rPr>
                <w:lang w:val="en-GB"/>
              </w:rPr>
            </w:pPr>
            <w:bookmarkStart w:id="5" w:name="_Toc427826972"/>
            <w:r w:rsidRPr="002F4444">
              <w:rPr>
                <w:lang w:val="en-GB"/>
              </w:rPr>
              <w:t>Local transmission is defined as: two or more confirmed cases of genetically closely related CPE with a plausible epidemiological link, without an alternative explanation.</w:t>
            </w:r>
            <w:bookmarkEnd w:id="5"/>
            <w:r w:rsidRPr="002F4444">
              <w:rPr>
                <w:lang w:val="en-GB"/>
              </w:rPr>
              <w:t xml:space="preserve"> The definition is deliberately inclusive.</w:t>
            </w:r>
          </w:p>
        </w:tc>
      </w:tr>
      <w:tr w:rsidR="00C160DE" w:rsidRPr="002F4444" w:rsidTr="00CB0B21">
        <w:trPr>
          <w:cantSplit/>
        </w:trPr>
        <w:tc>
          <w:tcPr>
            <w:tcW w:w="3118" w:type="dxa"/>
          </w:tcPr>
          <w:p w:rsidR="00C160DE" w:rsidRPr="002F4444" w:rsidRDefault="00C160DE" w:rsidP="00CB0B21">
            <w:pPr>
              <w:pStyle w:val="DHHStablecolhead"/>
              <w:rPr>
                <w:lang w:val="en-GB"/>
              </w:rPr>
            </w:pPr>
            <w:r w:rsidRPr="002F4444">
              <w:rPr>
                <w:lang w:val="en-GB"/>
              </w:rPr>
              <w:lastRenderedPageBreak/>
              <w:t>Transmission risk area</w:t>
            </w:r>
          </w:p>
        </w:tc>
        <w:tc>
          <w:tcPr>
            <w:tcW w:w="6180" w:type="dxa"/>
          </w:tcPr>
          <w:p w:rsidR="00C160DE" w:rsidRPr="002F4444" w:rsidRDefault="00C160DE" w:rsidP="00CB0B21">
            <w:pPr>
              <w:pStyle w:val="DHHStabletext"/>
              <w:rPr>
                <w:lang w:val="en-GB"/>
              </w:rPr>
            </w:pPr>
            <w:r w:rsidRPr="002F4444">
              <w:rPr>
                <w:lang w:val="en-GB"/>
              </w:rPr>
              <w:t>A transmission risk area (TRA) is an area (a distinct geographical area or ward) in which local transmission has been determined by the Victorian</w:t>
            </w:r>
            <w:r>
              <w:rPr>
                <w:lang w:val="en-GB"/>
              </w:rPr>
              <w:t xml:space="preserve"> (CPE)</w:t>
            </w:r>
            <w:r w:rsidRPr="002F4444">
              <w:rPr>
                <w:lang w:val="en-GB"/>
              </w:rPr>
              <w:t xml:space="preserve"> Incident Management Team </w:t>
            </w:r>
            <w:r>
              <w:rPr>
                <w:lang w:val="en-GB"/>
              </w:rPr>
              <w:t xml:space="preserve">(VCIMT) </w:t>
            </w:r>
            <w:r w:rsidRPr="002F4444">
              <w:rPr>
                <w:lang w:val="en-GB"/>
              </w:rPr>
              <w:t xml:space="preserve">to have occurred. The time-frame for the TRA is the period when transmission may have occurred </w:t>
            </w:r>
            <w:r w:rsidRPr="002F4444">
              <w:rPr>
                <w:b/>
                <w:lang w:val="en-GB"/>
              </w:rPr>
              <w:t>plus</w:t>
            </w:r>
            <w:r w:rsidRPr="002F4444">
              <w:rPr>
                <w:lang w:val="en-GB"/>
              </w:rPr>
              <w:t xml:space="preserve"> either four consecutive weeks of negative point prevalence screens </w:t>
            </w:r>
            <w:r w:rsidRPr="002F4444">
              <w:rPr>
                <w:b/>
                <w:lang w:val="en-GB"/>
              </w:rPr>
              <w:t>or</w:t>
            </w:r>
            <w:r w:rsidRPr="002F4444">
              <w:rPr>
                <w:lang w:val="en-GB"/>
              </w:rPr>
              <w:t xml:space="preserve"> four weeks after the final patient involved in the transmission was discharged. The time-frame for the TRA is different from the period of transmission risk. </w:t>
            </w:r>
            <w:hyperlink r:id="rId11" w:history="1">
              <w:r w:rsidRPr="00172FB4">
                <w:rPr>
                  <w:rStyle w:val="Hyperlink"/>
                  <w:lang w:val="en-GB"/>
                </w:rPr>
                <w:t>These concepts are explained further in Section 3 of the Victorian guideline on CPE for Health Services</w:t>
              </w:r>
            </w:hyperlink>
            <w:r>
              <w:rPr>
                <w:lang w:val="en-GB"/>
              </w:rPr>
              <w:t xml:space="preserve"> &lt;</w:t>
            </w:r>
            <w:r w:rsidRPr="001A39C7">
              <w:t>https://www2.health.vic.gov.au/public-health/infectious-diseases/infection-control-guidelines/carbapenemase-producing-enterobacteriaceae-management</w:t>
            </w:r>
            <w:r>
              <w:t>&gt;</w:t>
            </w:r>
            <w:r w:rsidRPr="002F4444">
              <w:rPr>
                <w:lang w:val="en-GB"/>
              </w:rPr>
              <w:t>.</w:t>
            </w:r>
          </w:p>
        </w:tc>
      </w:tr>
    </w:tbl>
    <w:p w:rsidR="00C160DE" w:rsidRDefault="00C160DE"/>
    <w:p w:rsidR="00C160DE" w:rsidRDefault="00C160DE">
      <w:pPr>
        <w:rPr>
          <w:rFonts w:ascii="Arial" w:eastAsia="Times" w:hAnsi="Arial"/>
        </w:rPr>
      </w:pPr>
      <w:r>
        <w:br w:type="page"/>
      </w:r>
    </w:p>
    <w:p w:rsidR="00C160DE" w:rsidRPr="00AB50C1" w:rsidRDefault="00C160DE" w:rsidP="00CB0B21">
      <w:pPr>
        <w:pStyle w:val="Heading1"/>
        <w:spacing w:before="0"/>
      </w:pPr>
      <w:bookmarkStart w:id="6" w:name="_Toc504988360"/>
      <w:r>
        <w:lastRenderedPageBreak/>
        <w:t>Section 1: Background</w:t>
      </w:r>
      <w:bookmarkEnd w:id="6"/>
    </w:p>
    <w:p w:rsidR="00C160DE" w:rsidRDefault="00C160DE" w:rsidP="00CB0B21">
      <w:pPr>
        <w:pStyle w:val="Heading2"/>
      </w:pPr>
      <w:bookmarkStart w:id="7" w:name="_Toc504988361"/>
      <w:bookmarkStart w:id="8" w:name="_Toc480979831"/>
      <w:bookmarkStart w:id="9" w:name="_Toc440553291"/>
      <w:r>
        <w:t xml:space="preserve">Carbapenemase-producing </w:t>
      </w:r>
      <w:r w:rsidRPr="00126B54">
        <w:rPr>
          <w:i/>
        </w:rPr>
        <w:t>Enterobacteriaceae</w:t>
      </w:r>
      <w:bookmarkEnd w:id="7"/>
    </w:p>
    <w:p w:rsidR="00C160DE" w:rsidRDefault="00C160DE" w:rsidP="00CB0B21">
      <w:pPr>
        <w:pStyle w:val="DHHSbody"/>
      </w:pPr>
      <w:r>
        <w:t xml:space="preserve">Carbapenemase-producing </w:t>
      </w:r>
      <w:r w:rsidRPr="00126B54">
        <w:rPr>
          <w:i/>
        </w:rPr>
        <w:t>Enterobacteriaceae</w:t>
      </w:r>
      <w:r>
        <w:t xml:space="preserve"> (CPE) are a group of bacteria that have developed resistance to a number of front line antibiotics as well as carbapenems, which are considered ‘last resort’ antibiotics for the treatment of serious infections. In CPE, carbapenem resistance is conferred by carbapenemase genes, which encode enzymes that degrade carbapenem antibiotics. </w:t>
      </w:r>
      <w:r w:rsidRPr="00126B54">
        <w:rPr>
          <w:i/>
        </w:rPr>
        <w:t>Enterobacteriaceae</w:t>
      </w:r>
      <w:r>
        <w:t xml:space="preserve"> comprise the largest family of gram-negative bacteria causing human infection and includes common pathogens such as </w:t>
      </w:r>
      <w:r>
        <w:rPr>
          <w:i/>
        </w:rPr>
        <w:t>Escherichia coli</w:t>
      </w:r>
      <w:r>
        <w:t xml:space="preserve">, </w:t>
      </w:r>
      <w:r>
        <w:rPr>
          <w:i/>
        </w:rPr>
        <w:t>Klebsiella</w:t>
      </w:r>
      <w:r>
        <w:t xml:space="preserve"> and </w:t>
      </w:r>
      <w:r>
        <w:rPr>
          <w:i/>
        </w:rPr>
        <w:t>Enterobacter</w:t>
      </w:r>
      <w:r>
        <w:t xml:space="preserve"> species (see </w:t>
      </w:r>
      <w:hyperlink w:anchor="_Figure_1:_List" w:history="1">
        <w:r w:rsidRPr="00721E3F">
          <w:rPr>
            <w:rStyle w:val="Hyperlink"/>
          </w:rPr>
          <w:t xml:space="preserve">Figure 1: List of </w:t>
        </w:r>
        <w:r w:rsidRPr="00721E3F">
          <w:rPr>
            <w:rStyle w:val="Hyperlink"/>
            <w:i/>
          </w:rPr>
          <w:t>Enterobacteriaceae</w:t>
        </w:r>
      </w:hyperlink>
      <w:r>
        <w:t>). These organisms are normal flora of the gastrointestinal tract but have the potential to cause infection and disseminate antimicrobial resistance.</w:t>
      </w:r>
    </w:p>
    <w:p w:rsidR="00C160DE" w:rsidRDefault="00C160DE" w:rsidP="00CB0B21">
      <w:pPr>
        <w:pStyle w:val="DHHSbody"/>
      </w:pPr>
      <w:r>
        <w:t xml:space="preserve">Release of the </w:t>
      </w:r>
      <w:r w:rsidRPr="00844BC3">
        <w:rPr>
          <w:i/>
        </w:rPr>
        <w:t>Victorian guideline on carbapenemase-producing Enterobacteriaceae for health services</w:t>
      </w:r>
      <w:r>
        <w:t xml:space="preserve"> in December 2015 introduced a requirement for all cases of CPE identified in Victoria to be investigated for local transmission within and between healthcare facilities, by a central authority. Environmental reservoirs have been implicated in hospital CPE outbreaks internationally. Within Victoria, environmental contamination is suspected to have contributed to patient acquisition of CPE on a number of occasions, and several Victorian healthcare facilities have undertaken or considered environmental screening as a component of their outbreak investigations. However, lack of local or international standards on environmental sampling and testing methodologies for CPE has made it difficult for health services to undertake environmental screening, and to interpret the results where environmental screening has been conducted.</w:t>
      </w:r>
    </w:p>
    <w:p w:rsidR="00C160DE" w:rsidRPr="00A362E6" w:rsidRDefault="00C160DE" w:rsidP="00CB0B21">
      <w:pPr>
        <w:pStyle w:val="Heading2"/>
      </w:pPr>
      <w:bookmarkStart w:id="10" w:name="_Toc440553292"/>
      <w:bookmarkStart w:id="11" w:name="_Toc480979833"/>
      <w:bookmarkStart w:id="12" w:name="_Toc504988362"/>
      <w:r w:rsidRPr="00A362E6">
        <w:t>Epidemiology of Environmental CPE</w:t>
      </w:r>
      <w:bookmarkEnd w:id="10"/>
      <w:bookmarkEnd w:id="11"/>
      <w:bookmarkEnd w:id="12"/>
    </w:p>
    <w:p w:rsidR="00C160DE" w:rsidRPr="00A362E6" w:rsidRDefault="00C160DE" w:rsidP="00CB0B21">
      <w:pPr>
        <w:pStyle w:val="DHHSbody"/>
        <w:rPr>
          <w:bdr w:val="none" w:sz="0" w:space="0" w:color="auto" w:frame="1"/>
          <w:lang w:eastAsia="en-AU"/>
        </w:rPr>
      </w:pPr>
      <w:r w:rsidRPr="00A362E6">
        <w:rPr>
          <w:bdr w:val="none" w:sz="0" w:space="0" w:color="auto" w:frame="1"/>
          <w:lang w:eastAsia="en-AU"/>
        </w:rPr>
        <w:t>Contamination of the hospital environment with resistant organisms has been implicated as a source of CPE acquisition in at least five hospital outbreaks in recent years</w:t>
      </w:r>
      <w:r>
        <w:rPr>
          <w:bdr w:val="none" w:sz="0" w:space="0" w:color="auto" w:frame="1"/>
          <w:lang w:eastAsia="en-AU"/>
        </w:rPr>
        <w:t xml:space="preserve"> (1-5)</w:t>
      </w:r>
      <w:r w:rsidRPr="00A362E6">
        <w:rPr>
          <w:bdr w:val="none" w:sz="0" w:space="0" w:color="auto" w:frame="1"/>
          <w:lang w:eastAsia="en-AU"/>
        </w:rPr>
        <w:t xml:space="preserve">. These reservoirs have been associated mainly with bathroom and water environments and have included contaminated sinks </w:t>
      </w:r>
      <w:r w:rsidRPr="00A362E6">
        <w:rPr>
          <w:noProof/>
          <w:bdr w:val="none" w:sz="0" w:space="0" w:color="auto" w:frame="1"/>
          <w:lang w:eastAsia="en-AU"/>
        </w:rPr>
        <w:t>(1-3)</w:t>
      </w:r>
      <w:r w:rsidRPr="00A362E6">
        <w:rPr>
          <w:bdr w:val="none" w:sz="0" w:space="0" w:color="auto" w:frame="1"/>
          <w:lang w:eastAsia="en-AU"/>
        </w:rPr>
        <w:t xml:space="preserve">, a wastewater drainage system </w:t>
      </w:r>
      <w:r w:rsidRPr="00A362E6">
        <w:rPr>
          <w:noProof/>
          <w:bdr w:val="none" w:sz="0" w:space="0" w:color="auto" w:frame="1"/>
          <w:lang w:eastAsia="en-AU"/>
        </w:rPr>
        <w:t>(4)</w:t>
      </w:r>
      <w:r w:rsidRPr="00A362E6">
        <w:rPr>
          <w:bdr w:val="none" w:sz="0" w:space="0" w:color="auto" w:frame="1"/>
          <w:lang w:eastAsia="en-AU"/>
        </w:rPr>
        <w:t xml:space="preserve">, patient toilet (unpublished data) and a damaged patient mattress </w:t>
      </w:r>
      <w:r w:rsidRPr="00A362E6">
        <w:rPr>
          <w:noProof/>
          <w:bdr w:val="none" w:sz="0" w:space="0" w:color="auto" w:frame="1"/>
          <w:lang w:eastAsia="en-AU"/>
        </w:rPr>
        <w:t>(5)</w:t>
      </w:r>
      <w:r w:rsidRPr="00A362E6">
        <w:rPr>
          <w:bdr w:val="none" w:sz="0" w:space="0" w:color="auto" w:frame="1"/>
          <w:lang w:eastAsia="en-AU"/>
        </w:rPr>
        <w:t>.</w:t>
      </w:r>
      <w:r>
        <w:rPr>
          <w:bdr w:val="none" w:sz="0" w:space="0" w:color="auto" w:frame="1"/>
          <w:lang w:eastAsia="en-AU"/>
        </w:rPr>
        <w:t xml:space="preserve"> </w:t>
      </w:r>
    </w:p>
    <w:p w:rsidR="00C160DE" w:rsidRPr="00A362E6" w:rsidRDefault="00C160DE" w:rsidP="00CB0B21">
      <w:pPr>
        <w:pStyle w:val="DHHSbody"/>
        <w:rPr>
          <w:bdr w:val="none" w:sz="0" w:space="0" w:color="auto" w:frame="1"/>
          <w:lang w:eastAsia="en-AU"/>
        </w:rPr>
      </w:pPr>
      <w:r w:rsidRPr="00A362E6">
        <w:t xml:space="preserve">While this is overall a small number of identified CPE outbreaks, environmental investigations are rare, with reservoirs formed by unidentified colonised patients generally considered more significant than environmental sources </w:t>
      </w:r>
      <w:r w:rsidRPr="00A362E6">
        <w:rPr>
          <w:noProof/>
        </w:rPr>
        <w:t>(4, 5)</w:t>
      </w:r>
      <w:r w:rsidRPr="00A362E6">
        <w:t>. In</w:t>
      </w:r>
      <w:r>
        <w:t xml:space="preserve"> a</w:t>
      </w:r>
      <w:r w:rsidRPr="00A362E6">
        <w:t xml:space="preserve"> recent systematic analysis, less than a third of the 98 examined outbreaks prompted screening of the hospital environment or instrumentation, indicating likely underestimation of environmental contamination as a source of </w:t>
      </w:r>
      <w:r>
        <w:t xml:space="preserve">(or contributor to) </w:t>
      </w:r>
      <w:r w:rsidRPr="00A362E6">
        <w:t xml:space="preserve">CPE outbreaks, especially in those with prolonged periods of case identification </w:t>
      </w:r>
      <w:r w:rsidRPr="00A362E6">
        <w:rPr>
          <w:noProof/>
          <w:bdr w:val="none" w:sz="0" w:space="0" w:color="auto" w:frame="1"/>
          <w:lang w:eastAsia="en-AU"/>
        </w:rPr>
        <w:t>(5)</w:t>
      </w:r>
      <w:r w:rsidRPr="00A362E6">
        <w:rPr>
          <w:bdr w:val="none" w:sz="0" w:space="0" w:color="auto" w:frame="1"/>
          <w:lang w:eastAsia="en-AU"/>
        </w:rPr>
        <w:t>.</w:t>
      </w:r>
      <w:r>
        <w:rPr>
          <w:bdr w:val="none" w:sz="0" w:space="0" w:color="auto" w:frame="1"/>
          <w:lang w:eastAsia="en-AU"/>
        </w:rPr>
        <w:t xml:space="preserve"> I</w:t>
      </w:r>
      <w:r w:rsidRPr="00A362E6">
        <w:rPr>
          <w:bdr w:val="none" w:sz="0" w:space="0" w:color="auto" w:frame="1"/>
          <w:lang w:eastAsia="en-AU"/>
        </w:rPr>
        <w:t xml:space="preserve">n </w:t>
      </w:r>
      <w:r>
        <w:rPr>
          <w:bdr w:val="none" w:sz="0" w:space="0" w:color="auto" w:frame="1"/>
          <w:lang w:eastAsia="en-AU"/>
        </w:rPr>
        <w:t xml:space="preserve">the </w:t>
      </w:r>
      <w:r w:rsidRPr="00A362E6">
        <w:rPr>
          <w:bdr w:val="none" w:sz="0" w:space="0" w:color="auto" w:frame="1"/>
          <w:lang w:eastAsia="en-AU"/>
        </w:rPr>
        <w:t>non-outbreak setting</w:t>
      </w:r>
      <w:r>
        <w:rPr>
          <w:bdr w:val="none" w:sz="0" w:space="0" w:color="auto" w:frame="1"/>
          <w:lang w:eastAsia="en-AU"/>
        </w:rPr>
        <w:t>, estimates of CPE contamination</w:t>
      </w:r>
      <w:r w:rsidRPr="00A362E6">
        <w:rPr>
          <w:bdr w:val="none" w:sz="0" w:space="0" w:color="auto" w:frame="1"/>
          <w:lang w:eastAsia="en-AU"/>
        </w:rPr>
        <w:t xml:space="preserve"> in the literature, range from 0.5% (2/371) in a cross sectional study of six acute long term care facilities in Chicago to 26% (11/43) in an acute care facility in Baltimore</w:t>
      </w:r>
      <w:r>
        <w:rPr>
          <w:bdr w:val="none" w:sz="0" w:space="0" w:color="auto" w:frame="1"/>
          <w:lang w:eastAsia="en-AU"/>
        </w:rPr>
        <w:t>, sampling in</w:t>
      </w:r>
      <w:r w:rsidRPr="00A362E6">
        <w:rPr>
          <w:bdr w:val="none" w:sz="0" w:space="0" w:color="auto" w:frame="1"/>
          <w:lang w:eastAsia="en-AU"/>
        </w:rPr>
        <w:t xml:space="preserve"> the vicinity of known CPE positive patients </w:t>
      </w:r>
      <w:r w:rsidRPr="00A362E6">
        <w:rPr>
          <w:noProof/>
          <w:bdr w:val="none" w:sz="0" w:space="0" w:color="auto" w:frame="1"/>
          <w:lang w:eastAsia="en-AU"/>
        </w:rPr>
        <w:t>(6, 7)</w:t>
      </w:r>
      <w:r w:rsidRPr="00A362E6">
        <w:rPr>
          <w:bdr w:val="none" w:sz="0" w:space="0" w:color="auto" w:frame="1"/>
          <w:lang w:eastAsia="en-AU"/>
        </w:rPr>
        <w:t xml:space="preserve">. Potential differences in CPE prevalence, transmission dynamics and CPE gene and species distribution across settings </w:t>
      </w:r>
      <w:r>
        <w:rPr>
          <w:bdr w:val="none" w:sz="0" w:space="0" w:color="auto" w:frame="1"/>
          <w:lang w:eastAsia="en-AU"/>
        </w:rPr>
        <w:t>limit</w:t>
      </w:r>
      <w:r w:rsidRPr="00A362E6">
        <w:rPr>
          <w:bdr w:val="none" w:sz="0" w:space="0" w:color="auto" w:frame="1"/>
          <w:lang w:eastAsia="en-AU"/>
        </w:rPr>
        <w:t xml:space="preserve"> generalisability of such results. However, a recent meta-analysis </w:t>
      </w:r>
      <w:r>
        <w:rPr>
          <w:bdr w:val="none" w:sz="0" w:space="0" w:color="auto" w:frame="1"/>
          <w:lang w:eastAsia="en-AU"/>
        </w:rPr>
        <w:t>reported</w:t>
      </w:r>
      <w:r w:rsidRPr="00A362E6">
        <w:rPr>
          <w:bdr w:val="none" w:sz="0" w:space="0" w:color="auto" w:frame="1"/>
          <w:lang w:eastAsia="en-AU"/>
        </w:rPr>
        <w:t xml:space="preserve"> pooled odds ratio of 2.65 (95% CI 2.02 – 3.47) when examining the association between prior room occupancy and patient acquisition of gram negative pathogens, such as </w:t>
      </w:r>
      <w:r w:rsidRPr="00A362E6">
        <w:rPr>
          <w:i/>
          <w:bdr w:val="none" w:sz="0" w:space="0" w:color="auto" w:frame="1"/>
          <w:lang w:eastAsia="en-AU"/>
        </w:rPr>
        <w:t>Enterobacteriaceae</w:t>
      </w:r>
      <w:r w:rsidRPr="00A362E6">
        <w:rPr>
          <w:bdr w:val="none" w:sz="0" w:space="0" w:color="auto" w:frame="1"/>
          <w:lang w:eastAsia="en-AU"/>
        </w:rPr>
        <w:t xml:space="preserve"> </w:t>
      </w:r>
      <w:r w:rsidRPr="00A362E6">
        <w:rPr>
          <w:noProof/>
          <w:bdr w:val="none" w:sz="0" w:space="0" w:color="auto" w:frame="1"/>
          <w:lang w:eastAsia="en-AU"/>
        </w:rPr>
        <w:t>(8)</w:t>
      </w:r>
      <w:r w:rsidRPr="00A362E6">
        <w:rPr>
          <w:bdr w:val="none" w:sz="0" w:space="0" w:color="auto" w:frame="1"/>
          <w:lang w:eastAsia="en-AU"/>
        </w:rPr>
        <w:t>.</w:t>
      </w:r>
    </w:p>
    <w:p w:rsidR="00C160DE" w:rsidRPr="00A362E6" w:rsidRDefault="00C160DE" w:rsidP="00CB0B21">
      <w:pPr>
        <w:pStyle w:val="DHHSbody"/>
      </w:pPr>
      <w:r>
        <w:rPr>
          <w:bdr w:val="none" w:sz="0" w:space="0" w:color="auto" w:frame="1"/>
          <w:lang w:eastAsia="en-AU"/>
        </w:rPr>
        <w:t>In Victoria</w:t>
      </w:r>
      <w:r w:rsidRPr="00A362E6">
        <w:rPr>
          <w:bdr w:val="none" w:sz="0" w:space="0" w:color="auto" w:frame="1"/>
          <w:lang w:eastAsia="en-AU"/>
        </w:rPr>
        <w:t xml:space="preserve">, several sites of environmental CPE contamination </w:t>
      </w:r>
      <w:r>
        <w:rPr>
          <w:bdr w:val="none" w:sz="0" w:space="0" w:color="auto" w:frame="1"/>
          <w:lang w:eastAsia="en-AU"/>
        </w:rPr>
        <w:t>have been</w:t>
      </w:r>
      <w:r w:rsidRPr="00A362E6">
        <w:rPr>
          <w:bdr w:val="none" w:sz="0" w:space="0" w:color="auto" w:frame="1"/>
          <w:lang w:eastAsia="en-AU"/>
        </w:rPr>
        <w:t xml:space="preserve"> identified during outbreak investigations in health services</w:t>
      </w:r>
      <w:r>
        <w:rPr>
          <w:bdr w:val="none" w:sz="0" w:space="0" w:color="auto" w:frame="1"/>
          <w:lang w:eastAsia="en-AU"/>
        </w:rPr>
        <w:t>. The sites included</w:t>
      </w:r>
      <w:r w:rsidRPr="00A362E6">
        <w:rPr>
          <w:bdr w:val="none" w:sz="0" w:space="0" w:color="auto" w:frame="1"/>
          <w:lang w:eastAsia="en-AU"/>
        </w:rPr>
        <w:t xml:space="preserve"> samples from </w:t>
      </w:r>
      <w:r>
        <w:rPr>
          <w:bdr w:val="none" w:sz="0" w:space="0" w:color="auto" w:frame="1"/>
          <w:lang w:eastAsia="en-AU"/>
        </w:rPr>
        <w:t xml:space="preserve">clinical sinks, </w:t>
      </w:r>
      <w:r w:rsidRPr="00A362E6">
        <w:rPr>
          <w:bdr w:val="none" w:sz="0" w:space="0" w:color="auto" w:frame="1"/>
          <w:lang w:eastAsia="en-AU"/>
        </w:rPr>
        <w:t xml:space="preserve">toilets, showers and dirty utility rooms. In this context, and </w:t>
      </w:r>
      <w:r>
        <w:rPr>
          <w:bdr w:val="none" w:sz="0" w:space="0" w:color="auto" w:frame="1"/>
          <w:lang w:eastAsia="en-AU"/>
        </w:rPr>
        <w:t xml:space="preserve">with </w:t>
      </w:r>
      <w:r w:rsidRPr="00A362E6">
        <w:rPr>
          <w:bdr w:val="none" w:sz="0" w:space="0" w:color="auto" w:frame="1"/>
          <w:lang w:eastAsia="en-AU"/>
        </w:rPr>
        <w:t>international recogni</w:t>
      </w:r>
      <w:r>
        <w:rPr>
          <w:bdr w:val="none" w:sz="0" w:space="0" w:color="auto" w:frame="1"/>
          <w:lang w:eastAsia="en-AU"/>
        </w:rPr>
        <w:t xml:space="preserve">tion of the </w:t>
      </w:r>
      <w:r w:rsidRPr="00A362E6">
        <w:rPr>
          <w:bdr w:val="none" w:sz="0" w:space="0" w:color="auto" w:frame="1"/>
          <w:lang w:eastAsia="en-AU"/>
        </w:rPr>
        <w:t xml:space="preserve">potential </w:t>
      </w:r>
      <w:r>
        <w:rPr>
          <w:bdr w:val="none" w:sz="0" w:space="0" w:color="auto" w:frame="1"/>
          <w:lang w:eastAsia="en-AU"/>
        </w:rPr>
        <w:t xml:space="preserve">role of </w:t>
      </w:r>
      <w:r w:rsidRPr="00A362E6">
        <w:rPr>
          <w:bdr w:val="none" w:sz="0" w:space="0" w:color="auto" w:frame="1"/>
          <w:lang w:eastAsia="en-AU"/>
        </w:rPr>
        <w:t xml:space="preserve">environmental </w:t>
      </w:r>
      <w:r>
        <w:rPr>
          <w:bdr w:val="none" w:sz="0" w:space="0" w:color="auto" w:frame="1"/>
          <w:lang w:eastAsia="en-AU"/>
        </w:rPr>
        <w:t>contamination in</w:t>
      </w:r>
      <w:r w:rsidRPr="00A362E6">
        <w:rPr>
          <w:bdr w:val="none" w:sz="0" w:space="0" w:color="auto" w:frame="1"/>
          <w:lang w:eastAsia="en-AU"/>
        </w:rPr>
        <w:t xml:space="preserve"> CPE outbreaks, the </w:t>
      </w:r>
      <w:r>
        <w:t xml:space="preserve">Victorian CPE Incident Management Team (VCIMT) </w:t>
      </w:r>
      <w:r w:rsidRPr="00A362E6">
        <w:rPr>
          <w:bdr w:val="none" w:sz="0" w:space="0" w:color="auto" w:frame="1"/>
          <w:lang w:eastAsia="en-AU"/>
        </w:rPr>
        <w:t>may recommend environmental screening is undertaken</w:t>
      </w:r>
      <w:r>
        <w:rPr>
          <w:bdr w:val="none" w:sz="0" w:space="0" w:color="auto" w:frame="1"/>
          <w:lang w:eastAsia="en-AU"/>
        </w:rPr>
        <w:t xml:space="preserve">, if </w:t>
      </w:r>
      <w:r w:rsidRPr="00A362E6">
        <w:rPr>
          <w:bdr w:val="none" w:sz="0" w:space="0" w:color="auto" w:frame="1"/>
          <w:lang w:eastAsia="en-AU"/>
        </w:rPr>
        <w:t>related CPE cases ha</w:t>
      </w:r>
      <w:r>
        <w:rPr>
          <w:bdr w:val="none" w:sz="0" w:space="0" w:color="auto" w:frame="1"/>
          <w:lang w:eastAsia="en-AU"/>
        </w:rPr>
        <w:t>ve</w:t>
      </w:r>
      <w:r w:rsidRPr="00A362E6">
        <w:rPr>
          <w:bdr w:val="none" w:sz="0" w:space="0" w:color="auto" w:frame="1"/>
          <w:lang w:eastAsia="en-AU"/>
        </w:rPr>
        <w:t xml:space="preserve"> been observed in a defined geographical area</w:t>
      </w:r>
      <w:r>
        <w:rPr>
          <w:bdr w:val="none" w:sz="0" w:space="0" w:color="auto" w:frame="1"/>
          <w:lang w:eastAsia="en-AU"/>
        </w:rPr>
        <w:t xml:space="preserve"> for a prolonged period of time.</w:t>
      </w:r>
    </w:p>
    <w:p w:rsidR="00C160DE" w:rsidRDefault="00C160DE" w:rsidP="00CB0B21">
      <w:pPr>
        <w:pStyle w:val="DHHSbody"/>
      </w:pPr>
      <w:r>
        <w:lastRenderedPageBreak/>
        <w:t>T</w:t>
      </w:r>
      <w:r w:rsidRPr="00A362E6">
        <w:t xml:space="preserve">his guideline </w:t>
      </w:r>
      <w:r>
        <w:t>has been produced</w:t>
      </w:r>
      <w:r w:rsidRPr="00A362E6">
        <w:t xml:space="preserve"> based </w:t>
      </w:r>
      <w:r>
        <w:t>on</w:t>
      </w:r>
      <w:r w:rsidRPr="00A362E6">
        <w:t xml:space="preserve"> review of available literature</w:t>
      </w:r>
      <w:r>
        <w:t xml:space="preserve"> on </w:t>
      </w:r>
      <w:r w:rsidRPr="00C56A4F">
        <w:t xml:space="preserve">environmental </w:t>
      </w:r>
      <w:r>
        <w:t xml:space="preserve">screening; </w:t>
      </w:r>
      <w:r w:rsidRPr="00A362E6">
        <w:t>protocols developed by three Victorian healthcare facilities that have undertaken extensive environmental screening</w:t>
      </w:r>
      <w:r>
        <w:t>;</w:t>
      </w:r>
      <w:r w:rsidRPr="00A362E6">
        <w:t xml:space="preserve"> and </w:t>
      </w:r>
      <w:r>
        <w:t>a</w:t>
      </w:r>
      <w:r w:rsidRPr="00A362E6">
        <w:t xml:space="preserve">dditional data on the sensitivity of CPE selective media for the identification of CPE from human clinical and screening samples gathered by </w:t>
      </w:r>
      <w:r w:rsidR="00242372">
        <w:t xml:space="preserve">the </w:t>
      </w:r>
      <w:r w:rsidRPr="004F6DAF">
        <w:t xml:space="preserve">Microbiological Diagnostic Unit Public Health Laboratory (MDU PHL) </w:t>
      </w:r>
      <w:r w:rsidRPr="00A362E6">
        <w:t>and from the literature</w:t>
      </w:r>
      <w:r>
        <w:t>.</w:t>
      </w:r>
    </w:p>
    <w:p w:rsidR="00C160DE" w:rsidRDefault="00C160DE" w:rsidP="00CB0B21">
      <w:pPr>
        <w:pStyle w:val="Heading2"/>
      </w:pPr>
      <w:bookmarkStart w:id="13" w:name="_Toc480979832"/>
      <w:bookmarkStart w:id="14" w:name="_Toc504988363"/>
      <w:bookmarkEnd w:id="8"/>
      <w:r>
        <w:t>Scope of the Victorian guideline on environmental sampling for CPE</w:t>
      </w:r>
      <w:bookmarkEnd w:id="9"/>
      <w:bookmarkEnd w:id="13"/>
      <w:bookmarkEnd w:id="14"/>
    </w:p>
    <w:p w:rsidR="00C160DE" w:rsidRPr="003F390F" w:rsidRDefault="00C160DE" w:rsidP="00CB0B21">
      <w:pPr>
        <w:pStyle w:val="DHHSbody"/>
      </w:pPr>
      <w:r>
        <w:t>This guideline was developed to assist Victorian healthcare facilities considering or undertaking environmental screening as part of CPE investigations. Where a health service or long-term residential care facility (LTRCF) is directed by the VCIMT to conduct environmental screening as part of required actions for a transmission risk area (TRA) this guideline will be the reference document.</w:t>
      </w:r>
    </w:p>
    <w:p w:rsidR="00C160DE" w:rsidRDefault="00C160DE" w:rsidP="00CB0B21">
      <w:pPr>
        <w:pStyle w:val="Heading3"/>
      </w:pPr>
      <w:r>
        <w:t>Microbiological scope</w:t>
      </w:r>
    </w:p>
    <w:p w:rsidR="00C160DE" w:rsidRPr="00C76747" w:rsidRDefault="00C160DE" w:rsidP="00CB0B21">
      <w:pPr>
        <w:pStyle w:val="DHHSbody"/>
        <w:rPr>
          <w:b/>
        </w:rPr>
      </w:pPr>
      <w:r>
        <w:t xml:space="preserve">This guideline provides recommendations around the detection and response to species of </w:t>
      </w:r>
      <w:r w:rsidRPr="005D3EEE">
        <w:rPr>
          <w:i/>
        </w:rPr>
        <w:t>Enterobacteriaceae</w:t>
      </w:r>
      <w:r>
        <w:t xml:space="preserve"> (see Figure 1 below) that contain a carbapenemase gene. Carbapenemase gene families that have been detected in </w:t>
      </w:r>
      <w:r w:rsidRPr="005D3EEE">
        <w:rPr>
          <w:i/>
        </w:rPr>
        <w:t>Enterobacteriaceae</w:t>
      </w:r>
      <w:r>
        <w:t xml:space="preserve"> in Australia thus far include IMP, VIM, and OXA-48-like, KPC and NDM.</w:t>
      </w:r>
    </w:p>
    <w:p w:rsidR="00C160DE" w:rsidRDefault="00C160DE" w:rsidP="00CB0B21">
      <w:pPr>
        <w:pStyle w:val="DHHSfigurecaption"/>
      </w:pPr>
      <w:bookmarkStart w:id="15" w:name="_Figure_1:_List"/>
      <w:bookmarkEnd w:id="15"/>
      <w:r>
        <w:t xml:space="preserve">Figure 1: List of </w:t>
      </w:r>
      <w:r w:rsidRPr="002C7180">
        <w:rPr>
          <w:i/>
        </w:rPr>
        <w:t>Enterobacteriaceae</w:t>
      </w:r>
    </w:p>
    <w:p w:rsidR="00C160DE" w:rsidRDefault="00C160DE" w:rsidP="00CB0B21">
      <w:pPr>
        <w:pStyle w:val="DHHSbody"/>
      </w:pPr>
      <w:r w:rsidRPr="00126B54">
        <w:rPr>
          <w:i/>
        </w:rPr>
        <w:t>Enterobacteriaceae</w:t>
      </w:r>
      <w:r>
        <w:t xml:space="preserve"> include the following species:</w:t>
      </w:r>
    </w:p>
    <w:p w:rsidR="00C160DE" w:rsidRPr="00024789" w:rsidRDefault="00C160DE" w:rsidP="00CB0B21">
      <w:pPr>
        <w:pStyle w:val="DHHSbody"/>
        <w:tabs>
          <w:tab w:val="left" w:pos="3828"/>
          <w:tab w:val="right" w:pos="9214"/>
        </w:tabs>
        <w:spacing w:line="240" w:lineRule="auto"/>
        <w:rPr>
          <w:i/>
        </w:rPr>
      </w:pPr>
      <w:r w:rsidRPr="00024789">
        <w:rPr>
          <w:i/>
        </w:rPr>
        <w:t>Klebsiella spp.</w:t>
      </w:r>
      <w:r w:rsidRPr="00024789">
        <w:rPr>
          <w:i/>
        </w:rPr>
        <w:tab/>
        <w:t>Serratia spp.</w:t>
      </w:r>
      <w:r w:rsidRPr="00024789">
        <w:rPr>
          <w:i/>
        </w:rPr>
        <w:tab/>
        <w:t>Escherichia spp.</w:t>
      </w:r>
    </w:p>
    <w:p w:rsidR="00C160DE" w:rsidRPr="00024789" w:rsidRDefault="00C160DE" w:rsidP="00CB0B21">
      <w:pPr>
        <w:pStyle w:val="DHHSbody"/>
        <w:tabs>
          <w:tab w:val="left" w:pos="3828"/>
          <w:tab w:val="right" w:pos="9214"/>
        </w:tabs>
        <w:spacing w:line="240" w:lineRule="auto"/>
        <w:rPr>
          <w:i/>
          <w:lang w:val="it-IT"/>
        </w:rPr>
      </w:pPr>
      <w:r w:rsidRPr="00024789">
        <w:rPr>
          <w:i/>
        </w:rPr>
        <w:t xml:space="preserve">Enterobacter </w:t>
      </w:r>
      <w:proofErr w:type="spellStart"/>
      <w:r w:rsidRPr="00024789">
        <w:rPr>
          <w:i/>
        </w:rPr>
        <w:t>spp</w:t>
      </w:r>
      <w:proofErr w:type="spellEnd"/>
      <w:r w:rsidRPr="00024789">
        <w:rPr>
          <w:i/>
        </w:rPr>
        <w:tab/>
      </w:r>
      <w:proofErr w:type="spellStart"/>
      <w:r w:rsidRPr="00024789">
        <w:rPr>
          <w:i/>
        </w:rPr>
        <w:t>Shigella</w:t>
      </w:r>
      <w:proofErr w:type="spellEnd"/>
      <w:r w:rsidRPr="00024789">
        <w:rPr>
          <w:i/>
        </w:rPr>
        <w:t xml:space="preserve"> spp.</w:t>
      </w:r>
      <w:r w:rsidRPr="00024789">
        <w:rPr>
          <w:i/>
        </w:rPr>
        <w:tab/>
      </w:r>
      <w:r w:rsidRPr="00024789">
        <w:rPr>
          <w:i/>
          <w:lang w:val="it-IT"/>
        </w:rPr>
        <w:t>Morganella spp.</w:t>
      </w:r>
    </w:p>
    <w:p w:rsidR="00C160DE" w:rsidRPr="00024789" w:rsidRDefault="00C160DE" w:rsidP="00CB0B21">
      <w:pPr>
        <w:pStyle w:val="DHHSbody"/>
        <w:tabs>
          <w:tab w:val="left" w:pos="3828"/>
          <w:tab w:val="right" w:pos="9214"/>
        </w:tabs>
        <w:spacing w:line="240" w:lineRule="auto"/>
        <w:rPr>
          <w:i/>
          <w:lang w:val="it-IT"/>
        </w:rPr>
      </w:pPr>
      <w:r w:rsidRPr="00024789">
        <w:rPr>
          <w:i/>
        </w:rPr>
        <w:t>Citrobacter spp.</w:t>
      </w:r>
      <w:r w:rsidRPr="00024789">
        <w:rPr>
          <w:i/>
        </w:rPr>
        <w:tab/>
        <w:t>Salmonella spp.</w:t>
      </w:r>
      <w:r w:rsidRPr="00024789">
        <w:rPr>
          <w:i/>
        </w:rPr>
        <w:tab/>
        <w:t>Proteus spp.</w:t>
      </w:r>
    </w:p>
    <w:p w:rsidR="00C160DE" w:rsidRPr="00024789" w:rsidRDefault="00C160DE" w:rsidP="00CB0B21">
      <w:pPr>
        <w:pStyle w:val="DHHSbody"/>
        <w:tabs>
          <w:tab w:val="left" w:pos="3828"/>
          <w:tab w:val="right" w:pos="9214"/>
        </w:tabs>
        <w:spacing w:line="240" w:lineRule="auto"/>
        <w:rPr>
          <w:i/>
          <w:lang w:val="it-IT"/>
        </w:rPr>
      </w:pPr>
      <w:r w:rsidRPr="00024789">
        <w:rPr>
          <w:i/>
          <w:lang w:val="it-IT"/>
        </w:rPr>
        <w:t>Providencia spp.</w:t>
      </w:r>
      <w:r w:rsidRPr="00024789">
        <w:rPr>
          <w:i/>
        </w:rPr>
        <w:tab/>
      </w:r>
      <w:r w:rsidRPr="00024789">
        <w:rPr>
          <w:i/>
          <w:lang w:val="it-IT"/>
        </w:rPr>
        <w:t>Pantoea spp.</w:t>
      </w:r>
      <w:r w:rsidRPr="00024789">
        <w:rPr>
          <w:i/>
          <w:lang w:val="it-IT"/>
        </w:rPr>
        <w:tab/>
        <w:t>Cronobacter spp.</w:t>
      </w:r>
    </w:p>
    <w:p w:rsidR="00C160DE" w:rsidRPr="00024789" w:rsidRDefault="00C160DE" w:rsidP="00CB0B21">
      <w:pPr>
        <w:pStyle w:val="DHHSbody"/>
        <w:tabs>
          <w:tab w:val="left" w:pos="3828"/>
          <w:tab w:val="right" w:pos="9214"/>
        </w:tabs>
        <w:spacing w:line="240" w:lineRule="auto"/>
        <w:rPr>
          <w:i/>
        </w:rPr>
      </w:pPr>
      <w:proofErr w:type="spellStart"/>
      <w:r w:rsidRPr="00024789">
        <w:rPr>
          <w:i/>
        </w:rPr>
        <w:t>Plesiomonas</w:t>
      </w:r>
      <w:proofErr w:type="spellEnd"/>
      <w:r w:rsidRPr="00024789">
        <w:rPr>
          <w:i/>
        </w:rPr>
        <w:t xml:space="preserve"> spp.</w:t>
      </w:r>
      <w:r w:rsidRPr="00024789">
        <w:rPr>
          <w:i/>
        </w:rPr>
        <w:tab/>
      </w:r>
      <w:r w:rsidRPr="00024789">
        <w:rPr>
          <w:i/>
          <w:lang w:val="it-IT"/>
        </w:rPr>
        <w:t>Cedecea spp.</w:t>
      </w:r>
      <w:r w:rsidRPr="00024789">
        <w:rPr>
          <w:i/>
          <w:lang w:val="it-IT"/>
        </w:rPr>
        <w:tab/>
      </w:r>
      <w:proofErr w:type="spellStart"/>
      <w:r w:rsidRPr="00024789">
        <w:rPr>
          <w:i/>
        </w:rPr>
        <w:t>Edwardsiella</w:t>
      </w:r>
      <w:proofErr w:type="spellEnd"/>
      <w:r w:rsidRPr="00024789">
        <w:rPr>
          <w:i/>
        </w:rPr>
        <w:t xml:space="preserve"> spp.</w:t>
      </w:r>
    </w:p>
    <w:p w:rsidR="00C160DE" w:rsidRPr="00024789" w:rsidRDefault="00C160DE" w:rsidP="00CB0B21">
      <w:pPr>
        <w:pStyle w:val="DHHSbody"/>
        <w:tabs>
          <w:tab w:val="left" w:pos="3828"/>
          <w:tab w:val="right" w:pos="9214"/>
        </w:tabs>
        <w:spacing w:line="240" w:lineRule="auto"/>
        <w:rPr>
          <w:i/>
          <w:lang w:val="it-IT"/>
        </w:rPr>
      </w:pPr>
      <w:proofErr w:type="spellStart"/>
      <w:r w:rsidRPr="00024789">
        <w:rPr>
          <w:i/>
        </w:rPr>
        <w:t>Raoultella</w:t>
      </w:r>
      <w:proofErr w:type="spellEnd"/>
      <w:r w:rsidRPr="00024789">
        <w:rPr>
          <w:i/>
        </w:rPr>
        <w:t xml:space="preserve"> spp.</w:t>
      </w:r>
      <w:r w:rsidRPr="00024789">
        <w:rPr>
          <w:i/>
        </w:rPr>
        <w:tab/>
      </w:r>
      <w:proofErr w:type="spellStart"/>
      <w:r w:rsidRPr="00024789">
        <w:rPr>
          <w:i/>
        </w:rPr>
        <w:t>Ewingella</w:t>
      </w:r>
      <w:proofErr w:type="spellEnd"/>
      <w:r w:rsidRPr="00024789">
        <w:rPr>
          <w:i/>
        </w:rPr>
        <w:t xml:space="preserve"> spp.</w:t>
      </w:r>
      <w:r w:rsidRPr="00024789">
        <w:rPr>
          <w:i/>
        </w:rPr>
        <w:tab/>
      </w:r>
      <w:r w:rsidRPr="00024789">
        <w:rPr>
          <w:i/>
          <w:lang w:val="it-IT"/>
        </w:rPr>
        <w:t>Hafnia alve</w:t>
      </w:r>
    </w:p>
    <w:p w:rsidR="00C160DE" w:rsidRPr="00024789" w:rsidRDefault="00C160DE" w:rsidP="00CB0B21">
      <w:pPr>
        <w:pStyle w:val="DHHSbody"/>
        <w:tabs>
          <w:tab w:val="left" w:pos="3828"/>
          <w:tab w:val="right" w:pos="9214"/>
        </w:tabs>
        <w:spacing w:line="240" w:lineRule="auto"/>
        <w:rPr>
          <w:i/>
          <w:sz w:val="22"/>
          <w:szCs w:val="22"/>
          <w:lang w:val="it-IT"/>
        </w:rPr>
      </w:pPr>
      <w:r w:rsidRPr="00024789">
        <w:rPr>
          <w:i/>
          <w:lang w:val="it-IT"/>
        </w:rPr>
        <w:t>Kluyvera spp.</w:t>
      </w:r>
      <w:r w:rsidRPr="00024789">
        <w:rPr>
          <w:i/>
          <w:lang w:val="it-IT"/>
        </w:rPr>
        <w:tab/>
        <w:t>Yersinia spp.</w:t>
      </w:r>
      <w:r w:rsidRPr="00024789">
        <w:rPr>
          <w:i/>
          <w:lang w:val="it-IT"/>
        </w:rPr>
        <w:tab/>
        <w:t>Leclercia spp</w:t>
      </w:r>
    </w:p>
    <w:p w:rsidR="00C160DE" w:rsidRDefault="00C160DE" w:rsidP="00CB0B21">
      <w:pPr>
        <w:pStyle w:val="DHHSbody"/>
      </w:pPr>
      <w:r>
        <w:t xml:space="preserve">Suspected CPE are </w:t>
      </w:r>
      <w:r w:rsidRPr="00126B54">
        <w:rPr>
          <w:i/>
        </w:rPr>
        <w:t>Enterobacteriaceae</w:t>
      </w:r>
      <w:r>
        <w:t xml:space="preserve"> that have phenotypic characteristics suggestive of carbapenemase gene presence, but have not yet been confirmed. Confirmed CPE are </w:t>
      </w:r>
      <w:r w:rsidRPr="00126B54">
        <w:rPr>
          <w:i/>
        </w:rPr>
        <w:t>Enterobacteriaceae</w:t>
      </w:r>
      <w:r>
        <w:t xml:space="preserve"> where the presence of a carbapenemase-encoding gene has been confirmed by polymerase chain reaction (PCR) or genome sequencing.</w:t>
      </w:r>
    </w:p>
    <w:p w:rsidR="00C160DE" w:rsidRDefault="00C160DE" w:rsidP="00CB0B21">
      <w:pPr>
        <w:pStyle w:val="DHHSbody"/>
      </w:pPr>
      <w:r w:rsidRPr="00A84ACE">
        <w:t xml:space="preserve">The microbiological scope of this guideline is consistent with the 2017 Australian Commission on Safety and Quality in Health Care </w:t>
      </w:r>
      <w:r w:rsidRPr="00A84ACE">
        <w:rPr>
          <w:i/>
        </w:rPr>
        <w:t xml:space="preserve">Recommendations for the control of CPE: A guide for acute care health facilities </w:t>
      </w:r>
      <w:r w:rsidRPr="00A84ACE">
        <w:t>(2017).</w:t>
      </w:r>
      <w:r>
        <w:t xml:space="preserve"> The choice of </w:t>
      </w:r>
      <w:r w:rsidRPr="002C7180">
        <w:rPr>
          <w:i/>
        </w:rPr>
        <w:t>Enterobacteriaceae</w:t>
      </w:r>
      <w:r>
        <w:t xml:space="preserve"> organisms reflects the greater risk that CPE carries for local transmission, including health service outbreaks and potential multi-jurisdictional spread.</w:t>
      </w:r>
    </w:p>
    <w:p w:rsidR="00C160DE" w:rsidRDefault="00C160DE" w:rsidP="00CB0B21">
      <w:pPr>
        <w:pStyle w:val="DHHSbody"/>
      </w:pPr>
      <w:r>
        <w:t>The scope of this guideline does NOT extend to:</w:t>
      </w:r>
    </w:p>
    <w:p w:rsidR="00C160DE" w:rsidRDefault="00C160DE" w:rsidP="00CB0B21">
      <w:pPr>
        <w:pStyle w:val="DHHSbullet1"/>
      </w:pPr>
      <w:r>
        <w:rPr>
          <w:i/>
        </w:rPr>
        <w:t>Pseudomonas</w:t>
      </w:r>
      <w:r>
        <w:t xml:space="preserve"> spp., </w:t>
      </w:r>
      <w:r>
        <w:rPr>
          <w:i/>
        </w:rPr>
        <w:t>Acinetobacter</w:t>
      </w:r>
      <w:r>
        <w:t xml:space="preserve"> spp. or other non-</w:t>
      </w:r>
      <w:r w:rsidRPr="00126B54">
        <w:rPr>
          <w:i/>
        </w:rPr>
        <w:t>Enterobacteriaceae</w:t>
      </w:r>
      <w:r>
        <w:t xml:space="preserve"> species with carbapenemase production and resistance</w:t>
      </w:r>
    </w:p>
    <w:p w:rsidR="00C160DE" w:rsidRDefault="00C160DE" w:rsidP="00CB0B21">
      <w:pPr>
        <w:pStyle w:val="DHHSbullet1"/>
      </w:pPr>
      <w:r>
        <w:t xml:space="preserve">non-carbapenemase-producing </w:t>
      </w:r>
      <w:r w:rsidRPr="00126B54">
        <w:rPr>
          <w:i/>
        </w:rPr>
        <w:t>Enterobacteriaceae</w:t>
      </w:r>
      <w:r>
        <w:t xml:space="preserve"> that are phenotypically resistant to carbapenem (carbapenem-resistant </w:t>
      </w:r>
      <w:r>
        <w:rPr>
          <w:i/>
        </w:rPr>
        <w:t>Enterobacteriaceae</w:t>
      </w:r>
      <w:r>
        <w:t xml:space="preserve"> (CRE)).producers</w:t>
      </w:r>
    </w:p>
    <w:p w:rsidR="00C160DE" w:rsidRPr="00BE5892" w:rsidRDefault="00C160DE" w:rsidP="00CB0B21">
      <w:pPr>
        <w:pStyle w:val="DHHSbody"/>
      </w:pPr>
      <w:r>
        <w:t xml:space="preserve">However, laboratories are encouraged to send carbapenemase-producing isolates that are not </w:t>
      </w:r>
      <w:r w:rsidRPr="00126B54">
        <w:rPr>
          <w:i/>
        </w:rPr>
        <w:t>Enterobacteriaceae</w:t>
      </w:r>
      <w:r>
        <w:rPr>
          <w:i/>
        </w:rPr>
        <w:t xml:space="preserve"> </w:t>
      </w:r>
      <w:r w:rsidRPr="00BE5892">
        <w:t>to MDU PHL for confirmation</w:t>
      </w:r>
      <w:r>
        <w:rPr>
          <w:i/>
        </w:rPr>
        <w:t>.</w:t>
      </w:r>
      <w:r>
        <w:t xml:space="preserve"> This may help with the understanding of the extent of the challenge posed by other highly resistant bacteria.</w:t>
      </w:r>
    </w:p>
    <w:p w:rsidR="00C160DE" w:rsidRDefault="00C160DE" w:rsidP="00CB0B21">
      <w:pPr>
        <w:pStyle w:val="Heading3"/>
      </w:pPr>
      <w:r>
        <w:lastRenderedPageBreak/>
        <w:t>Management of patients with CPE</w:t>
      </w:r>
    </w:p>
    <w:p w:rsidR="00C160DE" w:rsidRDefault="00C160DE" w:rsidP="00CB0B21">
      <w:pPr>
        <w:pStyle w:val="DHHSbody"/>
      </w:pPr>
      <w:r>
        <w:t>The Department of Health and Human Services (the department) has developed two separate guidelines for health services and LTRCFs that provide specific advice with respect to the infection prevention and control management of individual CPE cases and actions required when a TRA has been identified.</w:t>
      </w:r>
    </w:p>
    <w:p w:rsidR="00C160DE" w:rsidRDefault="00C160DE" w:rsidP="00CB0B21">
      <w:pPr>
        <w:pStyle w:val="DHHSbody"/>
      </w:pPr>
      <w:r>
        <w:t xml:space="preserve">For health services (that is, any public or private health services, hospitals or denominational hospitals that admit patients overnight), </w:t>
      </w:r>
      <w:hyperlink r:id="rId12" w:history="1">
        <w:r w:rsidRPr="00143CAC">
          <w:rPr>
            <w:rStyle w:val="Hyperlink"/>
          </w:rPr>
          <w:t xml:space="preserve">the </w:t>
        </w:r>
        <w:r w:rsidRPr="00143CAC">
          <w:rPr>
            <w:rStyle w:val="Hyperlink"/>
            <w:i/>
          </w:rPr>
          <w:t>Victorian guideline on CPE for health services</w:t>
        </w:r>
        <w:r>
          <w:rPr>
            <w:rStyle w:val="Hyperlink"/>
          </w:rPr>
          <w:t xml:space="preserve"> V2.1 (2018</w:t>
        </w:r>
        <w:r w:rsidRPr="00143CAC">
          <w:rPr>
            <w:rStyle w:val="Hyperlink"/>
          </w:rPr>
          <w:t>) is the relevant guidance document</w:t>
        </w:r>
      </w:hyperlink>
      <w:r>
        <w:t xml:space="preserve"> &lt;</w:t>
      </w:r>
      <w:r w:rsidRPr="001A39C7">
        <w:t>https://www2.health.vic.gov.au/public-health/infectious-diseases/infection-control-guidelines/carbapenemase-producing-enterobacteriaceae-management</w:t>
      </w:r>
      <w:r>
        <w:t>&gt;.</w:t>
      </w:r>
    </w:p>
    <w:p w:rsidR="00C160DE" w:rsidRDefault="00C160DE" w:rsidP="00CB0B21">
      <w:pPr>
        <w:pStyle w:val="DHHSbody"/>
      </w:pPr>
      <w:r>
        <w:t xml:space="preserve">For LTRCFs (that is, </w:t>
      </w:r>
      <w:r w:rsidRPr="00372604">
        <w:t>any public or privat</w:t>
      </w:r>
      <w:r>
        <w:t>e aged care, disability service</w:t>
      </w:r>
      <w:r w:rsidRPr="00372604">
        <w:t xml:space="preserve"> or other congruent accommodation setting in Victoria where residents are provided with personal care or health care by facility staff</w:t>
      </w:r>
      <w:r>
        <w:t xml:space="preserve">), </w:t>
      </w:r>
      <w:hyperlink r:id="rId13" w:history="1">
        <w:r w:rsidRPr="00C60491">
          <w:rPr>
            <w:rStyle w:val="Hyperlink"/>
          </w:rPr>
          <w:t xml:space="preserve">the </w:t>
        </w:r>
        <w:r w:rsidRPr="00C60491">
          <w:rPr>
            <w:rStyle w:val="Hyperlink"/>
            <w:i/>
          </w:rPr>
          <w:t>Victorian guideline on CPE for LTRCFs</w:t>
        </w:r>
        <w:r>
          <w:rPr>
            <w:rStyle w:val="Hyperlink"/>
          </w:rPr>
          <w:t xml:space="preserve"> (2018</w:t>
        </w:r>
        <w:r w:rsidRPr="00C60491">
          <w:rPr>
            <w:rStyle w:val="Hyperlink"/>
          </w:rPr>
          <w:t>) is the relevant guidance document</w:t>
        </w:r>
      </w:hyperlink>
      <w:r>
        <w:t xml:space="preserve"> &lt;</w:t>
      </w:r>
      <w:r w:rsidRPr="001A39C7">
        <w:t>https://www2.health.vic.gov.au/public-health/infectious-diseases/infection-control-guidelines/carbapenemase-producing-enterobacteriaceae-management</w:t>
      </w:r>
      <w:r>
        <w:t>&gt;.</w:t>
      </w:r>
    </w:p>
    <w:p w:rsidR="00C160DE" w:rsidRDefault="00C160DE">
      <w:pPr>
        <w:rPr>
          <w:rFonts w:ascii="Arial" w:hAnsi="Arial"/>
          <w:bCs/>
          <w:color w:val="004EA8"/>
          <w:sz w:val="44"/>
          <w:szCs w:val="44"/>
        </w:rPr>
      </w:pPr>
      <w:bookmarkStart w:id="16" w:name="_Toc480979834"/>
      <w:r>
        <w:br w:type="page"/>
      </w:r>
    </w:p>
    <w:p w:rsidR="00C160DE" w:rsidRDefault="00C160DE" w:rsidP="00CB0B21">
      <w:pPr>
        <w:pStyle w:val="Heading1"/>
      </w:pPr>
      <w:bookmarkStart w:id="17" w:name="_Toc504988364"/>
      <w:r>
        <w:lastRenderedPageBreak/>
        <w:t>Section 2: Governance</w:t>
      </w:r>
      <w:bookmarkEnd w:id="16"/>
      <w:bookmarkEnd w:id="17"/>
    </w:p>
    <w:p w:rsidR="00C160DE" w:rsidRPr="004F6DAF" w:rsidRDefault="00C160DE" w:rsidP="00CB0B21">
      <w:pPr>
        <w:pStyle w:val="Heading2"/>
      </w:pPr>
      <w:bookmarkStart w:id="18" w:name="_Toc480979835"/>
      <w:bookmarkStart w:id="19" w:name="_Toc504988365"/>
      <w:bookmarkStart w:id="20" w:name="_Toc440553295"/>
      <w:r>
        <w:t>Roles and r</w:t>
      </w:r>
      <w:r w:rsidRPr="004F6DAF">
        <w:t xml:space="preserve">esponsibilities </w:t>
      </w:r>
      <w:r>
        <w:t>of all agencies</w:t>
      </w:r>
      <w:bookmarkEnd w:id="18"/>
      <w:bookmarkEnd w:id="19"/>
    </w:p>
    <w:p w:rsidR="00C160DE" w:rsidRPr="004F6DAF" w:rsidRDefault="00C160DE" w:rsidP="00CB0B21">
      <w:pPr>
        <w:pStyle w:val="Heading3"/>
      </w:pPr>
      <w:r w:rsidRPr="004F6DAF">
        <w:t>Department of Health and Human Services</w:t>
      </w:r>
      <w:r>
        <w:t xml:space="preserve"> (the department)</w:t>
      </w:r>
    </w:p>
    <w:p w:rsidR="00C160DE" w:rsidRPr="004F6DAF" w:rsidRDefault="00C160DE" w:rsidP="00CB0B21">
      <w:pPr>
        <w:pStyle w:val="DHHSbody"/>
      </w:pPr>
      <w:r>
        <w:t>The department</w:t>
      </w:r>
      <w:r w:rsidRPr="004F6DAF">
        <w:t xml:space="preserve"> is the lead agency fo</w:t>
      </w:r>
      <w:r>
        <w:t xml:space="preserve">r the Victorian </w:t>
      </w:r>
      <w:r w:rsidRPr="004F6DAF">
        <w:t xml:space="preserve">response to CPE. </w:t>
      </w:r>
      <w:r>
        <w:t>The department</w:t>
      </w:r>
      <w:r w:rsidRPr="004F6DAF">
        <w:t xml:space="preserve"> has engaged several partner agencies, namely the </w:t>
      </w:r>
      <w:r>
        <w:t>MDU PHL</w:t>
      </w:r>
      <w:r w:rsidRPr="004F6DAF">
        <w:t xml:space="preserve"> and the </w:t>
      </w:r>
      <w:r>
        <w:t>VICNISS Healthcare Associated Infection Surveillance Coordinating Centre</w:t>
      </w:r>
      <w:r w:rsidRPr="004F6DAF">
        <w:t xml:space="preserve"> </w:t>
      </w:r>
      <w:r>
        <w:t xml:space="preserve">(VICNISS) </w:t>
      </w:r>
      <w:r w:rsidRPr="004F6DAF">
        <w:t>to assist with the surveillance a</w:t>
      </w:r>
      <w:r>
        <w:t>nd response to CPE in Victoria.</w:t>
      </w:r>
    </w:p>
    <w:p w:rsidR="00C160DE" w:rsidRPr="004F6DAF" w:rsidRDefault="00C160DE" w:rsidP="00CB0B21">
      <w:pPr>
        <w:pStyle w:val="DHHSbody"/>
      </w:pPr>
      <w:r>
        <w:t>The department</w:t>
      </w:r>
      <w:r w:rsidRPr="004F6DAF">
        <w:t xml:space="preserve"> will maintain the database for all information collected during the investigation of cases</w:t>
      </w:r>
      <w:r>
        <w:t xml:space="preserve"> or TRAs</w:t>
      </w:r>
      <w:r w:rsidRPr="004F6DAF">
        <w:t>.</w:t>
      </w:r>
    </w:p>
    <w:p w:rsidR="00C160DE" w:rsidRPr="004F6DAF" w:rsidRDefault="00C160DE" w:rsidP="00CB0B21">
      <w:pPr>
        <w:pStyle w:val="DHHSbody"/>
      </w:pPr>
      <w:r w:rsidRPr="004F6DAF">
        <w:t xml:space="preserve">The relevant roles for </w:t>
      </w:r>
      <w:r>
        <w:t>the department</w:t>
      </w:r>
      <w:r w:rsidRPr="004F6DAF">
        <w:t xml:space="preserve"> include:</w:t>
      </w:r>
    </w:p>
    <w:p w:rsidR="00C160DE" w:rsidRPr="004F6DAF" w:rsidRDefault="00C160DE" w:rsidP="00CB0B21">
      <w:pPr>
        <w:pStyle w:val="DHHSbullet1"/>
      </w:pPr>
      <w:r w:rsidRPr="004F6DAF">
        <w:t>maintaining a notifiable conditions surveillance and response capability and capacity</w:t>
      </w:r>
    </w:p>
    <w:p w:rsidR="00C160DE" w:rsidRPr="004F6DAF" w:rsidRDefault="00C160DE" w:rsidP="00CB0B21">
      <w:pPr>
        <w:pStyle w:val="DHHSbullet1"/>
      </w:pPr>
      <w:r w:rsidRPr="004F6DAF">
        <w:t>providing oversight of quality and safety in Victorian health services</w:t>
      </w:r>
    </w:p>
    <w:p w:rsidR="00C160DE" w:rsidRPr="004F6DAF" w:rsidRDefault="00C160DE" w:rsidP="00CB0B21">
      <w:pPr>
        <w:pStyle w:val="DHHSbullet1lastline"/>
      </w:pPr>
      <w:r w:rsidRPr="004F6DAF">
        <w:t>activa</w:t>
      </w:r>
      <w:r>
        <w:t>ting and maintaining the</w:t>
      </w:r>
      <w:r w:rsidRPr="004F6DAF">
        <w:t xml:space="preserve"> </w:t>
      </w:r>
      <w:r>
        <w:t>VCIMT</w:t>
      </w:r>
      <w:r w:rsidRPr="004F6DAF">
        <w:t xml:space="preserve"> when required</w:t>
      </w:r>
      <w:r>
        <w:t>.</w:t>
      </w:r>
    </w:p>
    <w:p w:rsidR="00C160DE" w:rsidRPr="004F6DAF" w:rsidRDefault="00C160DE" w:rsidP="00CB0B21">
      <w:pPr>
        <w:pStyle w:val="Heading3"/>
        <w:rPr>
          <w:lang w:eastAsia="en-AU"/>
        </w:rPr>
      </w:pPr>
      <w:r>
        <w:rPr>
          <w:lang w:eastAsia="en-AU"/>
        </w:rPr>
        <w:t>MDU PHL</w:t>
      </w:r>
      <w:r w:rsidRPr="004F6DAF">
        <w:rPr>
          <w:lang w:eastAsia="en-AU"/>
        </w:rPr>
        <w:t xml:space="preserve"> &amp; </w:t>
      </w:r>
      <w:r>
        <w:t>VICNISS</w:t>
      </w:r>
    </w:p>
    <w:p w:rsidR="00C160DE" w:rsidRPr="004F6DAF" w:rsidRDefault="00C160DE" w:rsidP="00CB0B21">
      <w:pPr>
        <w:pStyle w:val="DHHSbody"/>
      </w:pPr>
      <w:r>
        <w:t>MDU PHL</w:t>
      </w:r>
      <w:r w:rsidRPr="004F6DAF">
        <w:t xml:space="preserve"> and </w:t>
      </w:r>
      <w:r>
        <w:t xml:space="preserve">VICNISS </w:t>
      </w:r>
      <w:r w:rsidRPr="004F6DAF">
        <w:t xml:space="preserve">are the surveillance partners of </w:t>
      </w:r>
      <w:r>
        <w:t>the department</w:t>
      </w:r>
      <w:r w:rsidRPr="004F6DAF">
        <w:t xml:space="preserve">, collectively known as the Victorian CPE Surveillance and Response Unit (VCSRU). These organisations undertake work in assessing and responding to CPE in Victoria on behalf of </w:t>
      </w:r>
      <w:r>
        <w:t>the department</w:t>
      </w:r>
      <w:r w:rsidRPr="004F6DAF">
        <w:t xml:space="preserve">. Both organisations are based at the Peter </w:t>
      </w:r>
      <w:r>
        <w:t>Doherty Institute for Infection</w:t>
      </w:r>
      <w:r w:rsidRPr="004F6DAF">
        <w:t xml:space="preserve"> and Immunity.</w:t>
      </w:r>
    </w:p>
    <w:p w:rsidR="00C160DE" w:rsidRPr="004F6DAF" w:rsidRDefault="00C160DE" w:rsidP="00CB0B21">
      <w:pPr>
        <w:pStyle w:val="DHHSbody"/>
      </w:pPr>
      <w:r>
        <w:t>MDU PHL</w:t>
      </w:r>
      <w:r w:rsidRPr="004F6DAF">
        <w:t xml:space="preserve"> </w:t>
      </w:r>
      <w:r>
        <w:t xml:space="preserve">receives all </w:t>
      </w:r>
      <w:r w:rsidRPr="004F6DAF">
        <w:t>reports and isolates of suspected and confirmed CPE</w:t>
      </w:r>
      <w:r>
        <w:t xml:space="preserve">, and </w:t>
      </w:r>
      <w:r w:rsidRPr="004F6DAF">
        <w:t>perform</w:t>
      </w:r>
      <w:r>
        <w:t>s</w:t>
      </w:r>
      <w:r w:rsidRPr="004F6DAF">
        <w:t xml:space="preserve"> further tests to confirm, characterise and sequence CPE isolates. Whole genome sequencing </w:t>
      </w:r>
      <w:r>
        <w:t xml:space="preserve">(WGS) </w:t>
      </w:r>
      <w:r w:rsidRPr="004F6DAF">
        <w:t xml:space="preserve">and bioinformatics is used to determine </w:t>
      </w:r>
      <w:r>
        <w:t>relatedness of selected isolates.</w:t>
      </w:r>
    </w:p>
    <w:p w:rsidR="00C160DE" w:rsidRPr="004F6DAF" w:rsidRDefault="00C160DE" w:rsidP="00CB0B21">
      <w:pPr>
        <w:pStyle w:val="DHHSbody"/>
      </w:pPr>
      <w:r>
        <w:t>VICNISS</w:t>
      </w:r>
      <w:r w:rsidRPr="004F6DAF">
        <w:t xml:space="preserve"> </w:t>
      </w:r>
      <w:r>
        <w:t>coordinates</w:t>
      </w:r>
      <w:r w:rsidRPr="004F6DAF">
        <w:t xml:space="preserve"> collection of data regarding patients with CPE and possible trans</w:t>
      </w:r>
      <w:r>
        <w:t>missions in health services, and is</w:t>
      </w:r>
      <w:r w:rsidRPr="004F6DAF">
        <w:t xml:space="preserve"> also available to provide advice on CPE prevention and control to health services</w:t>
      </w:r>
      <w:r>
        <w:t xml:space="preserve"> and LTRCFs</w:t>
      </w:r>
      <w:r w:rsidRPr="004F6DAF">
        <w:t>.</w:t>
      </w:r>
    </w:p>
    <w:p w:rsidR="00C160DE" w:rsidRPr="004F6DAF" w:rsidRDefault="00C160DE" w:rsidP="00CB0B21">
      <w:pPr>
        <w:pStyle w:val="DHHSbody"/>
      </w:pPr>
      <w:r>
        <w:t>The VCSRU, using the</w:t>
      </w:r>
      <w:r w:rsidRPr="004F6DAF">
        <w:t xml:space="preserve"> information</w:t>
      </w:r>
      <w:r>
        <w:t xml:space="preserve"> they collect,</w:t>
      </w:r>
      <w:r w:rsidRPr="004F6DAF">
        <w:t xml:space="preserve"> establish whether local </w:t>
      </w:r>
      <w:r>
        <w:t xml:space="preserve">CPE </w:t>
      </w:r>
      <w:r w:rsidRPr="004F6DAF">
        <w:t xml:space="preserve">transmission </w:t>
      </w:r>
      <w:r>
        <w:t xml:space="preserve">is suspected to have </w:t>
      </w:r>
      <w:r w:rsidRPr="004F6DAF">
        <w:t xml:space="preserve">occurred and support the </w:t>
      </w:r>
      <w:r>
        <w:t xml:space="preserve">VCIMT </w:t>
      </w:r>
      <w:r w:rsidRPr="004F6DAF">
        <w:t>in the</w:t>
      </w:r>
      <w:r>
        <w:t>ir</w:t>
      </w:r>
      <w:r w:rsidRPr="004F6DAF">
        <w:t xml:space="preserve"> response to transmissions.</w:t>
      </w:r>
    </w:p>
    <w:p w:rsidR="00C160DE" w:rsidRPr="004F6DAF" w:rsidRDefault="00C160DE" w:rsidP="00CB0B21">
      <w:pPr>
        <w:pStyle w:val="Heading3"/>
      </w:pPr>
      <w:r w:rsidRPr="004F6DAF">
        <w:t>Victorian CPE Incident Management Team</w:t>
      </w:r>
    </w:p>
    <w:p w:rsidR="00C160DE" w:rsidRPr="004F6DAF" w:rsidRDefault="00C160DE" w:rsidP="00CB0B21">
      <w:pPr>
        <w:pStyle w:val="DHHSbody"/>
      </w:pPr>
      <w:r>
        <w:t>The VCIMT</w:t>
      </w:r>
      <w:r w:rsidRPr="004F6DAF">
        <w:t xml:space="preserve"> is constituted to support and oversee the public health and health service </w:t>
      </w:r>
      <w:r>
        <w:t xml:space="preserve">or LTRCF </w:t>
      </w:r>
      <w:r w:rsidRPr="004F6DAF">
        <w:t xml:space="preserve">response to CPE. The VCIMT is activated at the discretion of </w:t>
      </w:r>
      <w:r>
        <w:t>the department</w:t>
      </w:r>
      <w:r w:rsidRPr="004F6DAF">
        <w:t xml:space="preserve"> by the identification of possible or confirmed local transmission of CPE within Victoria, and will remain activated as long as coordination of risk assessment and management is required.</w:t>
      </w:r>
    </w:p>
    <w:p w:rsidR="00C160DE" w:rsidRDefault="00C160DE" w:rsidP="00CB0B21">
      <w:pPr>
        <w:pStyle w:val="DHHSbody"/>
      </w:pPr>
      <w:r w:rsidRPr="004F6DAF">
        <w:t>The VCIMT is chaired by the Victorian Ch</w:t>
      </w:r>
      <w:r>
        <w:t xml:space="preserve">ief Health Officer or delegate, </w:t>
      </w:r>
      <w:r w:rsidRPr="004F6DAF">
        <w:t xml:space="preserve">and will provide advice and guidance on required control measures based on the authority of the </w:t>
      </w:r>
      <w:r w:rsidRPr="004F6DAF">
        <w:rPr>
          <w:i/>
        </w:rPr>
        <w:t>Public Health and Wellbeing Act 2008.</w:t>
      </w:r>
      <w:r w:rsidRPr="004F6DAF">
        <w:t xml:space="preserve"> </w:t>
      </w:r>
      <w:r>
        <w:t xml:space="preserve">For further information about VCIMT membership and authority </w:t>
      </w:r>
      <w:hyperlink r:id="rId14" w:history="1">
        <w:r w:rsidRPr="007F5408">
          <w:rPr>
            <w:rStyle w:val="Hyperlink"/>
          </w:rPr>
          <w:t xml:space="preserve">see the </w:t>
        </w:r>
        <w:r w:rsidRPr="007F5408">
          <w:rPr>
            <w:rStyle w:val="Hyperlink"/>
            <w:i/>
          </w:rPr>
          <w:t>Victorian guideline on CPE for health services</w:t>
        </w:r>
        <w:r w:rsidRPr="007F5408">
          <w:rPr>
            <w:rStyle w:val="Hyperlink"/>
          </w:rPr>
          <w:t xml:space="preserve"> </w:t>
        </w:r>
        <w:r>
          <w:rPr>
            <w:rStyle w:val="Hyperlink"/>
          </w:rPr>
          <w:t>V2.1 (2018</w:t>
        </w:r>
        <w:r w:rsidRPr="007F5408">
          <w:rPr>
            <w:rStyle w:val="Hyperlink"/>
          </w:rPr>
          <w:t>)</w:t>
        </w:r>
      </w:hyperlink>
      <w:r>
        <w:t xml:space="preserve"> &lt;</w:t>
      </w:r>
      <w:r w:rsidRPr="001A39C7">
        <w:t>https://www2.health.vic.gov.au/public-health/infectious-diseases/infection-control-guidelines/carbapenemase-producing-enterobacteriaceae-management</w:t>
      </w:r>
      <w:r>
        <w:t>&gt;.</w:t>
      </w:r>
    </w:p>
    <w:p w:rsidR="00C160DE" w:rsidRPr="004F6DAF" w:rsidRDefault="00C160DE" w:rsidP="00CB0B21">
      <w:pPr>
        <w:pStyle w:val="Heading3"/>
      </w:pPr>
      <w:r w:rsidRPr="004F6DAF">
        <w:t>Health services</w:t>
      </w:r>
      <w:r>
        <w:t xml:space="preserve"> and LTRCFs</w:t>
      </w:r>
    </w:p>
    <w:p w:rsidR="00C160DE" w:rsidRPr="004F6DAF" w:rsidRDefault="00C160DE" w:rsidP="00CB0B21">
      <w:pPr>
        <w:pStyle w:val="DHHSbody"/>
      </w:pPr>
      <w:r w:rsidRPr="004F6DAF">
        <w:t xml:space="preserve">Health services </w:t>
      </w:r>
      <w:r>
        <w:t>and LTRCFs must</w:t>
      </w:r>
      <w:r w:rsidRPr="004F6DAF">
        <w:t xml:space="preserve"> implement </w:t>
      </w:r>
      <w:r>
        <w:t xml:space="preserve">the relevant </w:t>
      </w:r>
      <w:r w:rsidRPr="00976F32">
        <w:rPr>
          <w:i/>
        </w:rPr>
        <w:t>Victorian guideline on CPE</w:t>
      </w:r>
      <w:bookmarkEnd w:id="20"/>
      <w:r>
        <w:t xml:space="preserve">. If a health service or LTRCF elects to undertake environmental sampling or is directed by the VCIMT to undertake sampling </w:t>
      </w:r>
      <w:r>
        <w:lastRenderedPageBreak/>
        <w:t xml:space="preserve">the </w:t>
      </w:r>
      <w:r w:rsidRPr="00041DC2">
        <w:rPr>
          <w:i/>
        </w:rPr>
        <w:t>Victorian guideline on environmental sampling for CPE</w:t>
      </w:r>
      <w:r>
        <w:t xml:space="preserve"> (2017) provides guidance on how this should be conducted.</w:t>
      </w:r>
    </w:p>
    <w:p w:rsidR="00C160DE" w:rsidRPr="004F6DAF" w:rsidRDefault="00C160DE" w:rsidP="00CB0B21">
      <w:pPr>
        <w:pStyle w:val="Heading4"/>
      </w:pPr>
      <w:bookmarkStart w:id="21" w:name="_Health_Service_Incident"/>
      <w:bookmarkEnd w:id="21"/>
      <w:r w:rsidRPr="004F6DAF">
        <w:t>Health Service Incident Management Team</w:t>
      </w:r>
    </w:p>
    <w:p w:rsidR="00C160DE" w:rsidRDefault="00C160DE" w:rsidP="00CB0B21">
      <w:pPr>
        <w:pStyle w:val="DHHSbody"/>
      </w:pPr>
      <w:r w:rsidRPr="004F6DAF">
        <w:t>A Health Service Incident Management Team (HSIMT) should be established when there is confirmation of local transmission of CPE</w:t>
      </w:r>
      <w:r>
        <w:t xml:space="preserve">, as </w:t>
      </w:r>
      <w:r w:rsidRPr="004F6DAF">
        <w:t>an approach that can provide best practice governance for a response to tran</w:t>
      </w:r>
      <w:r>
        <w:t>smission of CPE within a health service</w:t>
      </w:r>
      <w:r w:rsidRPr="004F6DAF">
        <w:t>.</w:t>
      </w:r>
      <w:r>
        <w:t xml:space="preserve"> </w:t>
      </w:r>
      <w:r w:rsidRPr="004406DA">
        <w:t xml:space="preserve">For further information about the role of the HSIMT see the </w:t>
      </w:r>
      <w:r w:rsidRPr="004406DA">
        <w:rPr>
          <w:i/>
        </w:rPr>
        <w:t>Victorian guideline on CPE for health services V2.1</w:t>
      </w:r>
      <w:r>
        <w:t xml:space="preserve"> (2018</w:t>
      </w:r>
      <w:r w:rsidRPr="004406DA">
        <w:t>)</w:t>
      </w:r>
      <w:r>
        <w:t xml:space="preserve"> &lt;</w:t>
      </w:r>
      <w:r w:rsidRPr="001A39C7">
        <w:t>https://www2.health.vic.gov.au/public-health/infectious-diseases/infection-control-guidelines/carbapenemase-producing-enterobacteriaceae-management</w:t>
      </w:r>
      <w:r>
        <w:t>&gt;.</w:t>
      </w:r>
    </w:p>
    <w:p w:rsidR="00C160DE" w:rsidRPr="004F6DAF" w:rsidRDefault="00C160DE" w:rsidP="00CB0B21">
      <w:pPr>
        <w:pStyle w:val="DHHSbody"/>
      </w:pPr>
      <w:r>
        <w:t>The HSIMT may elect to undertake environmental screening or be directed by the VCIMT to undertake screening.</w:t>
      </w:r>
    </w:p>
    <w:p w:rsidR="00C160DE" w:rsidRPr="004F6DAF" w:rsidRDefault="00C160DE" w:rsidP="00CB0B21">
      <w:pPr>
        <w:pStyle w:val="Heading3"/>
      </w:pPr>
      <w:r w:rsidRPr="004F6DAF">
        <w:t>Diagnostic microbiology laboratories</w:t>
      </w:r>
    </w:p>
    <w:p w:rsidR="00C160DE" w:rsidRDefault="00C160DE" w:rsidP="00CB0B21">
      <w:pPr>
        <w:spacing w:after="120" w:line="270" w:lineRule="atLeast"/>
        <w:rPr>
          <w:rFonts w:ascii="Arial" w:eastAsia="Times" w:hAnsi="Arial"/>
        </w:rPr>
      </w:pPr>
      <w:r>
        <w:rPr>
          <w:rFonts w:ascii="Arial" w:eastAsia="Times" w:hAnsi="Arial"/>
        </w:rPr>
        <w:t>D</w:t>
      </w:r>
      <w:r w:rsidRPr="004F6DAF">
        <w:rPr>
          <w:rFonts w:ascii="Arial" w:eastAsia="Times" w:hAnsi="Arial"/>
        </w:rPr>
        <w:t>iagnostic laboratories identify</w:t>
      </w:r>
      <w:r>
        <w:rPr>
          <w:rFonts w:ascii="Arial" w:eastAsia="Times" w:hAnsi="Arial"/>
        </w:rPr>
        <w:t>ing</w:t>
      </w:r>
      <w:r w:rsidRPr="004F6DAF">
        <w:rPr>
          <w:rFonts w:ascii="Arial" w:eastAsia="Times" w:hAnsi="Arial"/>
        </w:rPr>
        <w:t xml:space="preserve"> suspected CPE</w:t>
      </w:r>
      <w:r>
        <w:rPr>
          <w:rFonts w:ascii="Arial" w:eastAsia="Times" w:hAnsi="Arial"/>
        </w:rPr>
        <w:t xml:space="preserve"> from clinical samples</w:t>
      </w:r>
      <w:r w:rsidRPr="004F6DAF">
        <w:rPr>
          <w:rFonts w:ascii="Arial" w:eastAsia="Times" w:hAnsi="Arial"/>
        </w:rPr>
        <w:t xml:space="preserve">, </w:t>
      </w:r>
      <w:r>
        <w:rPr>
          <w:rFonts w:ascii="Arial" w:eastAsia="Times" w:hAnsi="Arial"/>
        </w:rPr>
        <w:t xml:space="preserve">are required </w:t>
      </w:r>
      <w:r w:rsidRPr="004F6DAF">
        <w:rPr>
          <w:rFonts w:ascii="Arial" w:eastAsia="Times" w:hAnsi="Arial"/>
        </w:rPr>
        <w:t xml:space="preserve">to report suspected CPE to </w:t>
      </w:r>
      <w:r w:rsidRPr="001F30E1">
        <w:rPr>
          <w:rFonts w:ascii="Arial" w:eastAsia="Times" w:hAnsi="Arial"/>
        </w:rPr>
        <w:t>the department</w:t>
      </w:r>
      <w:r w:rsidRPr="004F6DAF">
        <w:rPr>
          <w:rFonts w:ascii="Arial" w:eastAsia="Times" w:hAnsi="Arial"/>
        </w:rPr>
        <w:t xml:space="preserve"> by faxing the result within one business day to 1300 651 160. All clinical, screening and environmental isolates must be sent</w:t>
      </w:r>
      <w:r>
        <w:rPr>
          <w:rFonts w:ascii="Arial" w:eastAsia="Times" w:hAnsi="Arial"/>
        </w:rPr>
        <w:t xml:space="preserve"> by the diagnostic laboratory</w:t>
      </w:r>
      <w:r w:rsidRPr="004F6DAF">
        <w:rPr>
          <w:rFonts w:ascii="Arial" w:eastAsia="Times" w:hAnsi="Arial"/>
        </w:rPr>
        <w:t xml:space="preserve"> to MDU PHL for characterisation. After confirmation, the diagnostic labo</w:t>
      </w:r>
      <w:r>
        <w:rPr>
          <w:rFonts w:ascii="Arial" w:eastAsia="Times" w:hAnsi="Arial"/>
        </w:rPr>
        <w:t>ratory should notify the health</w:t>
      </w:r>
      <w:r w:rsidRPr="004F6DAF">
        <w:rPr>
          <w:rFonts w:ascii="Arial" w:eastAsia="Times" w:hAnsi="Arial"/>
        </w:rPr>
        <w:t xml:space="preserve">care facility infection control lead and executive as </w:t>
      </w:r>
      <w:r>
        <w:rPr>
          <w:rFonts w:ascii="Arial" w:eastAsia="Times" w:hAnsi="Arial"/>
        </w:rPr>
        <w:t>per the facility’s CPE management plan</w:t>
      </w:r>
      <w:r w:rsidRPr="004F6DAF">
        <w:rPr>
          <w:rFonts w:ascii="Arial" w:eastAsia="Times" w:hAnsi="Arial"/>
        </w:rPr>
        <w:t>.</w:t>
      </w:r>
    </w:p>
    <w:p w:rsidR="00C160DE" w:rsidRDefault="00C160DE" w:rsidP="00CB0B21">
      <w:pPr>
        <w:spacing w:after="120" w:line="270" w:lineRule="atLeast"/>
        <w:rPr>
          <w:rFonts w:ascii="Arial" w:eastAsia="Times" w:hAnsi="Arial"/>
        </w:rPr>
      </w:pPr>
      <w:r>
        <w:rPr>
          <w:rFonts w:ascii="Arial" w:eastAsia="Times" w:hAnsi="Arial"/>
        </w:rPr>
        <w:t>It is preferable that the diagnostic laboratory providing the pathology services to the health service should also process any environmental samples. Each laboratory needs to determine if they require NATA accreditation to undertake this testing and, if so, how to achieve this. MDU PHL is accredited with NATA to conduct environmental sample testing. MDU PHL may on prior consultation be able to perform the testing of environmental samples where a diagnostic laboratory does not have the capability to undertake these tests (</w:t>
      </w:r>
      <w:r w:rsidRPr="00AD3139">
        <w:rPr>
          <w:rFonts w:ascii="Arial" w:eastAsia="Times" w:hAnsi="Arial"/>
        </w:rPr>
        <w:t>culture and/or identification</w:t>
      </w:r>
      <w:r>
        <w:rPr>
          <w:rFonts w:ascii="Arial" w:eastAsia="Times" w:hAnsi="Arial"/>
        </w:rPr>
        <w:t>). If assistance is required, contact MDU PHL on (03) 8344 5701 before undertaking any environmental screening.</w:t>
      </w:r>
    </w:p>
    <w:p w:rsidR="00C160DE" w:rsidRDefault="00C160DE" w:rsidP="00CB0B21">
      <w:pPr>
        <w:spacing w:after="120" w:line="270" w:lineRule="atLeast"/>
        <w:rPr>
          <w:rFonts w:ascii="Arial" w:eastAsia="Times" w:hAnsi="Arial"/>
        </w:rPr>
      </w:pPr>
      <w:r>
        <w:br w:type="page"/>
      </w:r>
    </w:p>
    <w:p w:rsidR="00C160DE" w:rsidRDefault="00C160DE" w:rsidP="00CB0B21">
      <w:pPr>
        <w:pStyle w:val="Heading1"/>
      </w:pPr>
      <w:bookmarkStart w:id="22" w:name="_Toc504988366"/>
      <w:r>
        <w:lastRenderedPageBreak/>
        <w:t>Section 3: Environmental sampling methods</w:t>
      </w:r>
      <w:bookmarkEnd w:id="22"/>
    </w:p>
    <w:p w:rsidR="00C160DE" w:rsidRDefault="00C160DE" w:rsidP="00CB0B21">
      <w:pPr>
        <w:pStyle w:val="Heading2"/>
      </w:pPr>
      <w:bookmarkStart w:id="23" w:name="_Toc504988367"/>
      <w:r>
        <w:t>Choosing sites to sample</w:t>
      </w:r>
      <w:bookmarkEnd w:id="23"/>
    </w:p>
    <w:p w:rsidR="00C160DE" w:rsidRDefault="00C160DE" w:rsidP="00CB0B21">
      <w:pPr>
        <w:pStyle w:val="DHHSbody"/>
      </w:pPr>
      <w:r>
        <w:t xml:space="preserve">Sites that may be sampled can be categorised into wet or dry surfaces. In general, </w:t>
      </w:r>
      <w:r w:rsidRPr="00143A8E">
        <w:rPr>
          <w:i/>
        </w:rPr>
        <w:t>Enterobacteriaceae</w:t>
      </w:r>
      <w:r>
        <w:t xml:space="preserve"> species are isolated from wet or moist environments more frequently than dry surfaces, although this is also dependent on the particular organism.</w:t>
      </w:r>
    </w:p>
    <w:p w:rsidR="00C160DE" w:rsidRDefault="00C160DE" w:rsidP="00CB0B21">
      <w:pPr>
        <w:pStyle w:val="DHHSbody"/>
      </w:pPr>
      <w:r>
        <w:t>Table 1 below provides a list of recommended wet and dry sampling sites from which CPE is known to have been isolated</w:t>
      </w:r>
      <w:r w:rsidRPr="00E82261">
        <w:t>.</w:t>
      </w:r>
    </w:p>
    <w:p w:rsidR="00C160DE" w:rsidRPr="00CB6A03" w:rsidRDefault="00C160DE" w:rsidP="00CB0B21">
      <w:pPr>
        <w:pStyle w:val="DHHStablecaption"/>
      </w:pPr>
      <w:r>
        <w:t>Table 1: Recommended environmental sample sites for CPE</w:t>
      </w:r>
    </w:p>
    <w:tbl>
      <w:tblPr>
        <w:tblStyle w:val="LightGrid-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649"/>
        <w:gridCol w:w="4649"/>
      </w:tblGrid>
      <w:tr w:rsidR="00C160DE" w:rsidRPr="00F4617A" w:rsidTr="00CB0B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49" w:type="dxa"/>
            <w:tcBorders>
              <w:top w:val="none" w:sz="0" w:space="0" w:color="auto"/>
              <w:left w:val="none" w:sz="0" w:space="0" w:color="auto"/>
              <w:bottom w:val="none" w:sz="0" w:space="0" w:color="auto"/>
              <w:right w:val="none" w:sz="0" w:space="0" w:color="auto"/>
            </w:tcBorders>
          </w:tcPr>
          <w:p w:rsidR="00C160DE" w:rsidRPr="00F4617A" w:rsidRDefault="00C160DE" w:rsidP="00CB0B21">
            <w:pPr>
              <w:pStyle w:val="DHHStablecolhead"/>
              <w:rPr>
                <w:b/>
              </w:rPr>
            </w:pPr>
            <w:r w:rsidRPr="00F4617A">
              <w:rPr>
                <w:b/>
              </w:rPr>
              <w:t>Wet sample sites</w:t>
            </w:r>
          </w:p>
        </w:tc>
        <w:tc>
          <w:tcPr>
            <w:tcW w:w="4649" w:type="dxa"/>
            <w:tcBorders>
              <w:top w:val="none" w:sz="0" w:space="0" w:color="auto"/>
              <w:left w:val="none" w:sz="0" w:space="0" w:color="auto"/>
              <w:bottom w:val="none" w:sz="0" w:space="0" w:color="auto"/>
              <w:right w:val="none" w:sz="0" w:space="0" w:color="auto"/>
            </w:tcBorders>
          </w:tcPr>
          <w:p w:rsidR="00C160DE" w:rsidRPr="00F4617A" w:rsidRDefault="00C160DE" w:rsidP="00CB0B21">
            <w:pPr>
              <w:pStyle w:val="DHHStablecolhead"/>
              <w:cnfStyle w:val="100000000000" w:firstRow="1" w:lastRow="0" w:firstColumn="0" w:lastColumn="0" w:oddVBand="0" w:evenVBand="0" w:oddHBand="0" w:evenHBand="0" w:firstRowFirstColumn="0" w:firstRowLastColumn="0" w:lastRowFirstColumn="0" w:lastRowLastColumn="0"/>
              <w:rPr>
                <w:b/>
              </w:rPr>
            </w:pPr>
            <w:r w:rsidRPr="00F4617A">
              <w:rPr>
                <w:b/>
              </w:rPr>
              <w:t>Dry sample sites</w:t>
            </w:r>
          </w:p>
        </w:tc>
      </w:tr>
      <w:tr w:rsidR="00C160DE" w:rsidTr="00CB0B21">
        <w:tc>
          <w:tcPr>
            <w:cnfStyle w:val="001000000000" w:firstRow="0" w:lastRow="0" w:firstColumn="1" w:lastColumn="0" w:oddVBand="0" w:evenVBand="0" w:oddHBand="0" w:evenHBand="0" w:firstRowFirstColumn="0" w:firstRowLastColumn="0" w:lastRowFirstColumn="0" w:lastRowLastColumn="0"/>
            <w:tcW w:w="4649" w:type="dxa"/>
          </w:tcPr>
          <w:p w:rsidR="00C160DE" w:rsidRPr="00CB6A03" w:rsidRDefault="00C160DE" w:rsidP="00CB0B21">
            <w:pPr>
              <w:pStyle w:val="DHHStablebullet"/>
              <w:rPr>
                <w:b w:val="0"/>
              </w:rPr>
            </w:pPr>
            <w:r w:rsidRPr="00CB6A03">
              <w:rPr>
                <w:b w:val="0"/>
              </w:rPr>
              <w:t>Toilet</w:t>
            </w:r>
          </w:p>
          <w:p w:rsidR="00C160DE" w:rsidRDefault="00C160DE" w:rsidP="00CB0B21">
            <w:pPr>
              <w:pStyle w:val="DHHStablebullet"/>
              <w:numPr>
                <w:ilvl w:val="8"/>
                <w:numId w:val="2"/>
              </w:numPr>
              <w:spacing w:after="200"/>
              <w:ind w:left="454" w:hanging="227"/>
              <w:rPr>
                <w:b w:val="0"/>
              </w:rPr>
            </w:pPr>
            <w:r w:rsidRPr="00CB6A03">
              <w:rPr>
                <w:b w:val="0"/>
              </w:rPr>
              <w:t>Inside rim</w:t>
            </w:r>
          </w:p>
          <w:p w:rsidR="00C160DE" w:rsidRPr="00CB6A03" w:rsidRDefault="00C160DE" w:rsidP="00CB0B21">
            <w:pPr>
              <w:pStyle w:val="DHHStablebullet"/>
              <w:rPr>
                <w:b w:val="0"/>
              </w:rPr>
            </w:pPr>
            <w:r w:rsidRPr="00CB6A03">
              <w:rPr>
                <w:b w:val="0"/>
              </w:rPr>
              <w:t>Drains</w:t>
            </w:r>
          </w:p>
          <w:p w:rsidR="00C160DE" w:rsidRDefault="00C160DE" w:rsidP="00CB0B21">
            <w:pPr>
              <w:pStyle w:val="DHHStablebullet"/>
              <w:numPr>
                <w:ilvl w:val="7"/>
                <w:numId w:val="2"/>
              </w:numPr>
              <w:ind w:left="454" w:hanging="227"/>
              <w:rPr>
                <w:b w:val="0"/>
              </w:rPr>
            </w:pPr>
            <w:r w:rsidRPr="00CB6A03">
              <w:rPr>
                <w:b w:val="0"/>
              </w:rPr>
              <w:t>Shower</w:t>
            </w:r>
          </w:p>
          <w:p w:rsidR="00C160DE" w:rsidRPr="00E21516" w:rsidRDefault="00C160DE" w:rsidP="00CB0B21">
            <w:pPr>
              <w:pStyle w:val="DHHStablebullet"/>
              <w:numPr>
                <w:ilvl w:val="8"/>
                <w:numId w:val="2"/>
              </w:numPr>
              <w:ind w:left="454" w:hanging="227"/>
              <w:rPr>
                <w:b w:val="0"/>
              </w:rPr>
            </w:pPr>
            <w:r>
              <w:rPr>
                <w:b w:val="0"/>
              </w:rPr>
              <w:t>Hand basin</w:t>
            </w:r>
          </w:p>
        </w:tc>
        <w:tc>
          <w:tcPr>
            <w:tcW w:w="4649" w:type="dxa"/>
          </w:tcPr>
          <w:p w:rsidR="00C160DE" w:rsidRDefault="00C160DE" w:rsidP="00CB0B21">
            <w:pPr>
              <w:pStyle w:val="DHHStablebullet"/>
              <w:cnfStyle w:val="000000000000" w:firstRow="0" w:lastRow="0" w:firstColumn="0" w:lastColumn="0" w:oddVBand="0" w:evenVBand="0" w:oddHBand="0" w:evenHBand="0" w:firstRowFirstColumn="0" w:firstRowLastColumn="0" w:lastRowFirstColumn="0" w:lastRowLastColumn="0"/>
            </w:pPr>
            <w:r>
              <w:t>Frequently touched surfaces</w:t>
            </w:r>
          </w:p>
          <w:p w:rsidR="00C160DE" w:rsidRDefault="00C160DE" w:rsidP="00CB0B21">
            <w:pPr>
              <w:pStyle w:val="DHHStablebullet"/>
              <w:numPr>
                <w:ilvl w:val="7"/>
                <w:numId w:val="2"/>
              </w:numPr>
              <w:ind w:left="454" w:hanging="227"/>
              <w:cnfStyle w:val="000000000000" w:firstRow="0" w:lastRow="0" w:firstColumn="0" w:lastColumn="0" w:oddVBand="0" w:evenVBand="0" w:oddHBand="0" w:evenHBand="0" w:firstRowFirstColumn="0" w:firstRowLastColumn="0" w:lastRowFirstColumn="0" w:lastRowLastColumn="0"/>
            </w:pPr>
            <w:r>
              <w:t>Bed rails</w:t>
            </w:r>
          </w:p>
          <w:p w:rsidR="00C160DE" w:rsidRDefault="00C160DE" w:rsidP="00CB0B21">
            <w:pPr>
              <w:pStyle w:val="DHHStablebullet"/>
              <w:numPr>
                <w:ilvl w:val="7"/>
                <w:numId w:val="2"/>
              </w:numPr>
              <w:ind w:left="454" w:hanging="227"/>
              <w:cnfStyle w:val="000000000000" w:firstRow="0" w:lastRow="0" w:firstColumn="0" w:lastColumn="0" w:oddVBand="0" w:evenVBand="0" w:oddHBand="0" w:evenHBand="0" w:firstRowFirstColumn="0" w:firstRowLastColumn="0" w:lastRowFirstColumn="0" w:lastRowLastColumn="0"/>
            </w:pPr>
            <w:r>
              <w:t>Door handles</w:t>
            </w:r>
          </w:p>
          <w:p w:rsidR="00C160DE" w:rsidRDefault="00C160DE" w:rsidP="00CB0B21">
            <w:pPr>
              <w:pStyle w:val="DHHStablebullet"/>
              <w:numPr>
                <w:ilvl w:val="7"/>
                <w:numId w:val="2"/>
              </w:numPr>
              <w:ind w:left="454" w:hanging="227"/>
              <w:cnfStyle w:val="000000000000" w:firstRow="0" w:lastRow="0" w:firstColumn="0" w:lastColumn="0" w:oddVBand="0" w:evenVBand="0" w:oddHBand="0" w:evenHBand="0" w:firstRowFirstColumn="0" w:firstRowLastColumn="0" w:lastRowFirstColumn="0" w:lastRowLastColumn="0"/>
            </w:pPr>
            <w:r>
              <w:t>Patient call bell/remote</w:t>
            </w:r>
          </w:p>
          <w:p w:rsidR="00C160DE" w:rsidRDefault="00C160DE" w:rsidP="00CB0B21">
            <w:pPr>
              <w:pStyle w:val="DHHStablebullet"/>
              <w:numPr>
                <w:ilvl w:val="7"/>
                <w:numId w:val="2"/>
              </w:numPr>
              <w:spacing w:after="200"/>
              <w:ind w:left="454" w:hanging="227"/>
              <w:cnfStyle w:val="000000000000" w:firstRow="0" w:lastRow="0" w:firstColumn="0" w:lastColumn="0" w:oddVBand="0" w:evenVBand="0" w:oddHBand="0" w:evenHBand="0" w:firstRowFirstColumn="0" w:firstRowLastColumn="0" w:lastRowFirstColumn="0" w:lastRowLastColumn="0"/>
            </w:pPr>
            <w:r w:rsidRPr="00CB6A03">
              <w:t>Flush button</w:t>
            </w:r>
            <w:r>
              <w:t xml:space="preserve"> of patient toilet</w:t>
            </w:r>
          </w:p>
          <w:p w:rsidR="00C160DE" w:rsidRDefault="00C160DE" w:rsidP="00CB0B21">
            <w:pPr>
              <w:pStyle w:val="DHHStablebullet"/>
              <w:cnfStyle w:val="000000000000" w:firstRow="0" w:lastRow="0" w:firstColumn="0" w:lastColumn="0" w:oddVBand="0" w:evenVBand="0" w:oddHBand="0" w:evenHBand="0" w:firstRowFirstColumn="0" w:firstRowLastColumn="0" w:lastRowFirstColumn="0" w:lastRowLastColumn="0"/>
            </w:pPr>
            <w:r>
              <w:t>Shared patient equipment</w:t>
            </w:r>
          </w:p>
          <w:p w:rsidR="00C160DE" w:rsidRDefault="00C160DE" w:rsidP="00CB0B21">
            <w:pPr>
              <w:pStyle w:val="DHHStablebullet"/>
              <w:numPr>
                <w:ilvl w:val="7"/>
                <w:numId w:val="2"/>
              </w:numPr>
              <w:ind w:left="454" w:hanging="227"/>
              <w:cnfStyle w:val="000000000000" w:firstRow="0" w:lastRow="0" w:firstColumn="0" w:lastColumn="0" w:oddVBand="0" w:evenVBand="0" w:oddHBand="0" w:evenHBand="0" w:firstRowFirstColumn="0" w:firstRowLastColumn="0" w:lastRowFirstColumn="0" w:lastRowLastColumn="0"/>
            </w:pPr>
            <w:r>
              <w:t>Patient lifting machine</w:t>
            </w:r>
          </w:p>
          <w:p w:rsidR="00C160DE" w:rsidRDefault="00C160DE" w:rsidP="00CB0B21">
            <w:pPr>
              <w:pStyle w:val="DHHStablebullet"/>
              <w:numPr>
                <w:ilvl w:val="7"/>
                <w:numId w:val="2"/>
              </w:numPr>
              <w:ind w:left="454" w:hanging="227"/>
              <w:cnfStyle w:val="000000000000" w:firstRow="0" w:lastRow="0" w:firstColumn="0" w:lastColumn="0" w:oddVBand="0" w:evenVBand="0" w:oddHBand="0" w:evenHBand="0" w:firstRowFirstColumn="0" w:firstRowLastColumn="0" w:lastRowFirstColumn="0" w:lastRowLastColumn="0"/>
            </w:pPr>
            <w:r>
              <w:t>Commode chair</w:t>
            </w:r>
          </w:p>
          <w:p w:rsidR="00C160DE" w:rsidRDefault="00C160DE" w:rsidP="00CB0B21">
            <w:pPr>
              <w:pStyle w:val="DHHStablebullet"/>
              <w:numPr>
                <w:ilvl w:val="7"/>
                <w:numId w:val="2"/>
              </w:numPr>
              <w:ind w:left="454" w:hanging="227"/>
              <w:cnfStyle w:val="000000000000" w:firstRow="0" w:lastRow="0" w:firstColumn="0" w:lastColumn="0" w:oddVBand="0" w:evenVBand="0" w:oddHBand="0" w:evenHBand="0" w:firstRowFirstColumn="0" w:firstRowLastColumn="0" w:lastRowFirstColumn="0" w:lastRowLastColumn="0"/>
            </w:pPr>
            <w:r>
              <w:t>Patient bath trolley</w:t>
            </w:r>
          </w:p>
        </w:tc>
      </w:tr>
    </w:tbl>
    <w:p w:rsidR="00C160DE" w:rsidRDefault="00C160DE" w:rsidP="00CB0B21">
      <w:pPr>
        <w:pStyle w:val="DHHSbody"/>
        <w:spacing w:before="60"/>
      </w:pPr>
      <w:r>
        <w:t>The VCIMT may direct a health service to undertake environmental screening as part of the required responses for managing a TRA. Choice and number of sampling sites is to be determined in consultation with the VCIMT.</w:t>
      </w:r>
    </w:p>
    <w:p w:rsidR="00C160DE" w:rsidRDefault="00C160DE" w:rsidP="00CB0B21">
      <w:pPr>
        <w:pStyle w:val="DHHSbody"/>
        <w:spacing w:before="60"/>
      </w:pPr>
      <w:r>
        <w:t xml:space="preserve">CPE outbreaks have also been associated with point source acquisition (for example contaminated ultrasound gel; contaminated endoscopes). </w:t>
      </w:r>
      <w:r w:rsidRPr="00A76A42">
        <w:t xml:space="preserve">Where epidemiological evidence exists for </w:t>
      </w:r>
      <w:r>
        <w:t xml:space="preserve">such </w:t>
      </w:r>
      <w:r w:rsidRPr="00A76A42">
        <w:t>acquisition, sampling sites should be extended to include these possibilities. Sampling should take into consideration any additional guidance documents available.</w:t>
      </w:r>
      <w:r>
        <w:t xml:space="preserve"> For example, if microbiological sampling of endoscopes is required, it should be conducted in accordance with the current edition of the </w:t>
      </w:r>
      <w:r w:rsidRPr="00793486">
        <w:t>Gastroenterological Society of Australia</w:t>
      </w:r>
      <w:r>
        <w:t xml:space="preserve"> (GESA)</w:t>
      </w:r>
      <w:r w:rsidRPr="00793486">
        <w:t xml:space="preserve"> </w:t>
      </w:r>
      <w:hyperlink r:id="rId15" w:history="1">
        <w:r w:rsidRPr="00793486">
          <w:rPr>
            <w:rStyle w:val="Hyperlink"/>
          </w:rPr>
          <w:t>Infection Control in Endoscopy</w:t>
        </w:r>
      </w:hyperlink>
      <w:r w:rsidRPr="00793486">
        <w:t xml:space="preserve"> </w:t>
      </w:r>
      <w:r>
        <w:t>&lt;</w:t>
      </w:r>
      <w:r w:rsidRPr="005F62AD">
        <w:t>www.gesa.org.au/resources/clinical-guidelines-and-updates/endoscopy-infection-control/</w:t>
      </w:r>
      <w:r>
        <w:t xml:space="preserve">&gt;. </w:t>
      </w:r>
      <w:r w:rsidRPr="00933FCE">
        <w:t>Refer to sections ‘</w:t>
      </w:r>
      <w:r>
        <w:t xml:space="preserve">Quality control, </w:t>
      </w:r>
      <w:r w:rsidRPr="00933FCE">
        <w:t>Microbiological surveillance cultures’ and ‘Investigation of possible infection transmission by endoscopy’.</w:t>
      </w:r>
    </w:p>
    <w:p w:rsidR="00C160DE" w:rsidRDefault="00C160DE" w:rsidP="00CB0B21">
      <w:pPr>
        <w:pStyle w:val="Heading2"/>
      </w:pPr>
      <w:bookmarkStart w:id="24" w:name="_Recommended_collection_methods"/>
      <w:bookmarkStart w:id="25" w:name="_Toc504988368"/>
      <w:bookmarkEnd w:id="24"/>
      <w:r w:rsidRPr="008C4958">
        <w:t>Recommended</w:t>
      </w:r>
      <w:r>
        <w:t xml:space="preserve"> collection methods</w:t>
      </w:r>
      <w:bookmarkEnd w:id="25"/>
    </w:p>
    <w:p w:rsidR="00C160DE" w:rsidRPr="00D75C3D" w:rsidRDefault="00C160DE" w:rsidP="00CB0B21">
      <w:pPr>
        <w:pStyle w:val="DHHSbody"/>
      </w:pPr>
      <w:r>
        <w:t>Many collection devices are available for sampling environmental sites, however, Table 2 below lists those recommended for the purposes of this guideline.</w:t>
      </w:r>
    </w:p>
    <w:p w:rsidR="00C160DE" w:rsidRDefault="00C160DE">
      <w:pPr>
        <w:rPr>
          <w:rFonts w:ascii="Arial" w:hAnsi="Arial"/>
          <w:b/>
        </w:rPr>
      </w:pPr>
      <w:bookmarkStart w:id="26" w:name="_Table_2:_Recommended"/>
      <w:bookmarkEnd w:id="26"/>
      <w:r>
        <w:br w:type="page"/>
      </w:r>
    </w:p>
    <w:p w:rsidR="00C160DE" w:rsidRDefault="00C160DE" w:rsidP="00CB0B21">
      <w:pPr>
        <w:pStyle w:val="DHHStablecaption"/>
      </w:pPr>
      <w:r>
        <w:lastRenderedPageBreak/>
        <w:t>Table 2: Recommended collection devices</w:t>
      </w:r>
    </w:p>
    <w:tbl>
      <w:tblPr>
        <w:tblStyle w:val="TableGrid"/>
        <w:tblW w:w="0" w:type="auto"/>
        <w:tblLook w:val="04A0" w:firstRow="1" w:lastRow="0" w:firstColumn="1" w:lastColumn="0" w:noHBand="0" w:noVBand="1"/>
      </w:tblPr>
      <w:tblGrid>
        <w:gridCol w:w="2835"/>
        <w:gridCol w:w="3231"/>
        <w:gridCol w:w="3231"/>
      </w:tblGrid>
      <w:tr w:rsidR="00C160DE" w:rsidTr="00CB0B21">
        <w:trPr>
          <w:cantSplit/>
          <w:tblHeader/>
        </w:trPr>
        <w:tc>
          <w:tcPr>
            <w:tcW w:w="2835" w:type="dxa"/>
          </w:tcPr>
          <w:p w:rsidR="00C160DE" w:rsidRDefault="00C160DE" w:rsidP="00CB0B21">
            <w:pPr>
              <w:pStyle w:val="DHHStablecolhead"/>
            </w:pPr>
            <w:r>
              <w:t>Collection device</w:t>
            </w:r>
          </w:p>
        </w:tc>
        <w:tc>
          <w:tcPr>
            <w:tcW w:w="3231" w:type="dxa"/>
          </w:tcPr>
          <w:p w:rsidR="00C160DE" w:rsidRDefault="00C160DE" w:rsidP="00CB0B21">
            <w:pPr>
              <w:pStyle w:val="DHHStablecolhead"/>
            </w:pPr>
            <w:r>
              <w:t>Collection method</w:t>
            </w:r>
          </w:p>
        </w:tc>
        <w:tc>
          <w:tcPr>
            <w:tcW w:w="3231" w:type="dxa"/>
          </w:tcPr>
          <w:p w:rsidR="00C160DE" w:rsidRDefault="00C160DE" w:rsidP="00CB0B21">
            <w:pPr>
              <w:pStyle w:val="DHHStablecolhead"/>
            </w:pPr>
            <w:r>
              <w:t>Transport media</w:t>
            </w:r>
          </w:p>
        </w:tc>
      </w:tr>
      <w:tr w:rsidR="00C160DE" w:rsidTr="00CB0B21">
        <w:trPr>
          <w:cantSplit/>
        </w:trPr>
        <w:tc>
          <w:tcPr>
            <w:tcW w:w="2835" w:type="dxa"/>
          </w:tcPr>
          <w:p w:rsidR="00C160DE" w:rsidRPr="00E80E61" w:rsidRDefault="00C160DE" w:rsidP="00CB0B21">
            <w:pPr>
              <w:pStyle w:val="DHHStabletext"/>
            </w:pPr>
            <w:r w:rsidRPr="00713093">
              <w:t>Flocked s</w:t>
            </w:r>
            <w:r>
              <w:t>wab</w:t>
            </w:r>
          </w:p>
        </w:tc>
        <w:tc>
          <w:tcPr>
            <w:tcW w:w="3231" w:type="dxa"/>
          </w:tcPr>
          <w:p w:rsidR="00C160DE" w:rsidRDefault="00C160DE" w:rsidP="00C160DE">
            <w:pPr>
              <w:pStyle w:val="DHHStablebullet"/>
            </w:pPr>
            <w:r>
              <w:t>Use swab as is if sampling a wet site</w:t>
            </w:r>
          </w:p>
          <w:p w:rsidR="00C160DE" w:rsidRDefault="00C160DE" w:rsidP="00C160DE">
            <w:pPr>
              <w:pStyle w:val="DHHStablebullet"/>
            </w:pPr>
            <w:r>
              <w:t>Moisten swab with sterile saline if sampling a dry site</w:t>
            </w:r>
          </w:p>
        </w:tc>
        <w:tc>
          <w:tcPr>
            <w:tcW w:w="3231" w:type="dxa"/>
          </w:tcPr>
          <w:p w:rsidR="00C160DE" w:rsidRDefault="00C160DE" w:rsidP="00C160DE">
            <w:pPr>
              <w:pStyle w:val="DHHStablebullet"/>
            </w:pPr>
            <w:r>
              <w:t>2-10mL enrichment broth (</w:t>
            </w:r>
            <w:proofErr w:type="spellStart"/>
            <w:r>
              <w:t>tryptone</w:t>
            </w:r>
            <w:proofErr w:type="spellEnd"/>
            <w:r>
              <w:t xml:space="preserve"> soy broth (TSB) or heart infusion (HI))</w:t>
            </w:r>
          </w:p>
          <w:p w:rsidR="00C160DE" w:rsidRDefault="00C160DE" w:rsidP="00C160DE">
            <w:pPr>
              <w:pStyle w:val="DHHStablebullet"/>
            </w:pPr>
            <w:r>
              <w:t xml:space="preserve">Liquid </w:t>
            </w:r>
            <w:proofErr w:type="spellStart"/>
            <w:r>
              <w:t>Amies</w:t>
            </w:r>
            <w:proofErr w:type="spellEnd"/>
            <w:r>
              <w:t xml:space="preserve"> or Stuart</w:t>
            </w:r>
            <w:r>
              <w:rPr>
                <w:rFonts w:cs="Helvetica"/>
              </w:rPr>
              <w:t xml:space="preserve"> transport media</w:t>
            </w:r>
          </w:p>
        </w:tc>
      </w:tr>
      <w:tr w:rsidR="00C160DE" w:rsidTr="00CB0B21">
        <w:trPr>
          <w:cantSplit/>
        </w:trPr>
        <w:tc>
          <w:tcPr>
            <w:tcW w:w="2835" w:type="dxa"/>
          </w:tcPr>
          <w:p w:rsidR="00C160DE" w:rsidRDefault="00C160DE" w:rsidP="00CB0B21">
            <w:pPr>
              <w:pStyle w:val="DHHStabletext"/>
            </w:pPr>
            <w:r>
              <w:t>Sterile gauze</w:t>
            </w:r>
          </w:p>
        </w:tc>
        <w:tc>
          <w:tcPr>
            <w:tcW w:w="3231" w:type="dxa"/>
          </w:tcPr>
          <w:p w:rsidR="00C160DE" w:rsidRDefault="00C160DE" w:rsidP="00C160DE">
            <w:pPr>
              <w:pStyle w:val="DHHStablebullet"/>
            </w:pPr>
            <w:r>
              <w:t>Use single-use sterile forceps or other aseptic technique for handling</w:t>
            </w:r>
          </w:p>
          <w:p w:rsidR="00C160DE" w:rsidRDefault="00C160DE" w:rsidP="00C160DE">
            <w:pPr>
              <w:pStyle w:val="DHHStablebullet"/>
            </w:pPr>
            <w:r>
              <w:t>Use swab as is if sampling a wet site</w:t>
            </w:r>
          </w:p>
          <w:p w:rsidR="00C160DE" w:rsidRDefault="00C160DE" w:rsidP="00C160DE">
            <w:pPr>
              <w:pStyle w:val="DHHStablebullet"/>
            </w:pPr>
            <w:r>
              <w:t>Moisten with sterile saline if sampling a dry site</w:t>
            </w:r>
          </w:p>
        </w:tc>
        <w:tc>
          <w:tcPr>
            <w:tcW w:w="3231" w:type="dxa"/>
          </w:tcPr>
          <w:p w:rsidR="00C160DE" w:rsidRDefault="00C160DE" w:rsidP="00C160DE">
            <w:pPr>
              <w:pStyle w:val="DHHStablebullet"/>
            </w:pPr>
            <w:r>
              <w:t>Sterile container if to be processed immediately</w:t>
            </w:r>
          </w:p>
          <w:p w:rsidR="00C160DE" w:rsidRDefault="00C160DE" w:rsidP="00C160DE">
            <w:pPr>
              <w:pStyle w:val="DHHStablebullet"/>
            </w:pPr>
            <w:r>
              <w:t>25mL enrichment broth (TSB or HI) if specimen cannot be sent to laboratory immediately</w:t>
            </w:r>
          </w:p>
        </w:tc>
      </w:tr>
      <w:tr w:rsidR="00C160DE" w:rsidTr="00CB0B21">
        <w:trPr>
          <w:cantSplit/>
        </w:trPr>
        <w:tc>
          <w:tcPr>
            <w:tcW w:w="2835" w:type="dxa"/>
          </w:tcPr>
          <w:p w:rsidR="00C160DE" w:rsidRDefault="00C160DE" w:rsidP="00CB0B21">
            <w:pPr>
              <w:pStyle w:val="DHHStabletext"/>
            </w:pPr>
            <w:r>
              <w:t>Sterile sponge (with handle)</w:t>
            </w:r>
          </w:p>
        </w:tc>
        <w:tc>
          <w:tcPr>
            <w:tcW w:w="3231" w:type="dxa"/>
          </w:tcPr>
          <w:p w:rsidR="00C160DE" w:rsidRDefault="00C160DE" w:rsidP="00C160DE">
            <w:pPr>
              <w:pStyle w:val="DHHStablebullet"/>
            </w:pPr>
            <w:r>
              <w:t>If it does not have a handle use single-use sterile forceps or other aseptic technique</w:t>
            </w:r>
          </w:p>
          <w:p w:rsidR="00C160DE" w:rsidRDefault="00C160DE" w:rsidP="00C160DE">
            <w:pPr>
              <w:pStyle w:val="DHHStablebullet"/>
            </w:pPr>
            <w:r>
              <w:t>Use swab as is if sampling a wet site</w:t>
            </w:r>
          </w:p>
          <w:p w:rsidR="00C160DE" w:rsidRDefault="00C160DE" w:rsidP="00C160DE">
            <w:pPr>
              <w:pStyle w:val="DHHStablebullet"/>
            </w:pPr>
            <w:r>
              <w:t>Moisten with sterile saline if sampling a dry site</w:t>
            </w:r>
          </w:p>
        </w:tc>
        <w:tc>
          <w:tcPr>
            <w:tcW w:w="3231" w:type="dxa"/>
          </w:tcPr>
          <w:p w:rsidR="00C160DE" w:rsidRDefault="00C160DE" w:rsidP="00C160DE">
            <w:pPr>
              <w:pStyle w:val="DHHStablebullet"/>
            </w:pPr>
            <w:r>
              <w:t>Sterile container if to be processed immediately</w:t>
            </w:r>
          </w:p>
          <w:p w:rsidR="00C160DE" w:rsidRDefault="00C160DE" w:rsidP="00C160DE">
            <w:pPr>
              <w:pStyle w:val="DHHStablebullet"/>
            </w:pPr>
            <w:r>
              <w:t>25mL enrichment broth (TSB or HI) if specimen cannot be sent to laboratory immediately</w:t>
            </w:r>
          </w:p>
        </w:tc>
      </w:tr>
    </w:tbl>
    <w:p w:rsidR="00C160DE" w:rsidRDefault="00C160DE" w:rsidP="00CB0B21">
      <w:pPr>
        <w:pStyle w:val="DHHSbody"/>
        <w:spacing w:before="60"/>
      </w:pPr>
      <w:r w:rsidRPr="00DE34E9">
        <w:rPr>
          <w:b/>
        </w:rPr>
        <w:t>Note:</w:t>
      </w:r>
      <w:r>
        <w:t xml:space="preserve"> Cotton swabs are not recommended for the collection of environmental samples.</w:t>
      </w:r>
    </w:p>
    <w:p w:rsidR="00C160DE" w:rsidRDefault="00C160DE" w:rsidP="00CB0B21">
      <w:pPr>
        <w:pStyle w:val="DHHSbody"/>
      </w:pPr>
      <w:r w:rsidRPr="00771DAA">
        <w:t>Flocked swabs packaged with TSB or transport media are available from commercial suppliers (</w:t>
      </w:r>
      <w:r>
        <w:t>for example</w:t>
      </w:r>
      <w:r w:rsidRPr="00771DAA">
        <w:t xml:space="preserve"> LBM</w:t>
      </w:r>
      <w:r w:rsidRPr="00771DAA">
        <w:rPr>
          <w:rFonts w:cs="Helvetica"/>
          <w:vertAlign w:val="superscript"/>
        </w:rPr>
        <w:t xml:space="preserve">™ </w:t>
      </w:r>
      <w:r w:rsidRPr="00771DAA">
        <w:t xml:space="preserve">TSB kit (Copan); </w:t>
      </w:r>
      <w:proofErr w:type="spellStart"/>
      <w:r w:rsidRPr="00771DAA">
        <w:rPr>
          <w:rFonts w:cs="Helvetica"/>
        </w:rPr>
        <w:t>ESwab</w:t>
      </w:r>
      <w:proofErr w:type="spellEnd"/>
      <w:r w:rsidRPr="00771DAA">
        <w:rPr>
          <w:rFonts w:cs="Helvetica"/>
          <w:vertAlign w:val="superscript"/>
        </w:rPr>
        <w:t xml:space="preserve">™ </w:t>
      </w:r>
      <w:r w:rsidRPr="00771DAA">
        <w:rPr>
          <w:rFonts w:cs="Helvetica"/>
        </w:rPr>
        <w:t xml:space="preserve">liquid </w:t>
      </w:r>
      <w:proofErr w:type="spellStart"/>
      <w:r w:rsidRPr="00771DAA">
        <w:rPr>
          <w:rFonts w:cs="Helvetica"/>
        </w:rPr>
        <w:t>Amies</w:t>
      </w:r>
      <w:proofErr w:type="spellEnd"/>
      <w:r w:rsidRPr="00771DAA">
        <w:rPr>
          <w:rFonts w:cs="Helvetica"/>
        </w:rPr>
        <w:t xml:space="preserve"> (Copan))</w:t>
      </w:r>
      <w:r>
        <w:rPr>
          <w:rFonts w:cs="Helvetica"/>
        </w:rPr>
        <w:t>.</w:t>
      </w:r>
    </w:p>
    <w:p w:rsidR="00C160DE" w:rsidRPr="00DE34E9" w:rsidRDefault="00C160DE" w:rsidP="00CB0B21">
      <w:pPr>
        <w:pStyle w:val="DHHSbody"/>
      </w:pPr>
      <w:r>
        <w:t>Pre-prepared media such as TSB or HI broth are available from commercial suppliers.</w:t>
      </w:r>
    </w:p>
    <w:p w:rsidR="00C160DE" w:rsidRDefault="00C160DE" w:rsidP="00CB0B21">
      <w:pPr>
        <w:pStyle w:val="Heading3"/>
      </w:pPr>
      <w:r>
        <w:t>Dry site sampling method</w:t>
      </w:r>
    </w:p>
    <w:p w:rsidR="00C160DE" w:rsidRDefault="00C160DE" w:rsidP="00CB0B21">
      <w:pPr>
        <w:pStyle w:val="DHHSbullet1"/>
      </w:pPr>
      <w:r>
        <w:t>If using sterile gauze or sterile sponge collection without an attached handle, a separate pair of sterile forceps must be used for each sample site.</w:t>
      </w:r>
    </w:p>
    <w:p w:rsidR="00C160DE" w:rsidRDefault="00C160DE" w:rsidP="00CB0B21">
      <w:pPr>
        <w:pStyle w:val="DHHSbullet1"/>
      </w:pPr>
      <w:r>
        <w:t>Moisten collection device with sterile saline immediately prior to sample collection.</w:t>
      </w:r>
    </w:p>
    <w:p w:rsidR="00C160DE" w:rsidRDefault="00C160DE" w:rsidP="00CB0B21">
      <w:pPr>
        <w:pStyle w:val="DHHSbullet1"/>
      </w:pPr>
      <w:r>
        <w:t>Sample a 10cm x 10cm area or the maximum area possible (for example whole of toilet flush button). Sample areas and methods must be consistent for similar sites or objects.</w:t>
      </w:r>
    </w:p>
    <w:p w:rsidR="00C160DE" w:rsidRDefault="00C160DE" w:rsidP="00CB0B21">
      <w:pPr>
        <w:pStyle w:val="Heading3"/>
      </w:pPr>
      <w:r>
        <w:t>Wet site sampling method</w:t>
      </w:r>
    </w:p>
    <w:p w:rsidR="00C160DE" w:rsidRDefault="00C160DE" w:rsidP="00CB0B21">
      <w:pPr>
        <w:pStyle w:val="DHHSbullet1"/>
      </w:pPr>
      <w:r>
        <w:t>Collection devices do not need to be pre-moistened.</w:t>
      </w:r>
    </w:p>
    <w:p w:rsidR="00C160DE" w:rsidRDefault="00C160DE" w:rsidP="00CB0B21">
      <w:pPr>
        <w:pStyle w:val="DHHSbullet1"/>
      </w:pPr>
      <w:r>
        <w:t xml:space="preserve">Sample areas and methods must be consistent for similar sites or objects; where possible sample a </w:t>
      </w:r>
      <w:r>
        <w:rPr>
          <w:rFonts w:ascii="Helv" w:hAnsi="Helv" w:cs="Helv"/>
          <w:color w:val="000000"/>
          <w:lang w:eastAsia="en-AU"/>
        </w:rPr>
        <w:t>10cm x 10cm area.</w:t>
      </w:r>
    </w:p>
    <w:p w:rsidR="00C160DE" w:rsidRDefault="00C160DE" w:rsidP="00CB0B21">
      <w:pPr>
        <w:pStyle w:val="DHHSbullet1"/>
      </w:pPr>
      <w:r>
        <w:t xml:space="preserve">When sampling drain sites, </w:t>
      </w:r>
      <w:r w:rsidRPr="002C5D52">
        <w:t>swab</w:t>
      </w:r>
      <w:r>
        <w:t xml:space="preserve"> the inner surface of the drain pipe below the grate.</w:t>
      </w:r>
    </w:p>
    <w:p w:rsidR="00C160DE" w:rsidRDefault="00C160DE" w:rsidP="00CB0B21">
      <w:pPr>
        <w:pStyle w:val="DHHSbullet1lastline"/>
      </w:pPr>
      <w:r>
        <w:t xml:space="preserve">When sampling toilets, </w:t>
      </w:r>
      <w:r w:rsidRPr="002C5D52">
        <w:t>swab</w:t>
      </w:r>
      <w:r>
        <w:t xml:space="preserve"> the inner surface under the toilet rim.</w:t>
      </w:r>
    </w:p>
    <w:p w:rsidR="00C160DE" w:rsidRDefault="00C160DE" w:rsidP="00CB0B21">
      <w:pPr>
        <w:pStyle w:val="Heading3"/>
      </w:pPr>
      <w:r>
        <w:t>Transport of specimens</w:t>
      </w:r>
    </w:p>
    <w:p w:rsidR="00C160DE" w:rsidRDefault="00C160DE" w:rsidP="00CB0B21">
      <w:pPr>
        <w:pStyle w:val="DHHSbullet1"/>
      </w:pPr>
      <w:r>
        <w:t>Transport specimen promptly to the microbiology laboratory and process immediately.</w:t>
      </w:r>
    </w:p>
    <w:p w:rsidR="00C160DE" w:rsidRDefault="00C160DE" w:rsidP="00CB0B21">
      <w:pPr>
        <w:pStyle w:val="DHHSbullet1"/>
      </w:pPr>
      <w:r>
        <w:t xml:space="preserve">If specimens cannot be transported to the laboratory immediately for processing, it is preferable to place specimens into enrichment broth or liquid transport media (see </w:t>
      </w:r>
      <w:hyperlink w:anchor="_Table_2:_Recommended" w:history="1">
        <w:r w:rsidRPr="00836E3D">
          <w:rPr>
            <w:rStyle w:val="Hyperlink"/>
          </w:rPr>
          <w:t>Table 2: Recommended collection devices</w:t>
        </w:r>
      </w:hyperlink>
      <w:r>
        <w:t>).</w:t>
      </w:r>
    </w:p>
    <w:p w:rsidR="00C160DE" w:rsidRDefault="00C160DE">
      <w:pPr>
        <w:rPr>
          <w:rFonts w:ascii="Arial" w:hAnsi="Arial"/>
          <w:bCs/>
          <w:color w:val="004EA8"/>
          <w:sz w:val="44"/>
          <w:szCs w:val="44"/>
        </w:rPr>
      </w:pPr>
      <w:r>
        <w:br w:type="page"/>
      </w:r>
    </w:p>
    <w:p w:rsidR="00C160DE" w:rsidRDefault="00C160DE" w:rsidP="00CB0B21">
      <w:pPr>
        <w:pStyle w:val="Heading1"/>
      </w:pPr>
      <w:bookmarkStart w:id="27" w:name="_Toc504988369"/>
      <w:r>
        <w:lastRenderedPageBreak/>
        <w:t>Section 4: Laboratory methods</w:t>
      </w:r>
      <w:bookmarkEnd w:id="27"/>
    </w:p>
    <w:p w:rsidR="00C160DE" w:rsidRDefault="00C160DE" w:rsidP="00CB0B21">
      <w:pPr>
        <w:pStyle w:val="Heading2"/>
      </w:pPr>
      <w:bookmarkStart w:id="28" w:name="_Toc504988370"/>
      <w:r>
        <w:t>Laboratory methods for processing samples</w:t>
      </w:r>
      <w:bookmarkEnd w:id="28"/>
    </w:p>
    <w:p w:rsidR="00C160DE" w:rsidRPr="00E60EE0" w:rsidRDefault="00C160DE" w:rsidP="00CB0B21">
      <w:pPr>
        <w:pStyle w:val="Heading3"/>
      </w:pPr>
      <w:r>
        <w:t>Samples received in transport media</w:t>
      </w:r>
    </w:p>
    <w:p w:rsidR="00C160DE" w:rsidRDefault="00C160DE" w:rsidP="00CB0B21">
      <w:pPr>
        <w:pStyle w:val="DHHSbullet1"/>
      </w:pPr>
      <w:r>
        <w:t>Inoculate 50</w:t>
      </w:r>
      <w:r>
        <w:rPr>
          <w:rFonts w:cs="Arial"/>
        </w:rPr>
        <w:t>µ</w:t>
      </w:r>
      <w:r>
        <w:t>L of liquid transport media into two -10mL enrichment broth and incubate at 35-37</w:t>
      </w:r>
      <w:r w:rsidRPr="00E60EE0">
        <w:t>°</w:t>
      </w:r>
      <w:r>
        <w:t>C for 36-48 hrs.</w:t>
      </w:r>
    </w:p>
    <w:p w:rsidR="00C160DE" w:rsidRDefault="00C160DE" w:rsidP="00CB0B21">
      <w:pPr>
        <w:pStyle w:val="DHHSbullet1"/>
      </w:pPr>
      <w:r>
        <w:t>Check for turbidity at 48 hrs and if turbid subculture 10</w:t>
      </w:r>
      <w:r w:rsidRPr="002373B6">
        <w:rPr>
          <w:rFonts w:cs="Arial"/>
        </w:rPr>
        <w:t xml:space="preserve"> µ</w:t>
      </w:r>
      <w:r>
        <w:t>L of broth onto selective agar.</w:t>
      </w:r>
    </w:p>
    <w:p w:rsidR="00C160DE" w:rsidRDefault="00C160DE" w:rsidP="00CB0B21">
      <w:pPr>
        <w:pStyle w:val="DHHSbullet1"/>
      </w:pPr>
      <w:r>
        <w:t>Re-incubate non-turbid broths for another 24 hrs. Check again for turbidity; if turbid subculture as above; if non-turbid discard.</w:t>
      </w:r>
    </w:p>
    <w:p w:rsidR="00C160DE" w:rsidRDefault="00C160DE" w:rsidP="00CB0B21">
      <w:pPr>
        <w:pStyle w:val="Heading3"/>
      </w:pPr>
      <w:r>
        <w:t>Samples received in enrichment broth</w:t>
      </w:r>
    </w:p>
    <w:p w:rsidR="00C160DE" w:rsidRDefault="00C160DE" w:rsidP="00CB0B21">
      <w:pPr>
        <w:pStyle w:val="DHHSbullet1"/>
      </w:pPr>
      <w:r>
        <w:t>Incubate enrichment broths at 35-37</w:t>
      </w:r>
      <w:r w:rsidRPr="00E60EE0">
        <w:t>°</w:t>
      </w:r>
      <w:r>
        <w:t>C for 36-48 hrs.</w:t>
      </w:r>
    </w:p>
    <w:p w:rsidR="00C160DE" w:rsidRDefault="00C160DE" w:rsidP="00CB0B21">
      <w:pPr>
        <w:pStyle w:val="DHHSbullet1"/>
      </w:pPr>
      <w:r>
        <w:t>Check for turbidity at 48 hrs and if turbid subculture 10</w:t>
      </w:r>
      <w:r w:rsidRPr="002373B6">
        <w:rPr>
          <w:rFonts w:cs="Arial"/>
        </w:rPr>
        <w:t xml:space="preserve"> µ</w:t>
      </w:r>
      <w:r>
        <w:t>L of broth onto selective agar.</w:t>
      </w:r>
    </w:p>
    <w:p w:rsidR="00C160DE" w:rsidRDefault="00C160DE" w:rsidP="00CB0B21">
      <w:pPr>
        <w:pStyle w:val="DHHSbullet1lastline"/>
      </w:pPr>
      <w:r>
        <w:t>Re-incubate non-turbid broths for another 24 hrs. Check again for turbidity; if turbid subculture as above; if non-turbid discard.</w:t>
      </w:r>
    </w:p>
    <w:p w:rsidR="00C160DE" w:rsidRDefault="00C160DE" w:rsidP="00CB0B21">
      <w:pPr>
        <w:pStyle w:val="Heading3"/>
      </w:pPr>
      <w:r>
        <w:t>Gauze/sponge received without transport media or enrichment broth</w:t>
      </w:r>
    </w:p>
    <w:p w:rsidR="00C160DE" w:rsidRDefault="00C160DE" w:rsidP="00CB0B21">
      <w:pPr>
        <w:pStyle w:val="DHHSbullet1"/>
      </w:pPr>
      <w:r>
        <w:t xml:space="preserve">Inoculate specimens directly into two -25ml enrichment broth as appropriate for the collection device (refer </w:t>
      </w:r>
      <w:hyperlink w:anchor="_Table_2:_Recommended" w:history="1">
        <w:r w:rsidRPr="00836E3D">
          <w:rPr>
            <w:rStyle w:val="Hyperlink"/>
          </w:rPr>
          <w:t>Table 2: Recommended collection devices</w:t>
        </w:r>
      </w:hyperlink>
      <w:r>
        <w:t>) and incubate at 35-37</w:t>
      </w:r>
      <w:r w:rsidRPr="00E60EE0">
        <w:t>°</w:t>
      </w:r>
      <w:r>
        <w:t>C for 36-48 hrs.</w:t>
      </w:r>
    </w:p>
    <w:p w:rsidR="00C160DE" w:rsidRDefault="00C160DE" w:rsidP="00CB0B21">
      <w:pPr>
        <w:pStyle w:val="DHHSbullet1"/>
      </w:pPr>
      <w:r>
        <w:t>Check for turbidity at 48 hrs and if turbid subculture 10</w:t>
      </w:r>
      <w:r w:rsidRPr="00747F55">
        <w:rPr>
          <w:rFonts w:cs="Arial"/>
        </w:rPr>
        <w:t xml:space="preserve"> </w:t>
      </w:r>
      <w:r>
        <w:rPr>
          <w:rFonts w:cs="Arial"/>
        </w:rPr>
        <w:t>µ</w:t>
      </w:r>
      <w:r>
        <w:t>L of broth onto selective agar.</w:t>
      </w:r>
    </w:p>
    <w:p w:rsidR="00C160DE" w:rsidRDefault="00C160DE" w:rsidP="00CB0B21">
      <w:pPr>
        <w:pStyle w:val="DHHSbullet1lastline"/>
      </w:pPr>
      <w:r>
        <w:t>Re-incubate non-turbid broths until 72 hrs incubation. Check again for turbidity; if turbid subculture as above; if non-turbid discard.</w:t>
      </w:r>
    </w:p>
    <w:p w:rsidR="00C160DE" w:rsidRDefault="00C160DE" w:rsidP="00CB0B21">
      <w:pPr>
        <w:pStyle w:val="Heading3"/>
      </w:pPr>
      <w:r>
        <w:t>Selective media</w:t>
      </w:r>
    </w:p>
    <w:p w:rsidR="00C160DE" w:rsidRDefault="00C160DE" w:rsidP="00CB0B21">
      <w:pPr>
        <w:pStyle w:val="DHHSbullet1"/>
      </w:pPr>
      <w:r>
        <w:t>Subculture onto a selective agar, preferably a chromogenic agar. A literature review of the performance of chromogenic</w:t>
      </w:r>
      <w:r w:rsidRPr="00F66A8A">
        <w:rPr>
          <w:rFonts w:cs="Arial"/>
        </w:rPr>
        <w:t xml:space="preserve"> media is tabulated in</w:t>
      </w:r>
      <w:r>
        <w:rPr>
          <w:rFonts w:cs="Arial"/>
        </w:rPr>
        <w:t xml:space="preserve"> Appendix A</w:t>
      </w:r>
      <w:r w:rsidRPr="00F66A8A">
        <w:rPr>
          <w:rFonts w:cs="Arial"/>
        </w:rPr>
        <w:t xml:space="preserve"> </w:t>
      </w:r>
      <w:hyperlink w:anchor="_Table_3:_Performance" w:history="1">
        <w:r w:rsidRPr="00B925F3">
          <w:rPr>
            <w:rStyle w:val="Hyperlink"/>
          </w:rPr>
          <w:t>Table 3: Performance of chromogenic media for the identification of CPE</w:t>
        </w:r>
      </w:hyperlink>
      <w:r w:rsidRPr="004817FA">
        <w:rPr>
          <w:rFonts w:cs="Arial"/>
        </w:rPr>
        <w:t>.</w:t>
      </w:r>
    </w:p>
    <w:p w:rsidR="00C160DE" w:rsidRDefault="00C160DE" w:rsidP="00CB0B21">
      <w:pPr>
        <w:pStyle w:val="DHHSbullet2"/>
      </w:pPr>
      <w:r>
        <w:t>Use of</w:t>
      </w:r>
      <w:r w:rsidRPr="00E85446">
        <w:t xml:space="preserve"> media with higher sensitivity </w:t>
      </w:r>
      <w:r>
        <w:t>is</w:t>
      </w:r>
      <w:r w:rsidRPr="00E85446">
        <w:t xml:space="preserve"> recommended. When using highly selective media more than one media may be required to cover the range of possible organisms and resistance </w:t>
      </w:r>
      <w:r>
        <w:t>genes</w:t>
      </w:r>
      <w:r w:rsidRPr="00E85446">
        <w:t>.</w:t>
      </w:r>
    </w:p>
    <w:p w:rsidR="00C160DE" w:rsidRDefault="00C160DE" w:rsidP="00CB0B21">
      <w:pPr>
        <w:pStyle w:val="DHHSbullet2"/>
      </w:pPr>
      <w:r>
        <w:t>Non-chromogenic agar is not recommended due to low specificity.</w:t>
      </w:r>
    </w:p>
    <w:p w:rsidR="00C160DE" w:rsidRDefault="00C160DE" w:rsidP="00CB0B21">
      <w:pPr>
        <w:pStyle w:val="DHHSbullet1lastline"/>
      </w:pPr>
      <w:r w:rsidRPr="00B04767">
        <w:t>Incubate</w:t>
      </w:r>
      <w:r>
        <w:t xml:space="preserve"> selective agar</w:t>
      </w:r>
      <w:r w:rsidRPr="00B04767">
        <w:t xml:space="preserve"> </w:t>
      </w:r>
      <w:r>
        <w:t>as per manufacturer’s instructions.</w:t>
      </w:r>
    </w:p>
    <w:p w:rsidR="00C160DE" w:rsidRDefault="00C160DE" w:rsidP="00CB0B21">
      <w:pPr>
        <w:pStyle w:val="Heading2"/>
      </w:pPr>
      <w:bookmarkStart w:id="29" w:name="_Toc504988371"/>
      <w:r w:rsidRPr="00992815">
        <w:t>Methods for detecting CPE</w:t>
      </w:r>
      <w:bookmarkEnd w:id="29"/>
    </w:p>
    <w:p w:rsidR="00C160DE" w:rsidRPr="004D784D" w:rsidRDefault="00C160DE" w:rsidP="00CB0B21">
      <w:pPr>
        <w:pStyle w:val="DHHSbullet1"/>
      </w:pPr>
      <w:r w:rsidRPr="004D784D">
        <w:t xml:space="preserve">All </w:t>
      </w:r>
      <w:proofErr w:type="spellStart"/>
      <w:r w:rsidRPr="004D784D">
        <w:t>morphotypes</w:t>
      </w:r>
      <w:proofErr w:type="spellEnd"/>
      <w:r w:rsidRPr="004D784D">
        <w:t xml:space="preserve"> grown on </w:t>
      </w:r>
      <w:r>
        <w:t>selective</w:t>
      </w:r>
      <w:r w:rsidRPr="004D784D">
        <w:t xml:space="preserve"> </w:t>
      </w:r>
      <w:r>
        <w:t>agar</w:t>
      </w:r>
      <w:r w:rsidRPr="004D784D">
        <w:t xml:space="preserve"> require </w:t>
      </w:r>
      <w:r>
        <w:t>identification via standard methods. If the laboratory does not have the capability to identify isolates, contact MDU PHL to discuss.</w:t>
      </w:r>
    </w:p>
    <w:p w:rsidR="00C160DE" w:rsidRDefault="00C160DE" w:rsidP="00CB0B21">
      <w:pPr>
        <w:pStyle w:val="DHHSbullet1"/>
      </w:pPr>
      <w:r>
        <w:t>All i</w:t>
      </w:r>
      <w:r w:rsidRPr="004D784D">
        <w:t xml:space="preserve">solates </w:t>
      </w:r>
      <w:r>
        <w:t xml:space="preserve">identified as </w:t>
      </w:r>
      <w:r w:rsidRPr="00660518">
        <w:rPr>
          <w:i/>
        </w:rPr>
        <w:t>Enterobacteriaceae</w:t>
      </w:r>
      <w:r w:rsidRPr="004D784D">
        <w:t xml:space="preserve"> should undergo </w:t>
      </w:r>
      <w:r>
        <w:t>at least one CPE screening test as per criteria below</w:t>
      </w:r>
      <w:r w:rsidRPr="004D784D">
        <w:t>.</w:t>
      </w:r>
    </w:p>
    <w:p w:rsidR="00C160DE" w:rsidRDefault="00C160DE" w:rsidP="00CB0B21">
      <w:pPr>
        <w:pStyle w:val="Heading2"/>
      </w:pPr>
      <w:bookmarkStart w:id="30" w:name="_Referral_of_suspected"/>
      <w:bookmarkEnd w:id="30"/>
      <w:r>
        <w:t>Referral of suspected and confirmed CPE isolates to MDU PHL</w:t>
      </w:r>
    </w:p>
    <w:p w:rsidR="00C160DE" w:rsidRDefault="00C160DE" w:rsidP="00CB0B21">
      <w:pPr>
        <w:pStyle w:val="DHHSbullet1"/>
      </w:pPr>
      <w:r>
        <w:t xml:space="preserve">All </w:t>
      </w:r>
      <w:r w:rsidRPr="008F1EF4">
        <w:rPr>
          <w:i/>
        </w:rPr>
        <w:t>Enterobacteriaceae</w:t>
      </w:r>
      <w:r>
        <w:t xml:space="preserve"> isolates meeting </w:t>
      </w:r>
      <w:r w:rsidRPr="004D784D">
        <w:rPr>
          <w:b/>
        </w:rPr>
        <w:t>any</w:t>
      </w:r>
      <w:r>
        <w:t xml:space="preserve"> of the following criteria are considered suspected CPE and must be referred to MDU PHL for confirmatory testing and genomic analysis:</w:t>
      </w:r>
    </w:p>
    <w:p w:rsidR="00C160DE" w:rsidRDefault="00C160DE" w:rsidP="00CB0B21">
      <w:pPr>
        <w:pStyle w:val="DHHSbullet2"/>
      </w:pPr>
      <w:r>
        <w:t>meropenem MIC ≥ 0.5 mg/L</w:t>
      </w:r>
    </w:p>
    <w:p w:rsidR="00C160DE" w:rsidRDefault="00C160DE" w:rsidP="00CB0B21">
      <w:pPr>
        <w:pStyle w:val="DHHSbullet2"/>
      </w:pPr>
      <w:r>
        <w:t>disk diffusion zone ≤ 24 mm (CLSI or EUCAST methods)</w:t>
      </w:r>
    </w:p>
    <w:p w:rsidR="00C160DE" w:rsidRDefault="00C160DE" w:rsidP="00CB0B21">
      <w:pPr>
        <w:pStyle w:val="DHHSbullet2"/>
      </w:pPr>
      <w:r>
        <w:t>CDS disc diffusion zone ≤ 6 mm</w:t>
      </w:r>
    </w:p>
    <w:p w:rsidR="00C160DE" w:rsidRDefault="00C160DE" w:rsidP="00CB0B21">
      <w:pPr>
        <w:pStyle w:val="DHHSbullet2"/>
      </w:pPr>
      <w:r>
        <w:lastRenderedPageBreak/>
        <w:t xml:space="preserve">positive colorimetric test for carbapenemase (for example </w:t>
      </w:r>
      <w:proofErr w:type="spellStart"/>
      <w:r>
        <w:t>CarbaNP</w:t>
      </w:r>
      <w:proofErr w:type="spellEnd"/>
      <w:r>
        <w:t xml:space="preserve"> or Blue-</w:t>
      </w:r>
      <w:proofErr w:type="spellStart"/>
      <w:r>
        <w:t>Carba</w:t>
      </w:r>
      <w:proofErr w:type="spellEnd"/>
      <w:r>
        <w:t>)</w:t>
      </w:r>
    </w:p>
    <w:p w:rsidR="00C160DE" w:rsidRDefault="00C160DE" w:rsidP="00CB0B21">
      <w:pPr>
        <w:pStyle w:val="DHHSbullet2lastline"/>
      </w:pPr>
      <w:r>
        <w:t xml:space="preserve">positive </w:t>
      </w:r>
      <w:r w:rsidRPr="00DB57C3">
        <w:t>carbapenemase</w:t>
      </w:r>
      <w:r>
        <w:t xml:space="preserve"> inactivation method (CIM) test.</w:t>
      </w:r>
    </w:p>
    <w:p w:rsidR="00C160DE" w:rsidRDefault="00C160DE" w:rsidP="00CB0B21">
      <w:pPr>
        <w:pStyle w:val="DHHSbullet1"/>
      </w:pPr>
      <w:r>
        <w:t>The CPE screening breakpoints have been selected to capture isolates that are carbapenemase producing, but phenotypically susceptible to carbapenems.</w:t>
      </w:r>
    </w:p>
    <w:p w:rsidR="00C160DE" w:rsidRPr="00CE10D8" w:rsidRDefault="00C160DE" w:rsidP="00CB0B21">
      <w:pPr>
        <w:pStyle w:val="DHHSbullet1"/>
      </w:pPr>
      <w:r>
        <w:t xml:space="preserve">Although some diagnostic laboratories have the capacity to detect a number of carbapenemase genes in </w:t>
      </w:r>
      <w:r w:rsidRPr="00281B13">
        <w:rPr>
          <w:i/>
        </w:rPr>
        <w:t>Enterobacteriaceae</w:t>
      </w:r>
      <w:r>
        <w:t xml:space="preserve"> by PCR testing, all suspected isolates (as defined above) must be sent to MDU PHL for further testing and sequencing (unless excluded below).</w:t>
      </w:r>
    </w:p>
    <w:p w:rsidR="00C160DE" w:rsidRDefault="00C160DE" w:rsidP="00CB0B21">
      <w:pPr>
        <w:pStyle w:val="DHHSbullet1"/>
      </w:pPr>
      <w:r w:rsidRPr="006D4BDF">
        <w:rPr>
          <w:b/>
          <w:u w:val="single"/>
        </w:rPr>
        <w:t>Please note</w:t>
      </w:r>
      <w:r>
        <w:rPr>
          <w:b/>
          <w:u w:val="single"/>
        </w:rPr>
        <w:t>:</w:t>
      </w:r>
      <w:r>
        <w:t xml:space="preserve"> if a suspected CPE is of </w:t>
      </w:r>
      <w:r w:rsidRPr="00996FA0">
        <w:rPr>
          <w:i/>
          <w:iCs/>
        </w:rPr>
        <w:t xml:space="preserve">Enterobacter </w:t>
      </w:r>
      <w:r>
        <w:t xml:space="preserve">or </w:t>
      </w:r>
      <w:proofErr w:type="spellStart"/>
      <w:r w:rsidRPr="00996FA0">
        <w:rPr>
          <w:i/>
          <w:iCs/>
        </w:rPr>
        <w:t>Morganella</w:t>
      </w:r>
      <w:proofErr w:type="spellEnd"/>
      <w:r w:rsidRPr="00996FA0">
        <w:rPr>
          <w:i/>
          <w:iCs/>
        </w:rPr>
        <w:t xml:space="preserve"> </w:t>
      </w:r>
      <w:r>
        <w:t>genera</w:t>
      </w:r>
      <w:r w:rsidRPr="00996FA0">
        <w:rPr>
          <w:i/>
          <w:iCs/>
        </w:rPr>
        <w:t xml:space="preserve">, </w:t>
      </w:r>
      <w:r>
        <w:t xml:space="preserve">has a meropenem MIC between 0.5 and 2 mg/L, and is CIM test negative, the isolate </w:t>
      </w:r>
      <w:r w:rsidRPr="008B3CBD">
        <w:t>does not</w:t>
      </w:r>
      <w:r>
        <w:t xml:space="preserve"> need to be sent to MDU PHL.</w:t>
      </w:r>
      <w:r w:rsidRPr="00E40C6D">
        <w:rPr>
          <w:rFonts w:ascii="Calibri" w:hAnsi="Calibri"/>
        </w:rPr>
        <w:t xml:space="preserve"> </w:t>
      </w:r>
      <w:r>
        <w:t xml:space="preserve">Such isolates must be considered suspected CPE for infection control purposes until a negative CIM test result is obtained. </w:t>
      </w:r>
      <w:r w:rsidRPr="006D4BDF">
        <w:rPr>
          <w:u w:val="single"/>
        </w:rPr>
        <w:t>This exclusion applies only to these two species</w:t>
      </w:r>
      <w:r>
        <w:t xml:space="preserve"> for the MIC values listed above, and where CIM test performance has been validated by the diagnostic laboratory performing the testing.</w:t>
      </w:r>
    </w:p>
    <w:p w:rsidR="00C160DE" w:rsidRDefault="00C160DE" w:rsidP="00CB0B21">
      <w:pPr>
        <w:pStyle w:val="DHHSbullet1"/>
      </w:pPr>
      <w:r>
        <w:t xml:space="preserve">Isolates are to be accompanied by a completed laboratory CPE environmental isolate referral form </w:t>
      </w:r>
      <w:r w:rsidRPr="004817FA">
        <w:t>(FM2699) which</w:t>
      </w:r>
      <w:r>
        <w:t xml:space="preserve"> can be </w:t>
      </w:r>
      <w:r w:rsidRPr="00F31C4F">
        <w:t>downloaded from</w:t>
      </w:r>
      <w:r>
        <w:t>:</w:t>
      </w:r>
    </w:p>
    <w:p w:rsidR="00C160DE" w:rsidRDefault="007F3AFA" w:rsidP="00CB0B21">
      <w:pPr>
        <w:pStyle w:val="DHHSbullet2"/>
      </w:pPr>
      <w:hyperlink r:id="rId16" w:history="1">
        <w:r w:rsidR="00C160DE" w:rsidRPr="00F31C4F">
          <w:rPr>
            <w:rStyle w:val="Hyperlink"/>
          </w:rPr>
          <w:t>Department website</w:t>
        </w:r>
      </w:hyperlink>
      <w:r w:rsidR="00C160DE">
        <w:t xml:space="preserve"> &lt;</w:t>
      </w:r>
      <w:r w:rsidR="00C160DE" w:rsidRPr="00F31C4F">
        <w:t>https://www2.health.vic.gov.au/public-health/infectious-diseases/infection-control-guidelines/carbapenemase-producing-enterobacteriaceae-management</w:t>
      </w:r>
      <w:r w:rsidR="00C160DE">
        <w:t>&gt;</w:t>
      </w:r>
    </w:p>
    <w:p w:rsidR="00C160DE" w:rsidRDefault="007F3AFA" w:rsidP="00CB0B21">
      <w:pPr>
        <w:pStyle w:val="DHHSbullet2"/>
      </w:pPr>
      <w:hyperlink r:id="rId17" w:anchor="services" w:history="1">
        <w:r w:rsidR="00C160DE">
          <w:rPr>
            <w:rStyle w:val="Hyperlink"/>
          </w:rPr>
          <w:t>MDU PHL</w:t>
        </w:r>
        <w:r w:rsidR="00C160DE" w:rsidRPr="00587D47">
          <w:rPr>
            <w:rStyle w:val="Hyperlink"/>
          </w:rPr>
          <w:t xml:space="preserve"> website</w:t>
        </w:r>
      </w:hyperlink>
      <w:r w:rsidR="00C160DE">
        <w:t xml:space="preserve"> &lt;</w:t>
      </w:r>
      <w:r w:rsidR="00C160DE" w:rsidRPr="00587D47">
        <w:t>http://biomedicalsciences.unimelb.edu.au/departments/microbiology-Immunology/research/services/microbiological-diagnostic-unit-public-health-laboratory#services</w:t>
      </w:r>
      <w:r w:rsidR="00C160DE">
        <w:t>&gt;.</w:t>
      </w:r>
    </w:p>
    <w:p w:rsidR="00C160DE" w:rsidRPr="00CE10D8" w:rsidRDefault="00C160DE" w:rsidP="00CB0B21">
      <w:pPr>
        <w:pStyle w:val="Heading2"/>
      </w:pPr>
      <w:bookmarkStart w:id="31" w:name="_Toc440553333"/>
      <w:bookmarkStart w:id="32" w:name="_Toc480979849"/>
      <w:bookmarkStart w:id="33" w:name="_Toc504988372"/>
      <w:r w:rsidRPr="00CE10D8">
        <w:t>Role of the reference laboratory</w:t>
      </w:r>
      <w:bookmarkEnd w:id="31"/>
      <w:bookmarkEnd w:id="32"/>
      <w:bookmarkEnd w:id="33"/>
    </w:p>
    <w:p w:rsidR="00C160DE" w:rsidRPr="00CE10D8" w:rsidRDefault="00C160DE" w:rsidP="00CB0B21">
      <w:pPr>
        <w:pStyle w:val="DHHSbody"/>
      </w:pPr>
      <w:r w:rsidRPr="00CE10D8">
        <w:t xml:space="preserve">All suspected and confirmed isolates </w:t>
      </w:r>
      <w:r>
        <w:t>must be</w:t>
      </w:r>
      <w:r w:rsidRPr="00CE10D8">
        <w:t xml:space="preserve"> referred to MDU PHL for further testing</w:t>
      </w:r>
      <w:r>
        <w:t xml:space="preserve"> (unless excluded as above)</w:t>
      </w:r>
      <w:r w:rsidRPr="00CE10D8">
        <w:t>. This testing includes:</w:t>
      </w:r>
    </w:p>
    <w:p w:rsidR="00C160DE" w:rsidRPr="00CE10D8" w:rsidRDefault="00C160DE" w:rsidP="00CB0B21">
      <w:pPr>
        <w:pStyle w:val="DHHSbullet1"/>
      </w:pPr>
      <w:r>
        <w:t>e</w:t>
      </w:r>
      <w:r w:rsidRPr="00CE10D8">
        <w:t>xtended antimicrobial susceptibility testing</w:t>
      </w:r>
    </w:p>
    <w:p w:rsidR="00C160DE" w:rsidRDefault="00C160DE" w:rsidP="00CB0B21">
      <w:pPr>
        <w:pStyle w:val="DHHSbullet1"/>
      </w:pPr>
      <w:r>
        <w:t>m</w:t>
      </w:r>
      <w:r w:rsidRPr="00CE10D8">
        <w:t xml:space="preserve">olecular and </w:t>
      </w:r>
      <w:r w:rsidRPr="00DD2487">
        <w:t>genomic</w:t>
      </w:r>
      <w:r w:rsidRPr="00CE10D8">
        <w:t xml:space="preserve"> characterisation to determi</w:t>
      </w:r>
      <w:r>
        <w:t>ne carbapenemase gene presence</w:t>
      </w:r>
    </w:p>
    <w:p w:rsidR="00C160DE" w:rsidRDefault="00C160DE" w:rsidP="00CB0B21">
      <w:pPr>
        <w:pStyle w:val="DHHSbullet1lastline"/>
      </w:pPr>
      <w:r w:rsidRPr="00CE10D8">
        <w:t>phylogenetic analysis and infer</w:t>
      </w:r>
      <w:r>
        <w:t>ence of</w:t>
      </w:r>
      <w:r w:rsidRPr="00CE10D8">
        <w:t xml:space="preserve"> transmiss</w:t>
      </w:r>
      <w:r>
        <w:t>ion pathways, where applicable.</w:t>
      </w:r>
    </w:p>
    <w:p w:rsidR="00C160DE" w:rsidRDefault="00C160DE" w:rsidP="00CB0B21">
      <w:pPr>
        <w:pStyle w:val="DHHSfigurecaption"/>
      </w:pPr>
      <w:r>
        <w:lastRenderedPageBreak/>
        <w:t>Flowchart 1: Sample collection and laboratory methods</w:t>
      </w:r>
    </w:p>
    <w:tbl>
      <w:tblPr>
        <w:tblStyle w:val="TableGrid"/>
        <w:tblW w:w="0" w:type="auto"/>
        <w:tblBorders>
          <w:top w:val="single" w:sz="12" w:space="0" w:color="004EA8"/>
          <w:left w:val="single" w:sz="12" w:space="0" w:color="004EA8"/>
          <w:bottom w:val="single" w:sz="12" w:space="0" w:color="004EA8"/>
          <w:right w:val="single" w:sz="12" w:space="0" w:color="004EA8"/>
          <w:insideH w:val="single" w:sz="12" w:space="0" w:color="004EA8"/>
          <w:insideV w:val="single" w:sz="12" w:space="0" w:color="004EA8"/>
        </w:tblBorders>
        <w:tblLook w:val="04A0" w:firstRow="1" w:lastRow="0" w:firstColumn="1" w:lastColumn="0" w:noHBand="0" w:noVBand="1"/>
      </w:tblPr>
      <w:tblGrid>
        <w:gridCol w:w="9298"/>
      </w:tblGrid>
      <w:tr w:rsidR="00C160DE" w:rsidTr="00CB0B21">
        <w:trPr>
          <w:tblHeader/>
        </w:trPr>
        <w:tc>
          <w:tcPr>
            <w:tcW w:w="9298" w:type="dxa"/>
          </w:tcPr>
          <w:p w:rsidR="00C160DE" w:rsidRDefault="00C160DE" w:rsidP="00CB0B21">
            <w:pPr>
              <w:pStyle w:val="DHHSbody"/>
              <w:spacing w:before="120"/>
              <w:jc w:val="center"/>
            </w:pPr>
            <w:r>
              <w:rPr>
                <w:lang w:eastAsia="en-US"/>
              </w:rPr>
              <w:object w:dxaOrig="21628" w:dyaOrig="30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634.4pt" o:ole="">
                  <v:imagedata r:id="rId18" o:title=""/>
                </v:shape>
                <o:OLEObject Type="Embed" ProgID="Visio.Drawing.11" ShapeID="_x0000_i1025" DrawAspect="Content" ObjectID="_1586781986" r:id="rId19"/>
              </w:object>
            </w:r>
          </w:p>
        </w:tc>
      </w:tr>
    </w:tbl>
    <w:p w:rsidR="00C160DE" w:rsidRPr="000A022F" w:rsidRDefault="00C160DE">
      <w:r>
        <w:br w:type="page"/>
      </w:r>
    </w:p>
    <w:p w:rsidR="00C160DE" w:rsidRDefault="00C160DE" w:rsidP="00CB0B21">
      <w:pPr>
        <w:pStyle w:val="Heading1"/>
      </w:pPr>
      <w:bookmarkStart w:id="34" w:name="_Toc504988373"/>
      <w:r>
        <w:lastRenderedPageBreak/>
        <w:t>Section 5: Reporting requirements</w:t>
      </w:r>
      <w:bookmarkEnd w:id="34"/>
    </w:p>
    <w:p w:rsidR="00C160DE" w:rsidRPr="00CE10D8" w:rsidRDefault="00C160DE" w:rsidP="00CB0B21">
      <w:pPr>
        <w:pStyle w:val="Heading2"/>
      </w:pPr>
      <w:bookmarkStart w:id="35" w:name="_Toc480979847"/>
      <w:bookmarkStart w:id="36" w:name="_Toc504988374"/>
      <w:bookmarkStart w:id="37" w:name="_Toc440553332"/>
      <w:r w:rsidRPr="00CE10D8">
        <w:t>Requirements for primary diagnostic laboratories to report cases</w:t>
      </w:r>
      <w:bookmarkEnd w:id="35"/>
      <w:bookmarkEnd w:id="36"/>
    </w:p>
    <w:p w:rsidR="00C160DE" w:rsidRDefault="00C160DE" w:rsidP="00CB0B21">
      <w:pPr>
        <w:pStyle w:val="DHHSbody"/>
      </w:pPr>
      <w:r w:rsidRPr="00CE10D8">
        <w:t xml:space="preserve">All suspected and confirmed </w:t>
      </w:r>
      <w:r>
        <w:t>isolates</w:t>
      </w:r>
      <w:r w:rsidRPr="00CE10D8">
        <w:t xml:space="preserve"> of CPE from environmental samples must be </w:t>
      </w:r>
      <w:r>
        <w:t>sent to MDU PHL for further confirmatory testing</w:t>
      </w:r>
      <w:r w:rsidRPr="00CE10D8">
        <w:t>.</w:t>
      </w:r>
      <w:r>
        <w:t xml:space="preserve"> There is no requirement for the primary diagnostic laboratory to report these isolates to the department; MDU PHL will advise the department of any confirmed environmental CPE isolates.</w:t>
      </w:r>
      <w:r w:rsidRPr="00CE10D8">
        <w:t xml:space="preserve"> Results </w:t>
      </w:r>
      <w:r>
        <w:t>will</w:t>
      </w:r>
      <w:r w:rsidRPr="00CE10D8">
        <w:t xml:space="preserve"> be reported regardless of whether these have arisen from</w:t>
      </w:r>
      <w:r>
        <w:t xml:space="preserve"> routine environmental screening programs,</w:t>
      </w:r>
      <w:r w:rsidRPr="00CE10D8">
        <w:t xml:space="preserve"> </w:t>
      </w:r>
      <w:r>
        <w:t xml:space="preserve">investigation of </w:t>
      </w:r>
      <w:r w:rsidRPr="00CE10D8">
        <w:t>sporadic cases or as part of a recognised local outbreak</w:t>
      </w:r>
      <w:r>
        <w:t>.</w:t>
      </w:r>
    </w:p>
    <w:p w:rsidR="00C160DE" w:rsidRPr="00CE10D8" w:rsidRDefault="00C160DE" w:rsidP="00CB0B21">
      <w:pPr>
        <w:pStyle w:val="DHHSbody"/>
      </w:pPr>
      <w:r>
        <w:t xml:space="preserve">For further information regarding referral of isolates see </w:t>
      </w:r>
      <w:hyperlink w:anchor="_Referral_of_suspected" w:history="1">
        <w:r w:rsidRPr="00A03DC2">
          <w:rPr>
            <w:rStyle w:val="Hyperlink"/>
          </w:rPr>
          <w:t>Referral of suspected and confirmed CPE isolates to MDU PHL</w:t>
        </w:r>
      </w:hyperlink>
      <w:r>
        <w:t>.</w:t>
      </w:r>
    </w:p>
    <w:p w:rsidR="00C160DE" w:rsidRPr="00CE10D8" w:rsidRDefault="00C160DE" w:rsidP="00CB0B21">
      <w:pPr>
        <w:pStyle w:val="Heading3"/>
      </w:pPr>
      <w:bookmarkStart w:id="38" w:name="_Toc480979848"/>
      <w:r w:rsidRPr="00CE10D8">
        <w:t>Other requirements for primary diagnostic laboratories</w:t>
      </w:r>
      <w:bookmarkEnd w:id="37"/>
      <w:bookmarkEnd w:id="38"/>
    </w:p>
    <w:p w:rsidR="00C160DE" w:rsidRPr="00CE10D8" w:rsidRDefault="00C160DE" w:rsidP="00CB0B21">
      <w:pPr>
        <w:pStyle w:val="DHHSbody"/>
      </w:pPr>
      <w:r w:rsidRPr="00CE10D8">
        <w:t xml:space="preserve">Infection prevention and control staff should be notified </w:t>
      </w:r>
      <w:r>
        <w:t xml:space="preserve">in a timely manner </w:t>
      </w:r>
      <w:r w:rsidRPr="00CE10D8">
        <w:t xml:space="preserve">of suspected or confirmed CPE </w:t>
      </w:r>
      <w:r>
        <w:t xml:space="preserve">from environmental samples </w:t>
      </w:r>
      <w:r w:rsidRPr="00CE10D8">
        <w:t xml:space="preserve">so that appropriate </w:t>
      </w:r>
      <w:r>
        <w:t>actions (for example, environmental cleaning) can be taken</w:t>
      </w:r>
      <w:r w:rsidRPr="00CE10D8">
        <w:t>.</w:t>
      </w:r>
    </w:p>
    <w:p w:rsidR="00C160DE" w:rsidRPr="00CE10D8" w:rsidRDefault="00C160DE" w:rsidP="00CB0B21">
      <w:pPr>
        <w:pStyle w:val="DHHSbody"/>
      </w:pPr>
      <w:r w:rsidRPr="00CE10D8">
        <w:t xml:space="preserve">All </w:t>
      </w:r>
      <w:r w:rsidRPr="005D3EEE">
        <w:rPr>
          <w:i/>
        </w:rPr>
        <w:t>Enterobacteriaceae</w:t>
      </w:r>
      <w:r w:rsidRPr="00CE10D8">
        <w:t xml:space="preserve"> that are suspected to be CPE are to be stored at the testing laboratory for six months.</w:t>
      </w:r>
    </w:p>
    <w:p w:rsidR="00C160DE" w:rsidRPr="00E641AD" w:rsidRDefault="00C160DE" w:rsidP="00CB0B21">
      <w:pPr>
        <w:pStyle w:val="Heading2"/>
      </w:pPr>
      <w:bookmarkStart w:id="39" w:name="_Toc504988375"/>
      <w:r>
        <w:t>Reporting environmental screening results to the VCIMT</w:t>
      </w:r>
      <w:bookmarkEnd w:id="39"/>
    </w:p>
    <w:p w:rsidR="00C160DE" w:rsidRDefault="00C160DE" w:rsidP="00CB0B21">
      <w:pPr>
        <w:pStyle w:val="DHHSbody"/>
      </w:pPr>
      <w:r w:rsidRPr="00E641AD">
        <w:t xml:space="preserve">When environmental </w:t>
      </w:r>
      <w:r>
        <w:t>screening</w:t>
      </w:r>
      <w:r w:rsidRPr="00E641AD">
        <w:t xml:space="preserve"> is undertaken in a TRA and/or at </w:t>
      </w:r>
      <w:r>
        <w:t xml:space="preserve">the </w:t>
      </w:r>
      <w:r w:rsidRPr="00E641AD">
        <w:t>direction of the VCIMT all results must</w:t>
      </w:r>
      <w:r>
        <w:t xml:space="preserve"> be reported to the VCIMT. This includes a list of all of the sites sampled and all of the results, both positive and negative, for CPE.</w:t>
      </w:r>
    </w:p>
    <w:p w:rsidR="00C160DE" w:rsidRDefault="00C160DE">
      <w:pPr>
        <w:rPr>
          <w:rFonts w:ascii="Arial" w:hAnsi="Arial"/>
          <w:bCs/>
          <w:color w:val="004EA8"/>
          <w:sz w:val="44"/>
          <w:szCs w:val="44"/>
        </w:rPr>
      </w:pPr>
      <w:r>
        <w:br w:type="page"/>
      </w:r>
    </w:p>
    <w:p w:rsidR="00C160DE" w:rsidRDefault="00C160DE" w:rsidP="00CB0B21">
      <w:pPr>
        <w:pStyle w:val="Heading1"/>
      </w:pPr>
      <w:bookmarkStart w:id="40" w:name="_Toc504988376"/>
      <w:r>
        <w:lastRenderedPageBreak/>
        <w:t>Section 6: Response to identification of CPE in the environment</w:t>
      </w:r>
      <w:bookmarkEnd w:id="40"/>
    </w:p>
    <w:p w:rsidR="00C160DE" w:rsidRPr="00AE3812" w:rsidRDefault="00C160DE" w:rsidP="00CB0B21">
      <w:pPr>
        <w:pStyle w:val="DHHSbody"/>
      </w:pPr>
      <w:r>
        <w:t>Although the purpose of this guideline is not to provide explicit guidance for the response to CPE environmental contamination, this section outlines some potential  measures that may be taken.  Actions implemented will differ depending on the site of the isolate. The following suggestions may be used as a guide by the health service when developing their own action plans. The health service should consult with their engineering department for advice on engineering controls that may be used. The VCIMT may also be contacted to provide further guidance regarding possible responses to environmental CPE isolates.</w:t>
      </w:r>
    </w:p>
    <w:p w:rsidR="00C160DE" w:rsidRPr="00AE3812" w:rsidRDefault="00C160DE" w:rsidP="00CB0B21">
      <w:pPr>
        <w:pStyle w:val="Heading2"/>
      </w:pPr>
      <w:bookmarkStart w:id="41" w:name="_Toc504988377"/>
      <w:r>
        <w:t>Enhancement of cleaning practices</w:t>
      </w:r>
      <w:bookmarkEnd w:id="41"/>
    </w:p>
    <w:p w:rsidR="00C160DE" w:rsidRDefault="00C160DE" w:rsidP="00CB0B21">
      <w:pPr>
        <w:pStyle w:val="DHHSbody"/>
      </w:pPr>
      <w:r>
        <w:t xml:space="preserve">When CPE is found in the environment, a review of cleaning practices should be one of the first measures considered. This is particularly relevant when CPE is isolated from </w:t>
      </w:r>
      <w:hyperlink w:anchor="_Frequently_Touched_Surfaces" w:history="1">
        <w:r w:rsidRPr="00B91E0E">
          <w:rPr>
            <w:rStyle w:val="Hyperlink"/>
          </w:rPr>
          <w:t>frequently touched surfaces</w:t>
        </w:r>
      </w:hyperlink>
      <w:r>
        <w:t>. A review of cleaning practices may include, but not be limited to:</w:t>
      </w:r>
    </w:p>
    <w:p w:rsidR="00C160DE" w:rsidRDefault="00C160DE" w:rsidP="00CB0B21">
      <w:pPr>
        <w:pStyle w:val="DHHSbullet1"/>
      </w:pPr>
      <w:r>
        <w:t>re-assessment of cleaning and/or disinfection products used (that is, chemicals and equipment)</w:t>
      </w:r>
    </w:p>
    <w:p w:rsidR="00C160DE" w:rsidRDefault="00C160DE" w:rsidP="00CB0B21">
      <w:pPr>
        <w:pStyle w:val="DHHSbullet1"/>
      </w:pPr>
      <w:r>
        <w:t>frequency of routine cleaning</w:t>
      </w:r>
    </w:p>
    <w:p w:rsidR="00C160DE" w:rsidRDefault="00C160DE" w:rsidP="00CB0B21">
      <w:pPr>
        <w:pStyle w:val="DHHSbullet1"/>
      </w:pPr>
      <w:r>
        <w:t>audit of the cleaning of shared patient equipment (for example, who is responsible for this, what product is available to staff to cleaning shared equipment)</w:t>
      </w:r>
    </w:p>
    <w:p w:rsidR="00C160DE" w:rsidRDefault="00C160DE" w:rsidP="00CB0B21">
      <w:pPr>
        <w:pStyle w:val="DHHSbullet1"/>
      </w:pPr>
      <w:r>
        <w:t>appraisal of terminal cleaning practices</w:t>
      </w:r>
    </w:p>
    <w:p w:rsidR="00C160DE" w:rsidRPr="005F3449" w:rsidRDefault="00C160DE" w:rsidP="00CB0B21">
      <w:pPr>
        <w:pStyle w:val="DHHSbullet1lastline"/>
      </w:pPr>
      <w:r>
        <w:t>evaluation and/or monitoring of cleaning practices (for example fluorescent gel markers or ATP bioluminescence).</w:t>
      </w:r>
    </w:p>
    <w:p w:rsidR="00C160DE" w:rsidRPr="005F3449" w:rsidRDefault="00C160DE" w:rsidP="00CB0B21">
      <w:pPr>
        <w:pStyle w:val="Heading2"/>
      </w:pPr>
      <w:bookmarkStart w:id="42" w:name="_Toc504988378"/>
      <w:r>
        <w:t>Contaminated clinical hand basins</w:t>
      </w:r>
      <w:bookmarkEnd w:id="42"/>
    </w:p>
    <w:p w:rsidR="00C160DE" w:rsidRDefault="00C160DE" w:rsidP="00CB0B21">
      <w:pPr>
        <w:pStyle w:val="DHHSbody"/>
      </w:pPr>
      <w:r>
        <w:t>Contaminated clinical hand basins can present a significant transmission risk. If hand basins are found to be contaminated with CPE consider the following.</w:t>
      </w:r>
    </w:p>
    <w:p w:rsidR="00C160DE" w:rsidRDefault="00C160DE" w:rsidP="00CB0B21">
      <w:pPr>
        <w:pStyle w:val="DHHSbullet1"/>
      </w:pPr>
      <w:r>
        <w:t xml:space="preserve">Review how clinical hand basins are being utilised. Clinical hand basins must </w:t>
      </w:r>
      <w:r w:rsidRPr="00697789">
        <w:rPr>
          <w:b/>
        </w:rPr>
        <w:t>only</w:t>
      </w:r>
      <w:r>
        <w:t xml:space="preserve"> be used to wash hands. Excess intravenous (IV) liquids, medications, left over nasogastric feeds, bed-bath water or drinks must not be disposed of into clinical hand basins, nor items or utensils (for example kidney dishes, patient clothing) washed in hand basins.</w:t>
      </w:r>
    </w:p>
    <w:p w:rsidR="00C160DE" w:rsidRDefault="00C160DE" w:rsidP="00CB0B21">
      <w:pPr>
        <w:pStyle w:val="DHHSbullet1"/>
      </w:pPr>
      <w:r>
        <w:t>Review the integrity of hand basins. For example, is the glazing of the hand basin still intact and easily cleanable?</w:t>
      </w:r>
    </w:p>
    <w:p w:rsidR="00C160DE" w:rsidRDefault="00C160DE" w:rsidP="00CB0B21">
      <w:pPr>
        <w:pStyle w:val="DHHSbullet1"/>
      </w:pPr>
      <w:r>
        <w:t>Check the water from the tap spout pours slightly offset from the drain onto the smooth surface of the hand basin. If the tap spout pours directly into the hand basin’s drain there is an increased risk of splash-back onto hands.</w:t>
      </w:r>
    </w:p>
    <w:p w:rsidR="00C160DE" w:rsidRDefault="00C160DE" w:rsidP="00CB0B21">
      <w:pPr>
        <w:pStyle w:val="DHHSbullet1"/>
      </w:pPr>
      <w:r>
        <w:t>Ensure there is no equipment or stock in the ‘splash-zone’ of clinical hand basins. Water dispersed while washing hands can contaminate stock (for example sterile stock or excess hand towels) or equipment stored nearby sinks.</w:t>
      </w:r>
    </w:p>
    <w:p w:rsidR="00C160DE" w:rsidRDefault="00C160DE" w:rsidP="00CB0B21">
      <w:pPr>
        <w:pStyle w:val="DHHSbullet1"/>
      </w:pPr>
      <w:r>
        <w:t>Consider (if sinks remain contaminated) further cleaning measures such as using a long bottle or tube brush to clean or reduce the biofilm of pipes immediately below the sink drain. Such brushes should be single-use only and disposed of after cleaning a single sink. Appropriate PPE should be worn by the cleaning staff during the process and barriers should be erected to protect patients and equipment in the immediate vicinity.</w:t>
      </w:r>
    </w:p>
    <w:p w:rsidR="00C160DE" w:rsidRDefault="00C160DE" w:rsidP="00CB0B21">
      <w:pPr>
        <w:pStyle w:val="DHHSbullet1lastline"/>
      </w:pPr>
      <w:r>
        <w:t>More destructive methods of remediation, such as removal of pipes, should only be considered when all other measures have proven futile and the environmental burden of CPE and subsequent associated risk of transmission remains unacceptably high.</w:t>
      </w:r>
    </w:p>
    <w:p w:rsidR="00C160DE" w:rsidRDefault="00C160DE" w:rsidP="00CB0B21">
      <w:pPr>
        <w:pStyle w:val="Heading2"/>
      </w:pPr>
      <w:bookmarkStart w:id="43" w:name="_Toc504988379"/>
      <w:r>
        <w:lastRenderedPageBreak/>
        <w:t>Contaminated toilets</w:t>
      </w:r>
      <w:bookmarkEnd w:id="43"/>
    </w:p>
    <w:p w:rsidR="00C160DE" w:rsidRDefault="00C160DE" w:rsidP="00CB0B21">
      <w:pPr>
        <w:pStyle w:val="DHHSbody"/>
      </w:pPr>
      <w:r>
        <w:t>If toilets are found to be contaminated with CPE consider the following.</w:t>
      </w:r>
    </w:p>
    <w:p w:rsidR="00C160DE" w:rsidRDefault="00C160DE" w:rsidP="00CB0B21">
      <w:pPr>
        <w:pStyle w:val="DHHSbullet1"/>
      </w:pPr>
      <w:r>
        <w:t>Review toilets for any signs of damage and leaks. Damaged toilets may need to be replaced.</w:t>
      </w:r>
    </w:p>
    <w:p w:rsidR="00C160DE" w:rsidRDefault="00C160DE" w:rsidP="00CB0B21">
      <w:pPr>
        <w:pStyle w:val="DHHSbullet1"/>
      </w:pPr>
      <w:r>
        <w:t>If possible, ensure all toilets have lids which can be closed and provide signage to educate patients and staff to close toilet lids when flushing. Contamination of the surrounding environment may occur when toilets are flushed.</w:t>
      </w:r>
    </w:p>
    <w:p w:rsidR="00C160DE" w:rsidRDefault="00C160DE" w:rsidP="00CB0B21">
      <w:pPr>
        <w:pStyle w:val="DHHSbullet1"/>
      </w:pPr>
      <w:r>
        <w:t>Consider using an enhanced cleaning technique to decontaminate the toilet. Contact the VCIMT for further information.</w:t>
      </w:r>
    </w:p>
    <w:p w:rsidR="00C160DE" w:rsidRDefault="00C160DE">
      <w:pPr>
        <w:rPr>
          <w:rFonts w:ascii="Arial" w:eastAsia="Times" w:hAnsi="Arial"/>
        </w:rPr>
      </w:pPr>
      <w:r>
        <w:br w:type="page"/>
      </w:r>
    </w:p>
    <w:p w:rsidR="00C160DE" w:rsidRDefault="00C160DE" w:rsidP="00CB0B21">
      <w:pPr>
        <w:pStyle w:val="Heading1"/>
      </w:pPr>
      <w:bookmarkStart w:id="44" w:name="_Toc504988380"/>
      <w:r w:rsidRPr="0070497F">
        <w:rPr>
          <w:rStyle w:val="Heading1Char"/>
        </w:rPr>
        <w:lastRenderedPageBreak/>
        <w:t>R</w:t>
      </w:r>
      <w:r>
        <w:t>eferences:</w:t>
      </w:r>
      <w:bookmarkEnd w:id="44"/>
    </w:p>
    <w:p w:rsidR="00C160DE" w:rsidRPr="00553025" w:rsidRDefault="00C160DE" w:rsidP="00CB0B21">
      <w:pPr>
        <w:pStyle w:val="EndNoteBibliography"/>
        <w:spacing w:after="0"/>
        <w:ind w:left="567" w:hanging="567"/>
      </w:pPr>
      <w:bookmarkStart w:id="45" w:name="_ENREF_1"/>
      <w:r w:rsidRPr="00F129CF">
        <w:t>1.</w:t>
      </w:r>
      <w:r w:rsidRPr="00F129CF">
        <w:tab/>
      </w:r>
      <w:r w:rsidRPr="00553025">
        <w:t xml:space="preserve">Leitner E, Zarfel G, Luxner J, Herzog K, Pekard-Amenitsch S, Hoenigl M, et al. Contaminated handwashing sinks as the source of a clonal outbreak of KPC-2-producing </w:t>
      </w:r>
      <w:r w:rsidRPr="00553025">
        <w:rPr>
          <w:i/>
        </w:rPr>
        <w:t>Klebsiella oxytoca</w:t>
      </w:r>
      <w:r w:rsidRPr="00553025">
        <w:t xml:space="preserve"> on a </w:t>
      </w:r>
      <w:r w:rsidR="00CB0B21" w:rsidRPr="00553025">
        <w:t>hematology ward. Antimicrob Agents Chemother</w:t>
      </w:r>
      <w:r w:rsidRPr="00553025">
        <w:t>. 2015;59(1):714-6.</w:t>
      </w:r>
      <w:bookmarkEnd w:id="45"/>
    </w:p>
    <w:p w:rsidR="00C160DE" w:rsidRPr="00553025" w:rsidRDefault="00C160DE" w:rsidP="00CB0B21">
      <w:pPr>
        <w:pStyle w:val="EndNoteBibliography"/>
        <w:spacing w:after="0"/>
        <w:ind w:left="567" w:hanging="567"/>
      </w:pPr>
      <w:bookmarkStart w:id="46" w:name="_ENREF_2"/>
      <w:r w:rsidRPr="00553025">
        <w:t>2.</w:t>
      </w:r>
      <w:r w:rsidRPr="00553025">
        <w:tab/>
        <w:t xml:space="preserve">Clarivet B, Grau D, Jumas-Bilak E, Jean-Pierre H, Pantel A, Parer S, et al. Persisting transmission of carbapenemase-producing </w:t>
      </w:r>
      <w:r w:rsidRPr="00553025">
        <w:rPr>
          <w:i/>
        </w:rPr>
        <w:t>Klebsiella pneumoniae</w:t>
      </w:r>
      <w:r w:rsidRPr="00553025">
        <w:t xml:space="preserve"> due to an environmental reservoir in a university hospital, France, 2012 to 2014. Euro surveillance. 2016;21(17).</w:t>
      </w:r>
      <w:bookmarkEnd w:id="46"/>
    </w:p>
    <w:p w:rsidR="00C160DE" w:rsidRPr="00553025" w:rsidRDefault="00C160DE" w:rsidP="00CB0B21">
      <w:pPr>
        <w:pStyle w:val="EndNoteBibliography"/>
        <w:spacing w:after="0"/>
        <w:ind w:left="567" w:hanging="567"/>
      </w:pPr>
      <w:bookmarkStart w:id="47" w:name="_ENREF_3"/>
      <w:r w:rsidRPr="00553025">
        <w:t>3.</w:t>
      </w:r>
      <w:r w:rsidRPr="00553025">
        <w:tab/>
        <w:t>Kotsanas D, Wijesooriya W, Korman TM, Gillespie EE, Wright L, Snook K, et al. Down the drain”: carbapenem-resistant bacteria in intensive care unit patients and handwashing sinks. Med J Aust. 2013;198(5):267-9.</w:t>
      </w:r>
      <w:bookmarkEnd w:id="47"/>
    </w:p>
    <w:p w:rsidR="00C160DE" w:rsidRPr="00553025" w:rsidRDefault="00C160DE" w:rsidP="00CB0B21">
      <w:pPr>
        <w:pStyle w:val="EndNoteBibliography"/>
        <w:spacing w:after="0"/>
        <w:ind w:left="567" w:hanging="567"/>
      </w:pPr>
      <w:bookmarkStart w:id="48" w:name="_ENREF_4"/>
      <w:r w:rsidRPr="00553025">
        <w:t>4.</w:t>
      </w:r>
      <w:r w:rsidRPr="00553025">
        <w:tab/>
        <w:t xml:space="preserve">Vergara‐López S, Domínguez M, Conejo M, Pascual A, Rodríguez‐Baño J. Wastewater drainage system as an occult reservoir in a protracted clonal outbreak due to metallo‐β‐lactamase‐producing </w:t>
      </w:r>
      <w:r w:rsidRPr="00553025">
        <w:rPr>
          <w:i/>
        </w:rPr>
        <w:t>Klebsiella oxytoca</w:t>
      </w:r>
      <w:r w:rsidR="00010E72" w:rsidRPr="00553025">
        <w:t>. Clin Microbiol Infect</w:t>
      </w:r>
      <w:r w:rsidRPr="00553025">
        <w:t>. 2013;19(11):E490-E8.</w:t>
      </w:r>
      <w:bookmarkEnd w:id="48"/>
    </w:p>
    <w:p w:rsidR="00C160DE" w:rsidRPr="00553025" w:rsidRDefault="00C160DE" w:rsidP="00CB0B21">
      <w:pPr>
        <w:pStyle w:val="EndNoteBibliography"/>
        <w:spacing w:after="0"/>
        <w:ind w:left="567" w:hanging="567"/>
      </w:pPr>
      <w:bookmarkStart w:id="49" w:name="_ENREF_5"/>
      <w:r w:rsidRPr="00553025">
        <w:t>5.</w:t>
      </w:r>
      <w:r w:rsidRPr="00553025">
        <w:tab/>
        <w:t>French CE, Coope C, Conway L, Higgins JP, McCulloch J, Okoli G, et al. Control of carbapenemase-producing Enterobacteriaceae outbreaks in acute settings</w:t>
      </w:r>
      <w:r w:rsidR="001B23E9" w:rsidRPr="00553025">
        <w:t>: An evidence review. J Hosp Infect. 2017;95(1):3-45</w:t>
      </w:r>
      <w:r w:rsidRPr="00553025">
        <w:t>.</w:t>
      </w:r>
      <w:bookmarkEnd w:id="49"/>
    </w:p>
    <w:p w:rsidR="00C160DE" w:rsidRPr="00553025" w:rsidRDefault="00C160DE" w:rsidP="00CB0B21">
      <w:pPr>
        <w:pStyle w:val="EndNoteBibliography"/>
        <w:spacing w:after="0"/>
        <w:ind w:left="567" w:hanging="567"/>
      </w:pPr>
      <w:bookmarkStart w:id="50" w:name="_ENREF_6"/>
      <w:r w:rsidRPr="00553025">
        <w:t>6.</w:t>
      </w:r>
      <w:r w:rsidRPr="00553025">
        <w:tab/>
        <w:t xml:space="preserve">Thurlow CJ, Prabaker K, Lin MY, Lolans K, Weinstein RA, Hayden MK. Anatomic sites of patent colonization and environmental contamination with </w:t>
      </w:r>
      <w:r w:rsidRPr="00553025">
        <w:rPr>
          <w:i/>
        </w:rPr>
        <w:t>Klebsiella pneumoniae</w:t>
      </w:r>
      <w:r w:rsidRPr="00553025">
        <w:t xml:space="preserve"> carbapenemase—producing Enterobacteriaceae at long-term </w:t>
      </w:r>
      <w:r w:rsidR="001B23E9" w:rsidRPr="00553025">
        <w:t>acute care hospitals. Infect Control Hosp Epidemiol. 2013;34(</w:t>
      </w:r>
      <w:r w:rsidRPr="00553025">
        <w:t>1):56-61.</w:t>
      </w:r>
      <w:bookmarkEnd w:id="50"/>
    </w:p>
    <w:p w:rsidR="00C160DE" w:rsidRPr="00553025" w:rsidRDefault="00C160DE" w:rsidP="00CB0B21">
      <w:pPr>
        <w:pStyle w:val="EndNoteBibliography"/>
        <w:spacing w:after="0"/>
        <w:ind w:left="567" w:hanging="567"/>
      </w:pPr>
      <w:bookmarkStart w:id="51" w:name="_ENREF_7"/>
      <w:r w:rsidRPr="00553025">
        <w:t>7.</w:t>
      </w:r>
      <w:r w:rsidRPr="00553025">
        <w:tab/>
        <w:t xml:space="preserve">Rock C, Thom KA, Masnick M, Johnson JK, Harris AD, Morgan DJ. Frequency of </w:t>
      </w:r>
      <w:r w:rsidRPr="00553025">
        <w:rPr>
          <w:i/>
        </w:rPr>
        <w:t xml:space="preserve">Klebsiella pneumoniae </w:t>
      </w:r>
      <w:r w:rsidRPr="00553025">
        <w:t xml:space="preserve">Carbapenemase (KPC)–Producing and Non-KPC-Producing </w:t>
      </w:r>
      <w:r w:rsidRPr="00553025">
        <w:rPr>
          <w:i/>
        </w:rPr>
        <w:t>Klebsiella</w:t>
      </w:r>
      <w:r w:rsidRPr="00553025">
        <w:t xml:space="preserve"> Species Contamination of Healthcare Wor</w:t>
      </w:r>
      <w:r w:rsidR="001B23E9" w:rsidRPr="00553025">
        <w:t>kers and the Environment. Infect Control Hosp Epidemiol</w:t>
      </w:r>
      <w:r w:rsidRPr="00553025">
        <w:t>. 2014;35(04):426-9.</w:t>
      </w:r>
      <w:bookmarkEnd w:id="51"/>
    </w:p>
    <w:p w:rsidR="00C160DE" w:rsidRPr="00553025" w:rsidRDefault="00C160DE" w:rsidP="00CB0B21">
      <w:pPr>
        <w:pStyle w:val="EndNoteBibliography"/>
        <w:spacing w:after="0"/>
        <w:ind w:left="567" w:hanging="567"/>
      </w:pPr>
      <w:bookmarkStart w:id="52" w:name="_ENREF_8"/>
      <w:r w:rsidRPr="00553025">
        <w:t>8.</w:t>
      </w:r>
      <w:r w:rsidRPr="00553025">
        <w:tab/>
        <w:t>Mitchell BG, Dancer S, Anderson M, Dehn E. Risk of organism acquisition from prior room occupants: a systematic revi</w:t>
      </w:r>
      <w:r w:rsidR="00870643" w:rsidRPr="00553025">
        <w:t>ew and meta-analysis. J Hosp Infect</w:t>
      </w:r>
      <w:r w:rsidRPr="00553025">
        <w:t>. 2015;91(3):211-7.</w:t>
      </w:r>
      <w:bookmarkEnd w:id="52"/>
    </w:p>
    <w:p w:rsidR="00C160DE" w:rsidRPr="00553025" w:rsidRDefault="00574078" w:rsidP="00CB0B21">
      <w:pPr>
        <w:pStyle w:val="EndNoteBibliography"/>
        <w:spacing w:after="0"/>
        <w:ind w:left="567" w:hanging="567"/>
      </w:pPr>
      <w:bookmarkStart w:id="53" w:name="_ENREF_11"/>
      <w:r w:rsidRPr="00553025">
        <w:t>9</w:t>
      </w:r>
      <w:r w:rsidR="00C160DE" w:rsidRPr="00553025">
        <w:t>.</w:t>
      </w:r>
      <w:r w:rsidR="00C160DE" w:rsidRPr="00553025">
        <w:tab/>
        <w:t>Perry P, Malkowski M, McCullogh C. A Comparison of bioMérieux chromID</w:t>
      </w:r>
      <w:r w:rsidR="00C160DE" w:rsidRPr="00553025">
        <w:rPr>
          <w:vertAlign w:val="superscript"/>
        </w:rPr>
        <w:t>TM</w:t>
      </w:r>
      <w:r w:rsidR="00C160DE" w:rsidRPr="00553025">
        <w:t xml:space="preserve"> ESBL and chromIDTM CARBA for Detection of Carbapenem Resistant Enterobacteriaceae. Australasian Society for Infectious Diseases Gram Negative ‘Superbugs’ Meeting Surfer's Paradise, Queensland, Australia</w:t>
      </w:r>
      <w:r w:rsidR="00870643" w:rsidRPr="00553025">
        <w:t xml:space="preserve"> </w:t>
      </w:r>
      <w:r w:rsidR="00C160DE" w:rsidRPr="00553025">
        <w:t>2013.</w:t>
      </w:r>
      <w:bookmarkEnd w:id="53"/>
    </w:p>
    <w:p w:rsidR="00C160DE" w:rsidRPr="00553025" w:rsidRDefault="00574078" w:rsidP="00CB0B21">
      <w:pPr>
        <w:pStyle w:val="EndNoteBibliography"/>
        <w:spacing w:after="0"/>
        <w:ind w:left="567" w:hanging="567"/>
      </w:pPr>
      <w:bookmarkStart w:id="54" w:name="_ENREF_12"/>
      <w:r w:rsidRPr="00553025">
        <w:t>10</w:t>
      </w:r>
      <w:r w:rsidR="00C160DE" w:rsidRPr="00553025">
        <w:t>.</w:t>
      </w:r>
      <w:r w:rsidR="00C160DE" w:rsidRPr="00553025">
        <w:tab/>
        <w:t>Wilkinson KM, Winstanley TG, Lanyon C, Cummings SP, Raza MW, Perry JD. Comparison of four chromogenic culture media for carbapenemase-produ</w:t>
      </w:r>
      <w:r w:rsidR="00870643" w:rsidRPr="00553025">
        <w:t xml:space="preserve">cing </w:t>
      </w:r>
      <w:r w:rsidR="00870643" w:rsidRPr="00553025">
        <w:rPr>
          <w:i/>
        </w:rPr>
        <w:t>Enterobacteriaceae</w:t>
      </w:r>
      <w:r w:rsidR="00870643" w:rsidRPr="00553025">
        <w:t>. J Clin Microbiol</w:t>
      </w:r>
      <w:r w:rsidR="00C160DE" w:rsidRPr="00553025">
        <w:t>. 2012;50(9):3102-4.</w:t>
      </w:r>
      <w:bookmarkEnd w:id="54"/>
    </w:p>
    <w:p w:rsidR="00C160DE" w:rsidRPr="00553025" w:rsidRDefault="00574078" w:rsidP="00C160DE">
      <w:pPr>
        <w:pStyle w:val="EndNoteBibliography"/>
        <w:spacing w:after="0"/>
        <w:ind w:left="567" w:hanging="567"/>
      </w:pPr>
      <w:bookmarkStart w:id="55" w:name="_ENREF_13"/>
      <w:r w:rsidRPr="00553025">
        <w:t>11</w:t>
      </w:r>
      <w:r w:rsidR="00C160DE" w:rsidRPr="00553025">
        <w:t>.</w:t>
      </w:r>
      <w:r w:rsidR="00C160DE" w:rsidRPr="00553025">
        <w:tab/>
        <w:t xml:space="preserve">Vrioni G, Daniil I, Voulgari E, Ranellou K, Koumaki V, Ghirardi S, et al. Comparative evaluation of a prototype chromogenic medium (ChromID CARBA) for detecting carbapenemase-producing </w:t>
      </w:r>
      <w:r w:rsidR="00C160DE" w:rsidRPr="00553025">
        <w:rPr>
          <w:i/>
        </w:rPr>
        <w:t>Enterobacteriaceae</w:t>
      </w:r>
      <w:r w:rsidR="00C160DE" w:rsidRPr="00553025">
        <w:t xml:space="preserve"> in surve</w:t>
      </w:r>
      <w:r w:rsidR="00A81508" w:rsidRPr="00553025">
        <w:t>illance rectal swabs. J</w:t>
      </w:r>
      <w:r w:rsidR="00C160DE" w:rsidRPr="00553025">
        <w:t xml:space="preserve"> </w:t>
      </w:r>
      <w:r w:rsidR="00A81508" w:rsidRPr="00553025">
        <w:t>Clin M</w:t>
      </w:r>
      <w:r w:rsidR="00C160DE" w:rsidRPr="00553025">
        <w:t>icrobiol. 2012;50(6):1841-6.</w:t>
      </w:r>
      <w:bookmarkEnd w:id="55"/>
    </w:p>
    <w:p w:rsidR="00C160DE" w:rsidRPr="00553025" w:rsidRDefault="00C160DE" w:rsidP="00E348A5">
      <w:pPr>
        <w:pStyle w:val="EndNoteBibliography"/>
        <w:spacing w:after="0"/>
        <w:ind w:left="567" w:hanging="567"/>
      </w:pPr>
      <w:r w:rsidRPr="00553025">
        <w:t>1</w:t>
      </w:r>
      <w:r w:rsidR="00CB6AD7">
        <w:t>2</w:t>
      </w:r>
      <w:r w:rsidRPr="00553025">
        <w:t xml:space="preserve">. </w:t>
      </w:r>
      <w:r w:rsidRPr="00553025">
        <w:tab/>
        <w:t>Withey S, Scopes E. A new screening medium for detection of carbapenem-resistant Enterobacteriaceae. Thermo Scientific. 2011.</w:t>
      </w:r>
    </w:p>
    <w:p w:rsidR="00C160DE" w:rsidRPr="00F129CF" w:rsidRDefault="00CB6AD7" w:rsidP="0072146F">
      <w:pPr>
        <w:pStyle w:val="EndNoteBibliography"/>
        <w:ind w:left="567" w:hanging="567"/>
      </w:pPr>
      <w:r>
        <w:t>13</w:t>
      </w:r>
      <w:r w:rsidR="00C160DE" w:rsidRPr="00553025">
        <w:t xml:space="preserve">. </w:t>
      </w:r>
      <w:r w:rsidR="00C160DE" w:rsidRPr="00553025">
        <w:tab/>
        <w:t xml:space="preserve">Stuart JC, Voets G, Rottier W, Voskuil S, Scharringa J, Van Dijk K, Fluit, AC, Leverstein-Van Hall M. Evaluation of the Oxoid </w:t>
      </w:r>
      <w:r w:rsidR="00C160DE" w:rsidRPr="00553025">
        <w:rPr>
          <w:i/>
        </w:rPr>
        <w:t>Brilliance</w:t>
      </w:r>
      <w:r w:rsidR="00820406" w:rsidRPr="00553025">
        <w:rPr>
          <w:vertAlign w:val="superscript"/>
        </w:rPr>
        <w:t>TM</w:t>
      </w:r>
      <w:r w:rsidR="00820406" w:rsidRPr="00553025">
        <w:t xml:space="preserve"> </w:t>
      </w:r>
      <w:r w:rsidR="00C160DE" w:rsidRPr="00553025">
        <w:t>CRE Agar for the detection of carbapenemase-producing Enterobacteriaceae. Eur J Clin Microbiol</w:t>
      </w:r>
      <w:r w:rsidR="00AA2321" w:rsidRPr="00553025">
        <w:t xml:space="preserve"> Infect Dis. 2013;32:1445-</w:t>
      </w:r>
      <w:r w:rsidR="0072146F" w:rsidRPr="00553025">
        <w:t>9.</w:t>
      </w:r>
    </w:p>
    <w:p w:rsidR="00C160DE" w:rsidRDefault="00C160DE" w:rsidP="00CB0B21">
      <w:pPr>
        <w:pStyle w:val="DHHSbody"/>
      </w:pPr>
      <w:r>
        <w:br w:type="page"/>
      </w:r>
    </w:p>
    <w:p w:rsidR="00C160DE" w:rsidRDefault="00C160DE" w:rsidP="00CB0B21">
      <w:pPr>
        <w:pStyle w:val="Heading1"/>
      </w:pPr>
      <w:bookmarkStart w:id="56" w:name="_Appendix_A:_Selective"/>
      <w:bookmarkStart w:id="57" w:name="_Toc504988381"/>
      <w:bookmarkEnd w:id="56"/>
      <w:r>
        <w:lastRenderedPageBreak/>
        <w:t>Appendix A: Selective media</w:t>
      </w:r>
      <w:bookmarkEnd w:id="57"/>
    </w:p>
    <w:p w:rsidR="00C160DE" w:rsidRPr="00890D3C" w:rsidRDefault="00C160DE" w:rsidP="00CB0B21">
      <w:pPr>
        <w:pStyle w:val="DHHStablecaption"/>
      </w:pPr>
      <w:bookmarkStart w:id="58" w:name="_Table_3:_Performance"/>
      <w:bookmarkEnd w:id="58"/>
      <w:r>
        <w:t>Table 3: Performance</w:t>
      </w:r>
      <w:r w:rsidRPr="00890D3C">
        <w:t xml:space="preserve"> of </w:t>
      </w:r>
      <w:r>
        <w:t>chromogenic media useful for the recovery of CPE</w:t>
      </w:r>
      <w:r w:rsidRPr="00812731">
        <w:rPr>
          <w:b w:val="0"/>
          <w:vertAlign w:val="superscript"/>
        </w:rPr>
        <w:t>1</w:t>
      </w:r>
    </w:p>
    <w:tbl>
      <w:tblPr>
        <w:tblStyle w:val="TableGrid"/>
        <w:tblW w:w="0" w:type="auto"/>
        <w:tblInd w:w="0" w:type="dxa"/>
        <w:tblLook w:val="04A0" w:firstRow="1" w:lastRow="0" w:firstColumn="1" w:lastColumn="0" w:noHBand="0" w:noVBand="1"/>
      </w:tblPr>
      <w:tblGrid>
        <w:gridCol w:w="1572"/>
        <w:gridCol w:w="3371"/>
        <w:gridCol w:w="1685"/>
        <w:gridCol w:w="1277"/>
        <w:gridCol w:w="1609"/>
      </w:tblGrid>
      <w:tr w:rsidR="00C160DE" w:rsidRPr="003B1693" w:rsidTr="00CB0B21">
        <w:trPr>
          <w:tblHeader/>
        </w:trPr>
        <w:tc>
          <w:tcPr>
            <w:tcW w:w="1572" w:type="dxa"/>
          </w:tcPr>
          <w:p w:rsidR="00C160DE" w:rsidRPr="003B1693" w:rsidRDefault="00C160DE" w:rsidP="00CB0B21">
            <w:pPr>
              <w:pStyle w:val="DHHStablecolhead"/>
            </w:pPr>
            <w:r w:rsidRPr="003B1693">
              <w:t>Media name</w:t>
            </w:r>
          </w:p>
        </w:tc>
        <w:tc>
          <w:tcPr>
            <w:tcW w:w="3371" w:type="dxa"/>
          </w:tcPr>
          <w:p w:rsidR="00C160DE" w:rsidRPr="003B1693" w:rsidRDefault="00C160DE" w:rsidP="00CB0B21">
            <w:pPr>
              <w:pStyle w:val="DHHStablecolhead"/>
            </w:pPr>
            <w:r>
              <w:t>Purpose of Media</w:t>
            </w:r>
          </w:p>
        </w:tc>
        <w:tc>
          <w:tcPr>
            <w:tcW w:w="1685" w:type="dxa"/>
          </w:tcPr>
          <w:p w:rsidR="00C160DE" w:rsidRPr="003B1693" w:rsidRDefault="00C160DE" w:rsidP="00CB0B21">
            <w:pPr>
              <w:pStyle w:val="DHHStablecolhead"/>
            </w:pPr>
            <w:r w:rsidRPr="003B1693">
              <w:t>Sensitivity</w:t>
            </w:r>
          </w:p>
        </w:tc>
        <w:tc>
          <w:tcPr>
            <w:tcW w:w="1277" w:type="dxa"/>
          </w:tcPr>
          <w:p w:rsidR="00C160DE" w:rsidRPr="003B1693" w:rsidRDefault="00C160DE" w:rsidP="00CB0B21">
            <w:pPr>
              <w:pStyle w:val="DHHStablecolhead"/>
            </w:pPr>
            <w:r w:rsidRPr="003B1693">
              <w:t>Specificity</w:t>
            </w:r>
          </w:p>
        </w:tc>
        <w:tc>
          <w:tcPr>
            <w:tcW w:w="1609" w:type="dxa"/>
          </w:tcPr>
          <w:p w:rsidR="00C160DE" w:rsidRPr="003B1693" w:rsidRDefault="00C160DE" w:rsidP="00CB0B21">
            <w:pPr>
              <w:pStyle w:val="DHHStablecolhead"/>
            </w:pPr>
            <w:r>
              <w:t>Reference</w:t>
            </w:r>
          </w:p>
        </w:tc>
      </w:tr>
      <w:tr w:rsidR="00C160DE" w:rsidRPr="003B1693" w:rsidTr="00CB0B21">
        <w:tc>
          <w:tcPr>
            <w:tcW w:w="9514" w:type="dxa"/>
            <w:gridSpan w:val="5"/>
            <w:shd w:val="clear" w:color="auto" w:fill="D9D9D9" w:themeFill="background1" w:themeFillShade="D9"/>
          </w:tcPr>
          <w:p w:rsidR="00C160DE" w:rsidRPr="003B1693" w:rsidRDefault="00C160DE" w:rsidP="00CB0B21">
            <w:pPr>
              <w:pStyle w:val="DHHStabletext"/>
            </w:pPr>
            <w:r>
              <w:t>High sensitivity, low selectivity</w:t>
            </w:r>
            <w:r w:rsidRPr="003B1693">
              <w:t xml:space="preserve"> media</w:t>
            </w:r>
          </w:p>
        </w:tc>
      </w:tr>
      <w:tr w:rsidR="00C160DE" w:rsidRPr="003B1693" w:rsidTr="00CB0B21">
        <w:tc>
          <w:tcPr>
            <w:tcW w:w="1572" w:type="dxa"/>
          </w:tcPr>
          <w:p w:rsidR="00C160DE" w:rsidRPr="003B1693" w:rsidRDefault="00C160DE" w:rsidP="00CB0B21">
            <w:pPr>
              <w:pStyle w:val="DHHStabletext"/>
            </w:pPr>
            <w:proofErr w:type="spellStart"/>
            <w:r>
              <w:t>CHROMagar</w:t>
            </w:r>
            <w:proofErr w:type="spellEnd"/>
            <w:r>
              <w:t xml:space="preserve">™ (ESBL; </w:t>
            </w:r>
            <w:proofErr w:type="spellStart"/>
            <w:r>
              <w:t>MicroMedia</w:t>
            </w:r>
            <w:proofErr w:type="spellEnd"/>
            <w:r>
              <w:t>)</w:t>
            </w:r>
            <w:r>
              <w:rPr>
                <w:vertAlign w:val="superscript"/>
              </w:rPr>
              <w:t>2</w:t>
            </w:r>
          </w:p>
        </w:tc>
        <w:tc>
          <w:tcPr>
            <w:tcW w:w="3371" w:type="dxa"/>
          </w:tcPr>
          <w:p w:rsidR="00C160DE" w:rsidRPr="003B1693" w:rsidRDefault="00C160DE" w:rsidP="00CB0B21">
            <w:pPr>
              <w:pStyle w:val="DHHStabletext"/>
            </w:pPr>
            <w:r w:rsidRPr="003B1693">
              <w:t xml:space="preserve">For detection of Extended Spectrum ß-Lactamase (ESBL)-producing bacteria, including most carrying </w:t>
            </w:r>
            <w:proofErr w:type="spellStart"/>
            <w:r w:rsidRPr="003B1693">
              <w:t>AmpC</w:t>
            </w:r>
            <w:proofErr w:type="spellEnd"/>
            <w:r w:rsidRPr="003B1693">
              <w:t xml:space="preserve"> type resistance.</w:t>
            </w:r>
          </w:p>
        </w:tc>
        <w:tc>
          <w:tcPr>
            <w:tcW w:w="1685" w:type="dxa"/>
            <w:tcBorders>
              <w:bottom w:val="single" w:sz="4" w:space="0" w:color="auto"/>
            </w:tcBorders>
          </w:tcPr>
          <w:p w:rsidR="00C160DE" w:rsidRPr="003B1693" w:rsidRDefault="00C160DE" w:rsidP="00CB0B21">
            <w:pPr>
              <w:pStyle w:val="DHHStabletext"/>
            </w:pPr>
            <w:r>
              <w:t>99</w:t>
            </w:r>
            <w:r w:rsidRPr="003B1693">
              <w:t>%</w:t>
            </w:r>
          </w:p>
        </w:tc>
        <w:tc>
          <w:tcPr>
            <w:tcW w:w="1277" w:type="dxa"/>
            <w:tcBorders>
              <w:bottom w:val="single" w:sz="4" w:space="0" w:color="auto"/>
            </w:tcBorders>
          </w:tcPr>
          <w:p w:rsidR="00C160DE" w:rsidRPr="003B1693" w:rsidRDefault="00C160DE" w:rsidP="00CB0B21">
            <w:pPr>
              <w:pStyle w:val="DHHStabletext"/>
            </w:pPr>
            <w:r w:rsidRPr="003B1693">
              <w:t>89%</w:t>
            </w:r>
          </w:p>
        </w:tc>
        <w:tc>
          <w:tcPr>
            <w:tcW w:w="1609" w:type="dxa"/>
            <w:tcBorders>
              <w:bottom w:val="single" w:sz="4" w:space="0" w:color="auto"/>
            </w:tcBorders>
          </w:tcPr>
          <w:p w:rsidR="00C160DE" w:rsidRPr="003B1693" w:rsidRDefault="00C160DE" w:rsidP="00CB0B21">
            <w:pPr>
              <w:pStyle w:val="DHHStabletext"/>
            </w:pPr>
            <w:r w:rsidRPr="003B1693">
              <w:t>Manufacturer</w:t>
            </w:r>
            <w:r>
              <w:t>’</w:t>
            </w:r>
            <w:r w:rsidRPr="003B1693">
              <w:t>s specifications</w:t>
            </w:r>
          </w:p>
        </w:tc>
      </w:tr>
      <w:tr w:rsidR="00C160DE" w:rsidRPr="003B1693" w:rsidTr="00CB0B21">
        <w:tc>
          <w:tcPr>
            <w:tcW w:w="1572" w:type="dxa"/>
            <w:vMerge w:val="restart"/>
          </w:tcPr>
          <w:p w:rsidR="00C160DE" w:rsidRPr="003B1693" w:rsidRDefault="00C160DE" w:rsidP="00CB0B21">
            <w:pPr>
              <w:pStyle w:val="DHHStabletext"/>
            </w:pPr>
            <w:proofErr w:type="spellStart"/>
            <w:r w:rsidRPr="003B1693">
              <w:t>ChromID</w:t>
            </w:r>
            <w:proofErr w:type="spellEnd"/>
            <w:r w:rsidRPr="003B1693">
              <w:t xml:space="preserve"> ESBL (</w:t>
            </w:r>
            <w:proofErr w:type="spellStart"/>
            <w:r w:rsidRPr="003B1693">
              <w:t>BioMerieux</w:t>
            </w:r>
            <w:proofErr w:type="spellEnd"/>
            <w:r w:rsidRPr="003B1693">
              <w:t>)</w:t>
            </w:r>
            <w:r>
              <w:rPr>
                <w:vertAlign w:val="superscript"/>
              </w:rPr>
              <w:t>2</w:t>
            </w:r>
          </w:p>
        </w:tc>
        <w:tc>
          <w:tcPr>
            <w:tcW w:w="3371" w:type="dxa"/>
            <w:vMerge w:val="restart"/>
          </w:tcPr>
          <w:p w:rsidR="00C160DE" w:rsidRPr="003B1693" w:rsidRDefault="00C160DE" w:rsidP="00CB0B21">
            <w:pPr>
              <w:pStyle w:val="DHHStabletext"/>
            </w:pPr>
            <w:r w:rsidRPr="003B1693">
              <w:t xml:space="preserve">For the screening of ESBL producing Enterobacteriaceae (including </w:t>
            </w:r>
            <w:r w:rsidRPr="00812731">
              <w:rPr>
                <w:i/>
              </w:rPr>
              <w:t>E. coli</w:t>
            </w:r>
            <w:r w:rsidRPr="003B1693">
              <w:t xml:space="preserve">, </w:t>
            </w:r>
            <w:r w:rsidRPr="003B1693">
              <w:rPr>
                <w:i/>
              </w:rPr>
              <w:t>Klebsiella</w:t>
            </w:r>
            <w:r w:rsidRPr="003B1693">
              <w:t xml:space="preserve">, </w:t>
            </w:r>
            <w:r w:rsidRPr="003B1693">
              <w:rPr>
                <w:i/>
              </w:rPr>
              <w:t>Enterobacter</w:t>
            </w:r>
            <w:r w:rsidRPr="003B1693">
              <w:t xml:space="preserve">, </w:t>
            </w:r>
            <w:r w:rsidRPr="003B1693">
              <w:rPr>
                <w:i/>
              </w:rPr>
              <w:t>Serratia</w:t>
            </w:r>
            <w:r w:rsidRPr="003B1693">
              <w:t xml:space="preserve"> and </w:t>
            </w:r>
            <w:r w:rsidRPr="003B1693">
              <w:rPr>
                <w:i/>
              </w:rPr>
              <w:t>Citrobacter</w:t>
            </w:r>
            <w:r w:rsidRPr="003B1693">
              <w:t xml:space="preserve"> (KESC) and </w:t>
            </w:r>
            <w:proofErr w:type="spellStart"/>
            <w:r w:rsidRPr="00812731">
              <w:rPr>
                <w:i/>
              </w:rPr>
              <w:t>Proteae</w:t>
            </w:r>
            <w:proofErr w:type="spellEnd"/>
            <w:r w:rsidRPr="003B1693">
              <w:t>)</w:t>
            </w:r>
          </w:p>
        </w:tc>
        <w:tc>
          <w:tcPr>
            <w:tcW w:w="1685" w:type="dxa"/>
            <w:tcBorders>
              <w:bottom w:val="dashed" w:sz="4" w:space="0" w:color="auto"/>
            </w:tcBorders>
          </w:tcPr>
          <w:p w:rsidR="00C160DE" w:rsidRPr="003B1693" w:rsidRDefault="00C160DE" w:rsidP="00CB0B21">
            <w:pPr>
              <w:pStyle w:val="DHHStabletext"/>
            </w:pPr>
            <w:r w:rsidRPr="003B1693">
              <w:t>90-100%</w:t>
            </w:r>
          </w:p>
        </w:tc>
        <w:tc>
          <w:tcPr>
            <w:tcW w:w="1277" w:type="dxa"/>
            <w:tcBorders>
              <w:bottom w:val="dashed" w:sz="4" w:space="0" w:color="auto"/>
            </w:tcBorders>
          </w:tcPr>
          <w:p w:rsidR="00C160DE" w:rsidRPr="003B1693" w:rsidRDefault="00C160DE" w:rsidP="00CB0B21">
            <w:pPr>
              <w:pStyle w:val="DHHStabletext"/>
            </w:pPr>
          </w:p>
        </w:tc>
        <w:tc>
          <w:tcPr>
            <w:tcW w:w="1609" w:type="dxa"/>
            <w:tcBorders>
              <w:bottom w:val="dashed" w:sz="4" w:space="0" w:color="auto"/>
            </w:tcBorders>
          </w:tcPr>
          <w:p w:rsidR="00C160DE" w:rsidRPr="003B1693" w:rsidRDefault="00C160DE" w:rsidP="00CB0B21">
            <w:pPr>
              <w:pStyle w:val="DHHStabletext"/>
            </w:pPr>
            <w:r w:rsidRPr="003B1693">
              <w:t>Manufacturer</w:t>
            </w:r>
            <w:r>
              <w:t>’</w:t>
            </w:r>
            <w:r w:rsidRPr="003B1693">
              <w:t>s specifications</w:t>
            </w:r>
          </w:p>
        </w:tc>
      </w:tr>
      <w:tr w:rsidR="00C160DE" w:rsidRPr="003B1693" w:rsidTr="00CB0B21">
        <w:tc>
          <w:tcPr>
            <w:tcW w:w="1572" w:type="dxa"/>
            <w:vMerge/>
          </w:tcPr>
          <w:p w:rsidR="00C160DE" w:rsidRPr="003B1693" w:rsidRDefault="00C160DE" w:rsidP="00CB0B21">
            <w:pPr>
              <w:pStyle w:val="DHHStabletext"/>
            </w:pPr>
          </w:p>
        </w:tc>
        <w:tc>
          <w:tcPr>
            <w:tcW w:w="3371" w:type="dxa"/>
            <w:vMerge/>
          </w:tcPr>
          <w:p w:rsidR="00C160DE" w:rsidRPr="003B1693" w:rsidRDefault="00C160DE" w:rsidP="00CB0B21">
            <w:pPr>
              <w:pStyle w:val="DHHStabletext"/>
            </w:pPr>
          </w:p>
        </w:tc>
        <w:tc>
          <w:tcPr>
            <w:tcW w:w="1685" w:type="dxa"/>
            <w:tcBorders>
              <w:top w:val="dashed" w:sz="4" w:space="0" w:color="auto"/>
              <w:bottom w:val="dashed" w:sz="4" w:space="0" w:color="auto"/>
            </w:tcBorders>
          </w:tcPr>
          <w:p w:rsidR="00C160DE" w:rsidRPr="003B1693" w:rsidRDefault="00C160DE" w:rsidP="00CB0B21">
            <w:pPr>
              <w:pStyle w:val="DHHStabletext"/>
            </w:pPr>
            <w:r>
              <w:t>92%</w:t>
            </w:r>
          </w:p>
        </w:tc>
        <w:tc>
          <w:tcPr>
            <w:tcW w:w="1277" w:type="dxa"/>
            <w:tcBorders>
              <w:top w:val="dashed" w:sz="4" w:space="0" w:color="auto"/>
              <w:bottom w:val="dashed" w:sz="4" w:space="0" w:color="auto"/>
            </w:tcBorders>
          </w:tcPr>
          <w:p w:rsidR="00C160DE" w:rsidRDefault="00C160DE" w:rsidP="00CB0B21">
            <w:pPr>
              <w:pStyle w:val="DHHStabletext"/>
            </w:pPr>
            <w:r>
              <w:t>85%</w:t>
            </w:r>
          </w:p>
        </w:tc>
        <w:tc>
          <w:tcPr>
            <w:tcW w:w="1609" w:type="dxa"/>
            <w:tcBorders>
              <w:top w:val="dashed" w:sz="4" w:space="0" w:color="auto"/>
              <w:bottom w:val="dashed" w:sz="4" w:space="0" w:color="auto"/>
            </w:tcBorders>
          </w:tcPr>
          <w:p w:rsidR="00C160DE" w:rsidRPr="003B1693" w:rsidRDefault="00574078" w:rsidP="00CB0B21">
            <w:pPr>
              <w:pStyle w:val="DHHStabletext"/>
            </w:pPr>
            <w:r>
              <w:t>(9</w:t>
            </w:r>
            <w:r w:rsidR="00C160DE">
              <w:t>)</w:t>
            </w:r>
          </w:p>
        </w:tc>
      </w:tr>
      <w:tr w:rsidR="00C160DE" w:rsidRPr="003B1693" w:rsidTr="00CB0B21">
        <w:tc>
          <w:tcPr>
            <w:tcW w:w="1572" w:type="dxa"/>
            <w:vMerge/>
          </w:tcPr>
          <w:p w:rsidR="00C160DE" w:rsidRPr="003B1693" w:rsidRDefault="00C160DE" w:rsidP="00CB0B21">
            <w:pPr>
              <w:pStyle w:val="DHHStabletext"/>
            </w:pPr>
          </w:p>
        </w:tc>
        <w:tc>
          <w:tcPr>
            <w:tcW w:w="3371" w:type="dxa"/>
            <w:vMerge/>
          </w:tcPr>
          <w:p w:rsidR="00C160DE" w:rsidRPr="003B1693" w:rsidRDefault="00C160DE" w:rsidP="00CB0B21">
            <w:pPr>
              <w:pStyle w:val="DHHStabletext"/>
            </w:pPr>
          </w:p>
        </w:tc>
        <w:tc>
          <w:tcPr>
            <w:tcW w:w="1685" w:type="dxa"/>
            <w:tcBorders>
              <w:top w:val="dashed" w:sz="4" w:space="0" w:color="auto"/>
              <w:bottom w:val="dashed" w:sz="4" w:space="0" w:color="auto"/>
            </w:tcBorders>
          </w:tcPr>
          <w:p w:rsidR="00C160DE" w:rsidRPr="003B1693" w:rsidRDefault="00C160DE" w:rsidP="00CB0B21">
            <w:pPr>
              <w:pStyle w:val="DHHStabletext"/>
            </w:pPr>
            <w:r>
              <w:t>96%</w:t>
            </w:r>
          </w:p>
        </w:tc>
        <w:tc>
          <w:tcPr>
            <w:tcW w:w="1277" w:type="dxa"/>
            <w:tcBorders>
              <w:top w:val="dashed" w:sz="4" w:space="0" w:color="auto"/>
              <w:bottom w:val="dashed" w:sz="4" w:space="0" w:color="auto"/>
            </w:tcBorders>
          </w:tcPr>
          <w:p w:rsidR="00C160DE" w:rsidRDefault="00C160DE" w:rsidP="00CB0B21">
            <w:pPr>
              <w:pStyle w:val="DHHStabletext"/>
            </w:pPr>
          </w:p>
        </w:tc>
        <w:tc>
          <w:tcPr>
            <w:tcW w:w="1609" w:type="dxa"/>
            <w:tcBorders>
              <w:top w:val="dashed" w:sz="4" w:space="0" w:color="auto"/>
              <w:bottom w:val="dashed" w:sz="4" w:space="0" w:color="auto"/>
            </w:tcBorders>
          </w:tcPr>
          <w:p w:rsidR="00C160DE" w:rsidRPr="003B1693" w:rsidRDefault="00574078" w:rsidP="00CB0B21">
            <w:pPr>
              <w:pStyle w:val="DHHStabletext"/>
            </w:pPr>
            <w:r>
              <w:t>(10</w:t>
            </w:r>
            <w:r w:rsidR="00C160DE">
              <w:t>)</w:t>
            </w:r>
          </w:p>
        </w:tc>
      </w:tr>
      <w:tr w:rsidR="00C160DE" w:rsidRPr="003B1693" w:rsidTr="00CB0B21">
        <w:tc>
          <w:tcPr>
            <w:tcW w:w="1572" w:type="dxa"/>
            <w:vMerge/>
          </w:tcPr>
          <w:p w:rsidR="00C160DE" w:rsidRPr="003B1693" w:rsidRDefault="00C160DE" w:rsidP="00CB0B21">
            <w:pPr>
              <w:pStyle w:val="DHHStabletext"/>
            </w:pPr>
          </w:p>
        </w:tc>
        <w:tc>
          <w:tcPr>
            <w:tcW w:w="3371" w:type="dxa"/>
            <w:vMerge/>
          </w:tcPr>
          <w:p w:rsidR="00C160DE" w:rsidRPr="003B1693" w:rsidRDefault="00C160DE" w:rsidP="00CB0B21">
            <w:pPr>
              <w:pStyle w:val="DHHStabletext"/>
            </w:pPr>
          </w:p>
        </w:tc>
        <w:tc>
          <w:tcPr>
            <w:tcW w:w="1685" w:type="dxa"/>
            <w:tcBorders>
              <w:top w:val="dashed" w:sz="4" w:space="0" w:color="auto"/>
              <w:bottom w:val="single" w:sz="4" w:space="0" w:color="auto"/>
            </w:tcBorders>
          </w:tcPr>
          <w:p w:rsidR="00C160DE" w:rsidRPr="003B1693" w:rsidRDefault="00C160DE" w:rsidP="00CB0B21">
            <w:pPr>
              <w:pStyle w:val="DHHStabletext"/>
            </w:pPr>
            <w:r>
              <w:t>100%</w:t>
            </w:r>
          </w:p>
        </w:tc>
        <w:tc>
          <w:tcPr>
            <w:tcW w:w="1277" w:type="dxa"/>
            <w:tcBorders>
              <w:top w:val="dashed" w:sz="4" w:space="0" w:color="auto"/>
              <w:bottom w:val="single" w:sz="4" w:space="0" w:color="auto"/>
            </w:tcBorders>
          </w:tcPr>
          <w:p w:rsidR="00C160DE" w:rsidRDefault="00C160DE" w:rsidP="00CB0B21">
            <w:pPr>
              <w:pStyle w:val="DHHStabletext"/>
            </w:pPr>
          </w:p>
        </w:tc>
        <w:tc>
          <w:tcPr>
            <w:tcW w:w="1609" w:type="dxa"/>
            <w:tcBorders>
              <w:top w:val="dashed" w:sz="4" w:space="0" w:color="auto"/>
              <w:bottom w:val="single" w:sz="4" w:space="0" w:color="auto"/>
            </w:tcBorders>
          </w:tcPr>
          <w:p w:rsidR="00C160DE" w:rsidRPr="003B1693" w:rsidRDefault="00C160DE" w:rsidP="00574078">
            <w:pPr>
              <w:pStyle w:val="DHHStabletext"/>
            </w:pPr>
            <w:r>
              <w:t>(1</w:t>
            </w:r>
            <w:r w:rsidR="00574078">
              <w:t>1</w:t>
            </w:r>
            <w:r>
              <w:t>)</w:t>
            </w:r>
          </w:p>
        </w:tc>
      </w:tr>
      <w:tr w:rsidR="00C160DE" w:rsidRPr="003B1693" w:rsidTr="00CB0B21">
        <w:tc>
          <w:tcPr>
            <w:tcW w:w="1572" w:type="dxa"/>
            <w:vMerge w:val="restart"/>
          </w:tcPr>
          <w:p w:rsidR="00C160DE" w:rsidRPr="003B1693" w:rsidRDefault="00C160DE" w:rsidP="00CB0B21">
            <w:pPr>
              <w:pStyle w:val="DHHStabletext"/>
            </w:pPr>
            <w:r w:rsidRPr="004853A8">
              <w:rPr>
                <w:i/>
              </w:rPr>
              <w:t>Brilliance</w:t>
            </w:r>
            <w:r>
              <w:t>™</w:t>
            </w:r>
            <w:r w:rsidRPr="004853A8">
              <w:rPr>
                <w:i/>
              </w:rPr>
              <w:t xml:space="preserve"> </w:t>
            </w:r>
            <w:r w:rsidRPr="003B1693">
              <w:t>CRE (</w:t>
            </w:r>
            <w:proofErr w:type="spellStart"/>
            <w:r w:rsidRPr="003B1693">
              <w:t>Oxoid</w:t>
            </w:r>
            <w:proofErr w:type="spellEnd"/>
            <w:r w:rsidRPr="003B1693">
              <w:t>)</w:t>
            </w:r>
          </w:p>
        </w:tc>
        <w:tc>
          <w:tcPr>
            <w:tcW w:w="3371" w:type="dxa"/>
            <w:vMerge w:val="restart"/>
          </w:tcPr>
          <w:p w:rsidR="00C160DE" w:rsidRPr="003B1693" w:rsidRDefault="00C160DE" w:rsidP="00CB0B21">
            <w:pPr>
              <w:pStyle w:val="DHHStabletext"/>
            </w:pPr>
            <w:r w:rsidRPr="003B1693">
              <w:t xml:space="preserve">For presumptive identification of carbapenem-resistant </w:t>
            </w:r>
            <w:r w:rsidRPr="003B1693">
              <w:rPr>
                <w:i/>
              </w:rPr>
              <w:t>E. coli</w:t>
            </w:r>
            <w:r w:rsidRPr="003B1693">
              <w:t xml:space="preserve"> and KESC.</w:t>
            </w:r>
          </w:p>
        </w:tc>
        <w:tc>
          <w:tcPr>
            <w:tcW w:w="1685" w:type="dxa"/>
            <w:tcBorders>
              <w:bottom w:val="dashed" w:sz="4" w:space="0" w:color="auto"/>
            </w:tcBorders>
          </w:tcPr>
          <w:p w:rsidR="00C160DE" w:rsidRDefault="00C160DE" w:rsidP="00CB0B21">
            <w:pPr>
              <w:pStyle w:val="DHHStabletext"/>
            </w:pPr>
            <w:r>
              <w:t>98% (95% CI = 93-100%)</w:t>
            </w:r>
          </w:p>
        </w:tc>
        <w:tc>
          <w:tcPr>
            <w:tcW w:w="1277" w:type="dxa"/>
            <w:tcBorders>
              <w:bottom w:val="dashed" w:sz="4" w:space="0" w:color="auto"/>
            </w:tcBorders>
          </w:tcPr>
          <w:p w:rsidR="00C160DE" w:rsidRPr="003B1693" w:rsidRDefault="00C160DE" w:rsidP="00CB0B21">
            <w:pPr>
              <w:pStyle w:val="DHHStabletext"/>
            </w:pPr>
          </w:p>
        </w:tc>
        <w:tc>
          <w:tcPr>
            <w:tcW w:w="1609" w:type="dxa"/>
            <w:tcBorders>
              <w:bottom w:val="dashed" w:sz="4" w:space="0" w:color="auto"/>
            </w:tcBorders>
          </w:tcPr>
          <w:p w:rsidR="00C160DE" w:rsidRDefault="00C160DE" w:rsidP="00CB0B21">
            <w:pPr>
              <w:pStyle w:val="DHHStabletext"/>
            </w:pPr>
            <w:r w:rsidRPr="003B1693">
              <w:t>Manufacturer</w:t>
            </w:r>
            <w:r>
              <w:t>’</w:t>
            </w:r>
            <w:r w:rsidRPr="003B1693">
              <w:t>s specifications</w:t>
            </w:r>
          </w:p>
        </w:tc>
      </w:tr>
      <w:tr w:rsidR="00C160DE" w:rsidRPr="003B1693" w:rsidTr="00CB0B21">
        <w:tc>
          <w:tcPr>
            <w:tcW w:w="1572" w:type="dxa"/>
            <w:vMerge/>
          </w:tcPr>
          <w:p w:rsidR="00C160DE" w:rsidRPr="003B1693" w:rsidRDefault="00C160DE" w:rsidP="00CB0B21">
            <w:pPr>
              <w:pStyle w:val="DHHStabletext"/>
            </w:pPr>
          </w:p>
        </w:tc>
        <w:tc>
          <w:tcPr>
            <w:tcW w:w="3371" w:type="dxa"/>
            <w:vMerge/>
          </w:tcPr>
          <w:p w:rsidR="00C160DE" w:rsidRPr="003B1693" w:rsidRDefault="00C160DE" w:rsidP="00CB0B21">
            <w:pPr>
              <w:pStyle w:val="DHHStabletext"/>
            </w:pPr>
          </w:p>
        </w:tc>
        <w:tc>
          <w:tcPr>
            <w:tcW w:w="1685" w:type="dxa"/>
            <w:tcBorders>
              <w:top w:val="dashed" w:sz="4" w:space="0" w:color="auto"/>
              <w:bottom w:val="dashed" w:sz="4" w:space="0" w:color="auto"/>
            </w:tcBorders>
          </w:tcPr>
          <w:p w:rsidR="00C160DE" w:rsidRPr="003D230E" w:rsidRDefault="00C160DE" w:rsidP="00CB0B21">
            <w:pPr>
              <w:pStyle w:val="DHHStabletext"/>
            </w:pPr>
            <w:r w:rsidRPr="003D230E">
              <w:t>78%</w:t>
            </w:r>
          </w:p>
        </w:tc>
        <w:tc>
          <w:tcPr>
            <w:tcW w:w="1277" w:type="dxa"/>
            <w:tcBorders>
              <w:top w:val="dashed" w:sz="4" w:space="0" w:color="auto"/>
              <w:bottom w:val="dashed" w:sz="4" w:space="0" w:color="auto"/>
            </w:tcBorders>
          </w:tcPr>
          <w:p w:rsidR="00C160DE" w:rsidRPr="003D230E" w:rsidRDefault="00C160DE" w:rsidP="00CB0B21">
            <w:pPr>
              <w:pStyle w:val="DHHStabletext"/>
            </w:pPr>
            <w:r w:rsidRPr="003D230E">
              <w:t>66%</w:t>
            </w:r>
          </w:p>
        </w:tc>
        <w:tc>
          <w:tcPr>
            <w:tcW w:w="1609" w:type="dxa"/>
            <w:tcBorders>
              <w:top w:val="dashed" w:sz="4" w:space="0" w:color="auto"/>
              <w:bottom w:val="dashed" w:sz="4" w:space="0" w:color="auto"/>
            </w:tcBorders>
          </w:tcPr>
          <w:p w:rsidR="00C160DE" w:rsidRPr="003D230E" w:rsidRDefault="00574078" w:rsidP="00CB0B21">
            <w:pPr>
              <w:pStyle w:val="DHHStabletext"/>
            </w:pPr>
            <w:r>
              <w:t>(10</w:t>
            </w:r>
            <w:r w:rsidR="00C160DE" w:rsidRPr="003D230E">
              <w:t>)</w:t>
            </w:r>
          </w:p>
        </w:tc>
      </w:tr>
      <w:tr w:rsidR="00C160DE" w:rsidRPr="003B1693" w:rsidTr="00CB0B21">
        <w:tc>
          <w:tcPr>
            <w:tcW w:w="1572" w:type="dxa"/>
            <w:vMerge/>
          </w:tcPr>
          <w:p w:rsidR="00C160DE" w:rsidRPr="003B1693" w:rsidRDefault="00C160DE" w:rsidP="00CB0B21">
            <w:pPr>
              <w:pStyle w:val="DHHStabletext"/>
            </w:pPr>
          </w:p>
        </w:tc>
        <w:tc>
          <w:tcPr>
            <w:tcW w:w="3371" w:type="dxa"/>
            <w:vMerge/>
          </w:tcPr>
          <w:p w:rsidR="00C160DE" w:rsidRPr="003B1693" w:rsidRDefault="00C160DE" w:rsidP="00CB0B21">
            <w:pPr>
              <w:pStyle w:val="DHHStabletext"/>
            </w:pPr>
          </w:p>
        </w:tc>
        <w:tc>
          <w:tcPr>
            <w:tcW w:w="1685" w:type="dxa"/>
            <w:tcBorders>
              <w:top w:val="dashed" w:sz="4" w:space="0" w:color="auto"/>
              <w:bottom w:val="dashed" w:sz="4" w:space="0" w:color="auto"/>
            </w:tcBorders>
          </w:tcPr>
          <w:p w:rsidR="00C160DE" w:rsidRPr="003D230E" w:rsidRDefault="00C160DE" w:rsidP="00CB0B21">
            <w:pPr>
              <w:pStyle w:val="DHHStabletext"/>
            </w:pPr>
            <w:r w:rsidRPr="003D230E">
              <w:t>98%</w:t>
            </w:r>
          </w:p>
        </w:tc>
        <w:tc>
          <w:tcPr>
            <w:tcW w:w="1277" w:type="dxa"/>
            <w:tcBorders>
              <w:top w:val="dashed" w:sz="4" w:space="0" w:color="auto"/>
              <w:bottom w:val="dashed" w:sz="4" w:space="0" w:color="auto"/>
            </w:tcBorders>
          </w:tcPr>
          <w:p w:rsidR="00C160DE" w:rsidRPr="003D230E" w:rsidRDefault="00C160DE" w:rsidP="00CB0B21">
            <w:pPr>
              <w:pStyle w:val="DHHStabletext"/>
            </w:pPr>
            <w:r w:rsidRPr="003D230E">
              <w:t>85-88%</w:t>
            </w:r>
          </w:p>
        </w:tc>
        <w:tc>
          <w:tcPr>
            <w:tcW w:w="1609" w:type="dxa"/>
            <w:tcBorders>
              <w:top w:val="dashed" w:sz="4" w:space="0" w:color="auto"/>
              <w:bottom w:val="dashed" w:sz="4" w:space="0" w:color="auto"/>
            </w:tcBorders>
          </w:tcPr>
          <w:p w:rsidR="00C160DE" w:rsidRPr="003D230E" w:rsidRDefault="00574078" w:rsidP="00CB0B21">
            <w:pPr>
              <w:pStyle w:val="DHHStabletext"/>
            </w:pPr>
            <w:r>
              <w:t>(1</w:t>
            </w:r>
            <w:r w:rsidR="00D5272B">
              <w:t>2</w:t>
            </w:r>
            <w:r w:rsidR="00C160DE" w:rsidRPr="003D230E">
              <w:t>)</w:t>
            </w:r>
          </w:p>
        </w:tc>
      </w:tr>
      <w:tr w:rsidR="00C160DE" w:rsidRPr="003B1693" w:rsidTr="00CB0B21">
        <w:tc>
          <w:tcPr>
            <w:tcW w:w="1572" w:type="dxa"/>
            <w:vMerge/>
          </w:tcPr>
          <w:p w:rsidR="00C160DE" w:rsidRPr="003B1693" w:rsidRDefault="00C160DE" w:rsidP="00CB0B21">
            <w:pPr>
              <w:pStyle w:val="DHHStabletext"/>
            </w:pPr>
          </w:p>
        </w:tc>
        <w:tc>
          <w:tcPr>
            <w:tcW w:w="3371" w:type="dxa"/>
            <w:vMerge/>
          </w:tcPr>
          <w:p w:rsidR="00C160DE" w:rsidRPr="003B1693" w:rsidRDefault="00C160DE" w:rsidP="00CB0B21">
            <w:pPr>
              <w:pStyle w:val="DHHStabletext"/>
            </w:pPr>
          </w:p>
        </w:tc>
        <w:tc>
          <w:tcPr>
            <w:tcW w:w="1685" w:type="dxa"/>
            <w:tcBorders>
              <w:top w:val="dashed" w:sz="4" w:space="0" w:color="auto"/>
              <w:bottom w:val="single" w:sz="4" w:space="0" w:color="auto"/>
            </w:tcBorders>
          </w:tcPr>
          <w:p w:rsidR="00C160DE" w:rsidRPr="003D230E" w:rsidRDefault="00C160DE" w:rsidP="00CB0B21">
            <w:pPr>
              <w:pStyle w:val="DHHStabletext"/>
            </w:pPr>
            <w:r w:rsidRPr="003D230E">
              <w:t>94%</w:t>
            </w:r>
          </w:p>
        </w:tc>
        <w:tc>
          <w:tcPr>
            <w:tcW w:w="1277" w:type="dxa"/>
            <w:tcBorders>
              <w:top w:val="dashed" w:sz="4" w:space="0" w:color="auto"/>
              <w:bottom w:val="single" w:sz="4" w:space="0" w:color="auto"/>
            </w:tcBorders>
          </w:tcPr>
          <w:p w:rsidR="00C160DE" w:rsidRPr="003D230E" w:rsidRDefault="00C160DE" w:rsidP="00CB0B21">
            <w:pPr>
              <w:pStyle w:val="DHHStabletext"/>
            </w:pPr>
            <w:r w:rsidRPr="003D230E">
              <w:t>71%</w:t>
            </w:r>
          </w:p>
        </w:tc>
        <w:tc>
          <w:tcPr>
            <w:tcW w:w="1609" w:type="dxa"/>
            <w:tcBorders>
              <w:top w:val="dashed" w:sz="4" w:space="0" w:color="auto"/>
              <w:bottom w:val="single" w:sz="4" w:space="0" w:color="auto"/>
            </w:tcBorders>
          </w:tcPr>
          <w:p w:rsidR="00C160DE" w:rsidRPr="003D230E" w:rsidRDefault="00574078" w:rsidP="00CB0B21">
            <w:pPr>
              <w:pStyle w:val="DHHStabletext"/>
            </w:pPr>
            <w:r>
              <w:t>(1</w:t>
            </w:r>
            <w:r w:rsidR="00D5272B">
              <w:t>3</w:t>
            </w:r>
            <w:r w:rsidR="00C160DE" w:rsidRPr="003D230E">
              <w:t>)</w:t>
            </w:r>
          </w:p>
        </w:tc>
      </w:tr>
      <w:tr w:rsidR="00C160DE" w:rsidRPr="003B1693" w:rsidTr="00CB0B21">
        <w:tc>
          <w:tcPr>
            <w:tcW w:w="9514" w:type="dxa"/>
            <w:gridSpan w:val="5"/>
            <w:shd w:val="clear" w:color="auto" w:fill="D9D9D9" w:themeFill="background1" w:themeFillShade="D9"/>
          </w:tcPr>
          <w:p w:rsidR="00C160DE" w:rsidRPr="003B1693" w:rsidRDefault="00C160DE" w:rsidP="00CB0B21">
            <w:pPr>
              <w:pStyle w:val="DHHStabletext"/>
            </w:pPr>
            <w:r>
              <w:t>High selectivity, l</w:t>
            </w:r>
            <w:r w:rsidRPr="003B1693">
              <w:t xml:space="preserve">ow sensitivity </w:t>
            </w:r>
            <w:r>
              <w:t>media.</w:t>
            </w:r>
          </w:p>
        </w:tc>
      </w:tr>
      <w:tr w:rsidR="00C160DE" w:rsidRPr="003B1693" w:rsidTr="00CB0B21">
        <w:tc>
          <w:tcPr>
            <w:tcW w:w="1572" w:type="dxa"/>
            <w:vMerge w:val="restart"/>
          </w:tcPr>
          <w:p w:rsidR="00C160DE" w:rsidRPr="003B1693" w:rsidRDefault="00C160DE" w:rsidP="00CB0B21">
            <w:pPr>
              <w:pStyle w:val="DHHStabletext"/>
            </w:pPr>
            <w:proofErr w:type="spellStart"/>
            <w:r w:rsidRPr="003B1693">
              <w:t>ChromID</w:t>
            </w:r>
            <w:proofErr w:type="spellEnd"/>
            <w:r w:rsidRPr="003B1693">
              <w:t xml:space="preserve"> CARBA (</w:t>
            </w:r>
            <w:proofErr w:type="spellStart"/>
            <w:r w:rsidRPr="003B1693">
              <w:t>BioMerieux</w:t>
            </w:r>
            <w:proofErr w:type="spellEnd"/>
            <w:r w:rsidRPr="003B1693">
              <w:t>)</w:t>
            </w:r>
          </w:p>
        </w:tc>
        <w:tc>
          <w:tcPr>
            <w:tcW w:w="3371" w:type="dxa"/>
            <w:vMerge w:val="restart"/>
          </w:tcPr>
          <w:p w:rsidR="00C160DE" w:rsidRPr="003B1693" w:rsidRDefault="00C160DE" w:rsidP="00CB0B21">
            <w:pPr>
              <w:pStyle w:val="DHHStabletext"/>
            </w:pPr>
            <w:r w:rsidRPr="003B1693">
              <w:t>Selective chromogenic medium for the screening of CPE, particularly KPC and NDM-1.</w:t>
            </w:r>
          </w:p>
        </w:tc>
        <w:tc>
          <w:tcPr>
            <w:tcW w:w="1685" w:type="dxa"/>
            <w:tcBorders>
              <w:bottom w:val="dashed" w:sz="4" w:space="0" w:color="auto"/>
            </w:tcBorders>
          </w:tcPr>
          <w:p w:rsidR="00C160DE" w:rsidRPr="003B1693" w:rsidRDefault="00C160DE" w:rsidP="00CB0B21">
            <w:pPr>
              <w:pStyle w:val="DHHStabletext"/>
            </w:pPr>
            <w:r>
              <w:t>97</w:t>
            </w:r>
            <w:r w:rsidRPr="003B1693">
              <w:t>%</w:t>
            </w:r>
          </w:p>
        </w:tc>
        <w:tc>
          <w:tcPr>
            <w:tcW w:w="1277" w:type="dxa"/>
            <w:tcBorders>
              <w:bottom w:val="dashed" w:sz="4" w:space="0" w:color="auto"/>
            </w:tcBorders>
          </w:tcPr>
          <w:p w:rsidR="00C160DE" w:rsidRPr="003B1693" w:rsidRDefault="00C160DE" w:rsidP="00CB0B21">
            <w:pPr>
              <w:pStyle w:val="DHHStabletext"/>
            </w:pPr>
            <w:r>
              <w:t>91</w:t>
            </w:r>
            <w:r w:rsidRPr="003B1693">
              <w:t>%</w:t>
            </w:r>
          </w:p>
        </w:tc>
        <w:tc>
          <w:tcPr>
            <w:tcW w:w="1609" w:type="dxa"/>
            <w:tcBorders>
              <w:bottom w:val="dashed" w:sz="4" w:space="0" w:color="auto"/>
            </w:tcBorders>
          </w:tcPr>
          <w:p w:rsidR="00C160DE" w:rsidRPr="003B1693" w:rsidRDefault="00C160DE" w:rsidP="00CB0B21">
            <w:pPr>
              <w:pStyle w:val="DHHStabletext"/>
            </w:pPr>
            <w:r w:rsidRPr="003B1693">
              <w:t>Manufacturer</w:t>
            </w:r>
            <w:r>
              <w:t>’</w:t>
            </w:r>
            <w:r w:rsidRPr="003B1693">
              <w:t>s specifications</w:t>
            </w:r>
          </w:p>
        </w:tc>
      </w:tr>
      <w:tr w:rsidR="00C160DE" w:rsidRPr="003B1693" w:rsidTr="00CB0B21">
        <w:tc>
          <w:tcPr>
            <w:tcW w:w="1572" w:type="dxa"/>
            <w:vMerge/>
          </w:tcPr>
          <w:p w:rsidR="00C160DE" w:rsidRPr="003B1693" w:rsidRDefault="00C160DE" w:rsidP="00CB0B21">
            <w:pPr>
              <w:pStyle w:val="DHHStabletext"/>
            </w:pPr>
          </w:p>
        </w:tc>
        <w:tc>
          <w:tcPr>
            <w:tcW w:w="3371" w:type="dxa"/>
            <w:vMerge/>
          </w:tcPr>
          <w:p w:rsidR="00C160DE" w:rsidRPr="003B1693" w:rsidRDefault="00C160DE" w:rsidP="00CB0B21">
            <w:pPr>
              <w:pStyle w:val="DHHStabletext"/>
            </w:pPr>
          </w:p>
        </w:tc>
        <w:tc>
          <w:tcPr>
            <w:tcW w:w="1685" w:type="dxa"/>
            <w:tcBorders>
              <w:top w:val="dashed" w:sz="4" w:space="0" w:color="auto"/>
              <w:bottom w:val="dashed" w:sz="4" w:space="0" w:color="auto"/>
            </w:tcBorders>
          </w:tcPr>
          <w:p w:rsidR="00C160DE" w:rsidRPr="003B1693" w:rsidRDefault="00C160DE" w:rsidP="00CB0B21">
            <w:pPr>
              <w:pStyle w:val="DHHStabletext"/>
            </w:pPr>
            <w:r>
              <w:t>92%</w:t>
            </w:r>
          </w:p>
        </w:tc>
        <w:tc>
          <w:tcPr>
            <w:tcW w:w="1277" w:type="dxa"/>
            <w:tcBorders>
              <w:top w:val="dashed" w:sz="4" w:space="0" w:color="auto"/>
              <w:bottom w:val="dashed" w:sz="4" w:space="0" w:color="auto"/>
            </w:tcBorders>
          </w:tcPr>
          <w:p w:rsidR="00C160DE" w:rsidRPr="003B1693" w:rsidRDefault="00C160DE" w:rsidP="00CB0B21">
            <w:pPr>
              <w:pStyle w:val="DHHStabletext"/>
            </w:pPr>
            <w:r>
              <w:t>97%</w:t>
            </w:r>
          </w:p>
        </w:tc>
        <w:tc>
          <w:tcPr>
            <w:tcW w:w="1609" w:type="dxa"/>
            <w:tcBorders>
              <w:top w:val="dashed" w:sz="4" w:space="0" w:color="auto"/>
              <w:bottom w:val="dashed" w:sz="4" w:space="0" w:color="auto"/>
            </w:tcBorders>
          </w:tcPr>
          <w:p w:rsidR="00C160DE" w:rsidRPr="003B1693" w:rsidRDefault="00574078" w:rsidP="00CB0B21">
            <w:pPr>
              <w:pStyle w:val="DHHStabletext"/>
            </w:pPr>
            <w:r>
              <w:t>(11</w:t>
            </w:r>
            <w:r w:rsidR="00C160DE">
              <w:t>)</w:t>
            </w:r>
          </w:p>
        </w:tc>
      </w:tr>
      <w:tr w:rsidR="00C160DE" w:rsidRPr="003B1693" w:rsidTr="00CB0B21">
        <w:tc>
          <w:tcPr>
            <w:tcW w:w="1572" w:type="dxa"/>
            <w:vMerge/>
          </w:tcPr>
          <w:p w:rsidR="00C160DE" w:rsidRPr="003B1693" w:rsidRDefault="00C160DE" w:rsidP="00CB0B21">
            <w:pPr>
              <w:pStyle w:val="DHHStabletext"/>
            </w:pPr>
          </w:p>
        </w:tc>
        <w:tc>
          <w:tcPr>
            <w:tcW w:w="3371" w:type="dxa"/>
            <w:vMerge/>
          </w:tcPr>
          <w:p w:rsidR="00C160DE" w:rsidRPr="003B1693" w:rsidRDefault="00C160DE" w:rsidP="00CB0B21">
            <w:pPr>
              <w:pStyle w:val="DHHStabletext"/>
            </w:pPr>
          </w:p>
        </w:tc>
        <w:tc>
          <w:tcPr>
            <w:tcW w:w="1685" w:type="dxa"/>
            <w:tcBorders>
              <w:top w:val="dashed" w:sz="4" w:space="0" w:color="auto"/>
              <w:bottom w:val="dashed" w:sz="4" w:space="0" w:color="auto"/>
            </w:tcBorders>
          </w:tcPr>
          <w:p w:rsidR="00C160DE" w:rsidRPr="003B1693" w:rsidRDefault="00C160DE" w:rsidP="00CB0B21">
            <w:pPr>
              <w:pStyle w:val="DHHStabletext"/>
            </w:pPr>
            <w:r>
              <w:t>91%</w:t>
            </w:r>
          </w:p>
        </w:tc>
        <w:tc>
          <w:tcPr>
            <w:tcW w:w="1277" w:type="dxa"/>
            <w:tcBorders>
              <w:top w:val="dashed" w:sz="4" w:space="0" w:color="auto"/>
              <w:bottom w:val="dashed" w:sz="4" w:space="0" w:color="auto"/>
            </w:tcBorders>
          </w:tcPr>
          <w:p w:rsidR="00C160DE" w:rsidRPr="003B1693" w:rsidRDefault="00C160DE" w:rsidP="00CB0B21">
            <w:pPr>
              <w:pStyle w:val="DHHStabletext"/>
            </w:pPr>
          </w:p>
        </w:tc>
        <w:tc>
          <w:tcPr>
            <w:tcW w:w="1609" w:type="dxa"/>
            <w:tcBorders>
              <w:top w:val="dashed" w:sz="4" w:space="0" w:color="auto"/>
              <w:bottom w:val="dashed" w:sz="4" w:space="0" w:color="auto"/>
            </w:tcBorders>
          </w:tcPr>
          <w:p w:rsidR="00C160DE" w:rsidRPr="003B1693" w:rsidRDefault="00574078" w:rsidP="00CB0B21">
            <w:pPr>
              <w:pStyle w:val="DHHStabletext"/>
            </w:pPr>
            <w:r>
              <w:t>(10</w:t>
            </w:r>
            <w:r w:rsidR="00C160DE">
              <w:t>)</w:t>
            </w:r>
          </w:p>
        </w:tc>
      </w:tr>
      <w:tr w:rsidR="00C160DE" w:rsidRPr="003B1693" w:rsidTr="00CB0B21">
        <w:tc>
          <w:tcPr>
            <w:tcW w:w="1572" w:type="dxa"/>
            <w:vMerge/>
          </w:tcPr>
          <w:p w:rsidR="00C160DE" w:rsidRPr="003B1693" w:rsidRDefault="00C160DE" w:rsidP="00CB0B21">
            <w:pPr>
              <w:pStyle w:val="DHHStabletext"/>
            </w:pPr>
          </w:p>
        </w:tc>
        <w:tc>
          <w:tcPr>
            <w:tcW w:w="3371" w:type="dxa"/>
            <w:vMerge/>
          </w:tcPr>
          <w:p w:rsidR="00C160DE" w:rsidRPr="003B1693" w:rsidRDefault="00C160DE" w:rsidP="00CB0B21">
            <w:pPr>
              <w:pStyle w:val="DHHStabletext"/>
            </w:pPr>
          </w:p>
        </w:tc>
        <w:tc>
          <w:tcPr>
            <w:tcW w:w="1685" w:type="dxa"/>
            <w:tcBorders>
              <w:top w:val="dashed" w:sz="4" w:space="0" w:color="auto"/>
              <w:bottom w:val="single" w:sz="4" w:space="0" w:color="auto"/>
            </w:tcBorders>
          </w:tcPr>
          <w:p w:rsidR="00C160DE" w:rsidRPr="003B1693" w:rsidRDefault="00C160DE" w:rsidP="00CB0B21">
            <w:pPr>
              <w:pStyle w:val="DHHStabletext"/>
            </w:pPr>
            <w:r w:rsidRPr="003B1693">
              <w:t>70%</w:t>
            </w:r>
            <w:r>
              <w:rPr>
                <w:vertAlign w:val="superscript"/>
              </w:rPr>
              <w:t>3</w:t>
            </w:r>
          </w:p>
        </w:tc>
        <w:tc>
          <w:tcPr>
            <w:tcW w:w="1277" w:type="dxa"/>
            <w:tcBorders>
              <w:top w:val="dashed" w:sz="4" w:space="0" w:color="auto"/>
              <w:bottom w:val="single" w:sz="4" w:space="0" w:color="auto"/>
            </w:tcBorders>
          </w:tcPr>
          <w:p w:rsidR="00C160DE" w:rsidRPr="003B1693" w:rsidRDefault="00C160DE" w:rsidP="00CB0B21">
            <w:pPr>
              <w:pStyle w:val="DHHStabletext"/>
            </w:pPr>
          </w:p>
        </w:tc>
        <w:tc>
          <w:tcPr>
            <w:tcW w:w="1609" w:type="dxa"/>
            <w:tcBorders>
              <w:top w:val="dashed" w:sz="4" w:space="0" w:color="auto"/>
              <w:bottom w:val="single" w:sz="4" w:space="0" w:color="auto"/>
            </w:tcBorders>
          </w:tcPr>
          <w:p w:rsidR="00C160DE" w:rsidRPr="003B1693" w:rsidRDefault="00574078" w:rsidP="00CB0B21">
            <w:pPr>
              <w:pStyle w:val="DHHStabletext"/>
            </w:pPr>
            <w:r>
              <w:t>(9</w:t>
            </w:r>
            <w:r w:rsidR="00C160DE">
              <w:t>)</w:t>
            </w:r>
          </w:p>
        </w:tc>
      </w:tr>
      <w:tr w:rsidR="00C160DE" w:rsidRPr="003B1693" w:rsidTr="00CB0B21">
        <w:tc>
          <w:tcPr>
            <w:tcW w:w="1572" w:type="dxa"/>
          </w:tcPr>
          <w:p w:rsidR="00C160DE" w:rsidRPr="003B1693" w:rsidRDefault="00C160DE" w:rsidP="00CB0B21">
            <w:pPr>
              <w:pStyle w:val="DHHStabletext"/>
            </w:pPr>
            <w:proofErr w:type="spellStart"/>
            <w:r w:rsidRPr="00454396">
              <w:t>ChromID</w:t>
            </w:r>
            <w:proofErr w:type="spellEnd"/>
            <w:r w:rsidRPr="00454396">
              <w:t xml:space="preserve"> CARBA SMART (</w:t>
            </w:r>
            <w:proofErr w:type="spellStart"/>
            <w:r w:rsidRPr="00454396">
              <w:t>BioMerieux</w:t>
            </w:r>
            <w:proofErr w:type="spellEnd"/>
            <w:r w:rsidRPr="00454396">
              <w:t>)</w:t>
            </w:r>
          </w:p>
        </w:tc>
        <w:tc>
          <w:tcPr>
            <w:tcW w:w="3371" w:type="dxa"/>
          </w:tcPr>
          <w:p w:rsidR="00C160DE" w:rsidRPr="003B1693" w:rsidRDefault="00C160DE" w:rsidP="00CB0B21">
            <w:pPr>
              <w:pStyle w:val="DHHStabletext"/>
            </w:pPr>
            <w:r w:rsidRPr="00454396">
              <w:t>Bi-plate comprising CARB medium for KPC and metallo-carbapenemase-type CPE and OXA medium for OXA-48 type CPE.</w:t>
            </w:r>
          </w:p>
        </w:tc>
        <w:tc>
          <w:tcPr>
            <w:tcW w:w="1685" w:type="dxa"/>
            <w:tcBorders>
              <w:bottom w:val="single" w:sz="4" w:space="0" w:color="auto"/>
            </w:tcBorders>
          </w:tcPr>
          <w:p w:rsidR="00C160DE" w:rsidRPr="003B1693" w:rsidRDefault="00C160DE" w:rsidP="00CB0B21">
            <w:pPr>
              <w:pStyle w:val="DHHStabletext"/>
            </w:pPr>
            <w:r>
              <w:t>96%</w:t>
            </w:r>
          </w:p>
        </w:tc>
        <w:tc>
          <w:tcPr>
            <w:tcW w:w="1277" w:type="dxa"/>
            <w:tcBorders>
              <w:bottom w:val="single" w:sz="4" w:space="0" w:color="auto"/>
            </w:tcBorders>
          </w:tcPr>
          <w:p w:rsidR="00C160DE" w:rsidRPr="003B1693" w:rsidRDefault="00C160DE" w:rsidP="00CB0B21">
            <w:pPr>
              <w:pStyle w:val="DHHStabletext"/>
            </w:pPr>
            <w:r>
              <w:t>97%</w:t>
            </w:r>
          </w:p>
        </w:tc>
        <w:tc>
          <w:tcPr>
            <w:tcW w:w="1609" w:type="dxa"/>
            <w:tcBorders>
              <w:bottom w:val="single" w:sz="4" w:space="0" w:color="auto"/>
            </w:tcBorders>
          </w:tcPr>
          <w:p w:rsidR="00C160DE" w:rsidRPr="003B1693" w:rsidRDefault="00C160DE" w:rsidP="00CB0B21">
            <w:pPr>
              <w:pStyle w:val="DHHStabletext"/>
            </w:pPr>
            <w:r w:rsidRPr="003B1693">
              <w:t>Manufacturer</w:t>
            </w:r>
            <w:r>
              <w:t>’</w:t>
            </w:r>
            <w:r w:rsidRPr="003B1693">
              <w:t>s specifications</w:t>
            </w:r>
          </w:p>
        </w:tc>
      </w:tr>
    </w:tbl>
    <w:p w:rsidR="00C160DE" w:rsidRPr="00812731" w:rsidRDefault="00C160DE" w:rsidP="00CB0B21">
      <w:pPr>
        <w:spacing w:before="60" w:after="60"/>
        <w:rPr>
          <w:rFonts w:ascii="Arial" w:hAnsi="Arial" w:cs="Arial"/>
          <w:sz w:val="16"/>
          <w:szCs w:val="16"/>
        </w:rPr>
      </w:pPr>
      <w:r>
        <w:rPr>
          <w:rFonts w:ascii="Arial" w:hAnsi="Arial" w:cs="Arial"/>
          <w:vertAlign w:val="superscript"/>
        </w:rPr>
        <w:t>1</w:t>
      </w:r>
      <w:r>
        <w:rPr>
          <w:rFonts w:ascii="Arial" w:hAnsi="Arial" w:cs="Arial"/>
          <w:sz w:val="16"/>
          <w:szCs w:val="16"/>
        </w:rPr>
        <w:t xml:space="preserve"> T</w:t>
      </w:r>
      <w:r w:rsidRPr="00812731">
        <w:rPr>
          <w:rFonts w:ascii="Arial" w:hAnsi="Arial" w:cs="Arial"/>
          <w:sz w:val="16"/>
          <w:szCs w:val="16"/>
        </w:rPr>
        <w:t>he choice of media requires evaluation in own laboratory based on targeted species and gene types.</w:t>
      </w:r>
    </w:p>
    <w:p w:rsidR="00C160DE" w:rsidRPr="006D4BDF" w:rsidRDefault="00C160DE" w:rsidP="00CB0B21">
      <w:pPr>
        <w:pStyle w:val="DHHSbody"/>
        <w:spacing w:before="60" w:after="60"/>
        <w:rPr>
          <w:sz w:val="16"/>
          <w:szCs w:val="16"/>
        </w:rPr>
      </w:pPr>
      <w:r>
        <w:rPr>
          <w:vertAlign w:val="superscript"/>
        </w:rPr>
        <w:t>2</w:t>
      </w:r>
      <w:r>
        <w:t xml:space="preserve"> </w:t>
      </w:r>
      <w:r>
        <w:rPr>
          <w:sz w:val="16"/>
          <w:szCs w:val="16"/>
        </w:rPr>
        <w:t>This media is purposed for ESBL isolation and not for CPE.</w:t>
      </w:r>
    </w:p>
    <w:p w:rsidR="00D241B8" w:rsidRPr="00D23C2C" w:rsidRDefault="00C160DE" w:rsidP="00D23C2C">
      <w:pPr>
        <w:pStyle w:val="DHHSbody"/>
        <w:spacing w:before="60" w:after="60"/>
        <w:rPr>
          <w:sz w:val="16"/>
          <w:szCs w:val="16"/>
        </w:rPr>
      </w:pPr>
      <w:r w:rsidRPr="00812731">
        <w:rPr>
          <w:vertAlign w:val="superscript"/>
        </w:rPr>
        <w:t>3</w:t>
      </w:r>
      <w:r w:rsidRPr="006D4BDF">
        <w:rPr>
          <w:sz w:val="16"/>
          <w:szCs w:val="16"/>
        </w:rPr>
        <w:t xml:space="preserve"> Poor recovery of IMP-4 CRE noted</w:t>
      </w:r>
      <w:r>
        <w:rPr>
          <w:sz w:val="16"/>
          <w:szCs w:val="16"/>
        </w:rPr>
        <w:t>.</w:t>
      </w:r>
    </w:p>
    <w:sectPr w:rsidR="00D241B8" w:rsidRPr="00D23C2C" w:rsidSect="00CB0B21">
      <w:headerReference w:type="even" r:id="rId20"/>
      <w:headerReference w:type="default" r:id="rId21"/>
      <w:footerReference w:type="even" r:id="rId22"/>
      <w:footerReference w:type="default" r:id="rId23"/>
      <w:footerReference w:type="first" r:id="rId24"/>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372" w:rsidRDefault="00242372">
      <w:r>
        <w:separator/>
      </w:r>
    </w:p>
  </w:endnote>
  <w:endnote w:type="continuationSeparator" w:id="0">
    <w:p w:rsidR="00242372" w:rsidRDefault="0024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372" w:rsidRPr="008114D1" w:rsidRDefault="00242372" w:rsidP="00CB0B21">
    <w:pPr>
      <w:pStyle w:val="DHHSfooter"/>
    </w:pPr>
    <w:r w:rsidRPr="00783742">
      <w:rPr>
        <w:b/>
        <w:color w:val="004EA8"/>
      </w:rPr>
      <w:t xml:space="preserve">Page </w:t>
    </w:r>
    <w:r w:rsidRPr="00783742">
      <w:rPr>
        <w:b/>
        <w:color w:val="004EA8"/>
      </w:rPr>
      <w:fldChar w:fldCharType="begin"/>
    </w:r>
    <w:r w:rsidRPr="00783742">
      <w:rPr>
        <w:b/>
        <w:color w:val="004EA8"/>
      </w:rPr>
      <w:instrText xml:space="preserve"> PAGE </w:instrText>
    </w:r>
    <w:r w:rsidRPr="00783742">
      <w:rPr>
        <w:b/>
        <w:color w:val="004EA8"/>
      </w:rPr>
      <w:fldChar w:fldCharType="separate"/>
    </w:r>
    <w:r>
      <w:rPr>
        <w:b/>
        <w:noProof/>
        <w:color w:val="004EA8"/>
      </w:rPr>
      <w:t>20</w:t>
    </w:r>
    <w:r w:rsidRPr="00783742">
      <w:rPr>
        <w:b/>
        <w:color w:val="004EA8"/>
      </w:rPr>
      <w:fldChar w:fldCharType="end"/>
    </w:r>
    <w:r>
      <w:tab/>
    </w:r>
    <w:r w:rsidRPr="00783742">
      <w:rPr>
        <w:color w:val="53565A"/>
      </w:rPr>
      <w:t xml:space="preserve">Victorian guideline on environmental sampling for carbapenemase-producing </w:t>
    </w:r>
    <w:r w:rsidRPr="00783742">
      <w:rPr>
        <w:i/>
        <w:color w:val="53565A"/>
      </w:rPr>
      <w:t>Enterobacteriaceae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372" w:rsidRPr="00783742" w:rsidRDefault="00242372" w:rsidP="00CB0B21">
    <w:pPr>
      <w:pStyle w:val="DHHSfooter"/>
      <w:rPr>
        <w:color w:val="004EA8"/>
      </w:rPr>
    </w:pPr>
    <w:r>
      <w:t xml:space="preserve">Victorian guideline on environmental sampling for </w:t>
    </w:r>
    <w:r w:rsidRPr="00C92EA1">
      <w:t>carbapenemase-pr</w:t>
    </w:r>
    <w:r>
      <w:t xml:space="preserve">oducing </w:t>
    </w:r>
    <w:r w:rsidRPr="005D3EEE">
      <w:rPr>
        <w:i/>
      </w:rPr>
      <w:t>Enterobacteriaceae</w:t>
    </w:r>
    <w:r w:rsidRPr="0031753A">
      <w:tab/>
    </w:r>
    <w:r w:rsidRPr="00783742">
      <w:rPr>
        <w:b/>
        <w:color w:val="004EA8"/>
      </w:rPr>
      <w:t xml:space="preserve">Page </w:t>
    </w:r>
    <w:r w:rsidRPr="00783742">
      <w:rPr>
        <w:b/>
        <w:color w:val="004EA8"/>
      </w:rPr>
      <w:fldChar w:fldCharType="begin"/>
    </w:r>
    <w:r w:rsidRPr="00783742">
      <w:rPr>
        <w:b/>
        <w:color w:val="004EA8"/>
      </w:rPr>
      <w:instrText xml:space="preserve"> PAGE </w:instrText>
    </w:r>
    <w:r w:rsidRPr="00783742">
      <w:rPr>
        <w:b/>
        <w:color w:val="004EA8"/>
      </w:rPr>
      <w:fldChar w:fldCharType="separate"/>
    </w:r>
    <w:r w:rsidR="007F3AFA">
      <w:rPr>
        <w:b/>
        <w:noProof/>
        <w:color w:val="004EA8"/>
      </w:rPr>
      <w:t>21</w:t>
    </w:r>
    <w:r w:rsidRPr="00783742">
      <w:rPr>
        <w:b/>
        <w:color w:val="004EA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372" w:rsidRPr="001A7E04" w:rsidRDefault="00242372" w:rsidP="00CB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372" w:rsidRDefault="00242372">
      <w:r>
        <w:separator/>
      </w:r>
    </w:p>
  </w:footnote>
  <w:footnote w:type="continuationSeparator" w:id="0">
    <w:p w:rsidR="00242372" w:rsidRDefault="00242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609726"/>
      <w:docPartObj>
        <w:docPartGallery w:val="Watermarks"/>
        <w:docPartUnique/>
      </w:docPartObj>
    </w:sdtPr>
    <w:sdtEndPr/>
    <w:sdtContent>
      <w:p w:rsidR="00242372" w:rsidRPr="0069374A" w:rsidRDefault="007F3AFA" w:rsidP="00CB0B21">
        <w:pPr>
          <w:pStyle w:val="DHHS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372" w:rsidRDefault="00242372" w:rsidP="00CB0B2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D21"/>
    <w:multiLevelType w:val="hybridMultilevel"/>
    <w:tmpl w:val="0FEADA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2F62DD4"/>
    <w:multiLevelType w:val="hybridMultilevel"/>
    <w:tmpl w:val="A3BAB56A"/>
    <w:lvl w:ilvl="0" w:tplc="80F47D4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EB0D02"/>
    <w:multiLevelType w:val="hybridMultilevel"/>
    <w:tmpl w:val="940AD9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8D51B47"/>
    <w:multiLevelType w:val="multilevel"/>
    <w:tmpl w:val="4B4E7622"/>
    <w:numStyleLink w:val="ZZNumbers"/>
  </w:abstractNum>
  <w:abstractNum w:abstractNumId="4">
    <w:nsid w:val="301022CD"/>
    <w:multiLevelType w:val="hybridMultilevel"/>
    <w:tmpl w:val="A57E3B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5">
      <w:start w:val="1"/>
      <w:numFmt w:val="bullet"/>
      <w:lvlText w:val=""/>
      <w:lvlJc w:val="left"/>
      <w:pPr>
        <w:ind w:left="2880" w:hanging="360"/>
      </w:pPr>
      <w:rPr>
        <w:rFonts w:ascii="Wingdings" w:hAnsi="Wingding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4303A5"/>
    <w:multiLevelType w:val="multilevel"/>
    <w:tmpl w:val="4B4E7622"/>
    <w:styleLink w:val="ZZNumbers"/>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nsid w:val="54BA1E5A"/>
    <w:multiLevelType w:val="multilevel"/>
    <w:tmpl w:val="1E8C4D9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128" w:hanging="284"/>
      </w:pPr>
      <w:rPr>
        <w:rFonts w:ascii="Calibri" w:hAnsi="Calibri" w:hint="default"/>
      </w:rPr>
    </w:lvl>
    <w:lvl w:ilvl="2">
      <w:start w:val="1"/>
      <w:numFmt w:val="bullet"/>
      <w:pStyle w:val="DHHSbullet2"/>
      <w:lvlText w:val=""/>
      <w:lvlJc w:val="left"/>
      <w:pPr>
        <w:ind w:left="567" w:hanging="283"/>
      </w:pPr>
      <w:rPr>
        <w:rFonts w:ascii="Symbol" w:hAnsi="Symbo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bullet"/>
      <w:lvlText w:val=""/>
      <w:lvlJc w:val="left"/>
      <w:pPr>
        <w:ind w:left="0" w:firstLine="0"/>
      </w:pPr>
      <w:rPr>
        <w:rFonts w:ascii="Symbol" w:hAnsi="Symbol" w:hint="default"/>
      </w:rPr>
    </w:lvl>
    <w:lvl w:ilvl="8">
      <w:start w:val="1"/>
      <w:numFmt w:val="bullet"/>
      <w:lvlText w:val=""/>
      <w:lvlJc w:val="left"/>
      <w:pPr>
        <w:ind w:left="0" w:firstLine="0"/>
      </w:pPr>
      <w:rPr>
        <w:rFonts w:ascii="Symbol" w:hAnsi="Symbol" w:hint="default"/>
      </w:rPr>
    </w:lvl>
  </w:abstractNum>
  <w:abstractNum w:abstractNumId="7">
    <w:nsid w:val="6BF73D25"/>
    <w:multiLevelType w:val="hybridMultilevel"/>
    <w:tmpl w:val="A5A41438"/>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8">
    <w:nsid w:val="76DF21D2"/>
    <w:multiLevelType w:val="hybridMultilevel"/>
    <w:tmpl w:val="69BA99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91E3EB9"/>
    <w:multiLevelType w:val="hybridMultilevel"/>
    <w:tmpl w:val="76867434"/>
    <w:lvl w:ilvl="0" w:tplc="F6CE07F0">
      <w:numFmt w:val="bullet"/>
      <w:lvlText w:val="-"/>
      <w:lvlJc w:val="left"/>
      <w:pPr>
        <w:ind w:left="720" w:hanging="360"/>
      </w:pPr>
      <w:rPr>
        <w:rFonts w:ascii="Arial" w:eastAsia="Time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num>
  <w:num w:numId="17">
    <w:abstractNumId w:val="0"/>
  </w:num>
  <w:num w:numId="18">
    <w:abstractNumId w:val="7"/>
  </w:num>
  <w:num w:numId="19">
    <w:abstractNumId w:val="9"/>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160DE"/>
    <w:rsid w:val="00010E72"/>
    <w:rsid w:val="000F1CFE"/>
    <w:rsid w:val="00174089"/>
    <w:rsid w:val="00184330"/>
    <w:rsid w:val="001B23E9"/>
    <w:rsid w:val="001C4973"/>
    <w:rsid w:val="001F0762"/>
    <w:rsid w:val="00242372"/>
    <w:rsid w:val="004C4586"/>
    <w:rsid w:val="00527267"/>
    <w:rsid w:val="00553025"/>
    <w:rsid w:val="00574078"/>
    <w:rsid w:val="005E5B91"/>
    <w:rsid w:val="006A1E43"/>
    <w:rsid w:val="0072146F"/>
    <w:rsid w:val="007F3AFA"/>
    <w:rsid w:val="00812576"/>
    <w:rsid w:val="00820406"/>
    <w:rsid w:val="00870643"/>
    <w:rsid w:val="008A2038"/>
    <w:rsid w:val="00931D31"/>
    <w:rsid w:val="00941114"/>
    <w:rsid w:val="00A81508"/>
    <w:rsid w:val="00AA2321"/>
    <w:rsid w:val="00AB3980"/>
    <w:rsid w:val="00BE09C3"/>
    <w:rsid w:val="00C160DE"/>
    <w:rsid w:val="00C432F1"/>
    <w:rsid w:val="00CB0B21"/>
    <w:rsid w:val="00CB6AD7"/>
    <w:rsid w:val="00D23C2C"/>
    <w:rsid w:val="00D241B8"/>
    <w:rsid w:val="00D5272B"/>
    <w:rsid w:val="00E348A5"/>
    <w:rsid w:val="00F72F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8"/>
    <w:lsdException w:name="header" w:uiPriority="98"/>
    <w:lsdException w:name="footer" w:uiPriority="98"/>
    <w:lsdException w:name="caption" w:uiPriority="35" w:qFormat="1"/>
    <w:lsdException w:name="footnote reference" w:uiPriority="8"/>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5" w:unhideWhenUsed="0"/>
    <w:lsdException w:name="Light List Accent 1" w:semiHidden="0" w:uiPriority="61" w:unhideWhenUsed="0"/>
    <w:lsdException w:name="Light Grid Accent 1" w:semiHidden="0" w:uiPriority="67"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60DE"/>
    <w:pPr>
      <w:spacing w:after="0" w:line="240" w:lineRule="auto"/>
    </w:pPr>
    <w:rPr>
      <w:rFonts w:ascii="Cambria" w:eastAsia="Times New Roman" w:hAnsi="Cambria" w:cs="Times New Roman"/>
      <w:sz w:val="20"/>
      <w:szCs w:val="20"/>
    </w:rPr>
  </w:style>
  <w:style w:type="paragraph" w:styleId="Heading1">
    <w:name w:val="heading 1"/>
    <w:next w:val="DHHSbody"/>
    <w:link w:val="Heading1Char"/>
    <w:uiPriority w:val="1"/>
    <w:qFormat/>
    <w:rsid w:val="00C160DE"/>
    <w:pPr>
      <w:keepNext/>
      <w:keepLines/>
      <w:spacing w:before="520" w:after="440" w:line="440" w:lineRule="atLeast"/>
      <w:outlineLvl w:val="0"/>
    </w:pPr>
    <w:rPr>
      <w:rFonts w:ascii="Arial" w:eastAsia="Times New Roman" w:hAnsi="Arial" w:cs="Times New Roman"/>
      <w:bCs/>
      <w:color w:val="004EA8"/>
      <w:sz w:val="44"/>
      <w:szCs w:val="44"/>
    </w:rPr>
  </w:style>
  <w:style w:type="paragraph" w:styleId="Heading2">
    <w:name w:val="heading 2"/>
    <w:next w:val="DHHSbody"/>
    <w:link w:val="Heading2Char"/>
    <w:uiPriority w:val="1"/>
    <w:qFormat/>
    <w:rsid w:val="00C160DE"/>
    <w:pPr>
      <w:keepNext/>
      <w:keepLines/>
      <w:spacing w:before="240" w:after="90" w:line="320" w:lineRule="atLeast"/>
      <w:outlineLvl w:val="1"/>
    </w:pPr>
    <w:rPr>
      <w:rFonts w:ascii="Arial" w:eastAsia="Times New Roman" w:hAnsi="Arial" w:cs="Times New Roman"/>
      <w:b/>
      <w:color w:val="004EA8"/>
      <w:sz w:val="28"/>
      <w:szCs w:val="28"/>
    </w:rPr>
  </w:style>
  <w:style w:type="paragraph" w:styleId="Heading3">
    <w:name w:val="heading 3"/>
    <w:next w:val="DHHSbody"/>
    <w:link w:val="Heading3Char"/>
    <w:uiPriority w:val="1"/>
    <w:qFormat/>
    <w:rsid w:val="00C160DE"/>
    <w:pPr>
      <w:keepNext/>
      <w:keepLines/>
      <w:spacing w:before="280" w:after="120" w:line="280" w:lineRule="atLeast"/>
      <w:outlineLvl w:val="2"/>
    </w:pPr>
    <w:rPr>
      <w:rFonts w:ascii="Arial" w:eastAsia="MS Gothic" w:hAnsi="Arial" w:cs="Times New Roman"/>
      <w:b/>
      <w:bCs/>
      <w:sz w:val="24"/>
      <w:szCs w:val="26"/>
    </w:rPr>
  </w:style>
  <w:style w:type="paragraph" w:styleId="Heading4">
    <w:name w:val="heading 4"/>
    <w:next w:val="DHHSbody"/>
    <w:link w:val="Heading4Char"/>
    <w:uiPriority w:val="1"/>
    <w:qFormat/>
    <w:rsid w:val="00C160DE"/>
    <w:pPr>
      <w:keepNext/>
      <w:keepLines/>
      <w:spacing w:before="240" w:after="120" w:line="240" w:lineRule="atLeast"/>
      <w:outlineLvl w:val="3"/>
    </w:pPr>
    <w:rPr>
      <w:rFonts w:ascii="Arial" w:eastAsia="MS Mincho" w:hAnsi="Arial" w:cs="Times New Roman"/>
      <w:b/>
      <w:bCs/>
      <w:sz w:val="20"/>
      <w:szCs w:val="20"/>
    </w:rPr>
  </w:style>
  <w:style w:type="paragraph" w:styleId="Heading5">
    <w:name w:val="heading 5"/>
    <w:next w:val="DHHSbody"/>
    <w:link w:val="Heading5Char"/>
    <w:uiPriority w:val="9"/>
    <w:qFormat/>
    <w:rsid w:val="00C160DE"/>
    <w:pPr>
      <w:keepNext/>
      <w:keepLines/>
      <w:suppressAutoHyphens/>
      <w:spacing w:before="240" w:after="120" w:line="240" w:lineRule="atLeast"/>
      <w:outlineLvl w:val="4"/>
    </w:pPr>
    <w:rPr>
      <w:rFonts w:ascii="Arial" w:eastAsia="MS Mincho" w:hAnsi="Arial" w:cs="Times New Roman"/>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160DE"/>
    <w:rPr>
      <w:rFonts w:ascii="Arial" w:eastAsia="Times New Roman" w:hAnsi="Arial" w:cs="Times New Roman"/>
      <w:bCs/>
      <w:color w:val="004EA8"/>
      <w:sz w:val="44"/>
      <w:szCs w:val="44"/>
    </w:rPr>
  </w:style>
  <w:style w:type="character" w:customStyle="1" w:styleId="Heading2Char">
    <w:name w:val="Heading 2 Char"/>
    <w:link w:val="Heading2"/>
    <w:uiPriority w:val="1"/>
    <w:rsid w:val="00C160DE"/>
    <w:rPr>
      <w:rFonts w:ascii="Arial" w:eastAsia="Times New Roman" w:hAnsi="Arial" w:cs="Times New Roman"/>
      <w:b/>
      <w:color w:val="004EA8"/>
      <w:sz w:val="28"/>
      <w:szCs w:val="28"/>
    </w:rPr>
  </w:style>
  <w:style w:type="character" w:customStyle="1" w:styleId="Heading3Char">
    <w:name w:val="Heading 3 Char"/>
    <w:link w:val="Heading3"/>
    <w:uiPriority w:val="1"/>
    <w:rsid w:val="00C160DE"/>
    <w:rPr>
      <w:rFonts w:ascii="Arial" w:eastAsia="MS Gothic" w:hAnsi="Arial" w:cs="Times New Roman"/>
      <w:b/>
      <w:bCs/>
      <w:sz w:val="24"/>
      <w:szCs w:val="26"/>
    </w:rPr>
  </w:style>
  <w:style w:type="character" w:customStyle="1" w:styleId="Heading4Char">
    <w:name w:val="Heading 4 Char"/>
    <w:link w:val="Heading4"/>
    <w:uiPriority w:val="1"/>
    <w:rsid w:val="00C160DE"/>
    <w:rPr>
      <w:rFonts w:ascii="Arial" w:eastAsia="MS Mincho" w:hAnsi="Arial" w:cs="Times New Roman"/>
      <w:b/>
      <w:bCs/>
      <w:sz w:val="20"/>
      <w:szCs w:val="20"/>
    </w:rPr>
  </w:style>
  <w:style w:type="character" w:customStyle="1" w:styleId="Heading5Char">
    <w:name w:val="Heading 5 Char"/>
    <w:link w:val="Heading5"/>
    <w:uiPriority w:val="9"/>
    <w:rsid w:val="00C160DE"/>
    <w:rPr>
      <w:rFonts w:ascii="Arial" w:eastAsia="MS Mincho" w:hAnsi="Arial" w:cs="Times New Roman"/>
      <w:b/>
      <w:bCs/>
      <w:i/>
      <w:sz w:val="20"/>
      <w:szCs w:val="20"/>
    </w:rPr>
  </w:style>
  <w:style w:type="paragraph" w:styleId="Header">
    <w:name w:val="header"/>
    <w:basedOn w:val="DHHSheader"/>
    <w:link w:val="HeaderChar"/>
    <w:uiPriority w:val="98"/>
    <w:rsid w:val="00C160DE"/>
  </w:style>
  <w:style w:type="character" w:customStyle="1" w:styleId="HeaderChar">
    <w:name w:val="Header Char"/>
    <w:basedOn w:val="DefaultParagraphFont"/>
    <w:link w:val="Header"/>
    <w:uiPriority w:val="98"/>
    <w:rsid w:val="00C160DE"/>
    <w:rPr>
      <w:rFonts w:ascii="Arial" w:eastAsia="Times New Roman" w:hAnsi="Arial" w:cs="Arial"/>
      <w:sz w:val="18"/>
      <w:szCs w:val="18"/>
    </w:rPr>
  </w:style>
  <w:style w:type="paragraph" w:styleId="Footer">
    <w:name w:val="footer"/>
    <w:basedOn w:val="DHHSfooter"/>
    <w:link w:val="FooterChar"/>
    <w:uiPriority w:val="98"/>
    <w:rsid w:val="00C160DE"/>
  </w:style>
  <w:style w:type="character" w:customStyle="1" w:styleId="FooterChar">
    <w:name w:val="Footer Char"/>
    <w:basedOn w:val="DefaultParagraphFont"/>
    <w:link w:val="Footer"/>
    <w:uiPriority w:val="98"/>
    <w:rsid w:val="00C160DE"/>
    <w:rPr>
      <w:rFonts w:ascii="Arial" w:eastAsia="Times New Roman" w:hAnsi="Arial" w:cs="Arial"/>
      <w:sz w:val="18"/>
      <w:szCs w:val="18"/>
    </w:rPr>
  </w:style>
  <w:style w:type="character" w:styleId="FollowedHyperlink">
    <w:name w:val="FollowedHyperlink"/>
    <w:uiPriority w:val="99"/>
    <w:rsid w:val="00C160DE"/>
    <w:rPr>
      <w:color w:val="6633CC"/>
      <w:u w:val="dotted"/>
    </w:rPr>
  </w:style>
  <w:style w:type="paragraph" w:customStyle="1" w:styleId="DHHStabletext6pt">
    <w:name w:val="DHHS table text + 6pt"/>
    <w:basedOn w:val="DHHStabletext"/>
    <w:rsid w:val="00C160DE"/>
    <w:pPr>
      <w:spacing w:after="120"/>
    </w:pPr>
  </w:style>
  <w:style w:type="paragraph" w:styleId="Subtitle">
    <w:name w:val="Subtitle"/>
    <w:basedOn w:val="Normal"/>
    <w:next w:val="Normal"/>
    <w:link w:val="SubtitleChar"/>
    <w:uiPriority w:val="11"/>
    <w:qFormat/>
    <w:rsid w:val="00C160DE"/>
    <w:pPr>
      <w:spacing w:after="60"/>
      <w:jc w:val="center"/>
    </w:pPr>
    <w:rPr>
      <w:rFonts w:ascii="Calibri Light" w:hAnsi="Calibri Light"/>
      <w:sz w:val="24"/>
      <w:szCs w:val="24"/>
    </w:rPr>
  </w:style>
  <w:style w:type="character" w:customStyle="1" w:styleId="SubtitleChar">
    <w:name w:val="Subtitle Char"/>
    <w:link w:val="Subtitle"/>
    <w:uiPriority w:val="11"/>
    <w:rsid w:val="00C160DE"/>
    <w:rPr>
      <w:rFonts w:ascii="Calibri Light" w:eastAsia="Times New Roman" w:hAnsi="Calibri Light" w:cs="Times New Roman"/>
      <w:sz w:val="24"/>
      <w:szCs w:val="24"/>
    </w:rPr>
  </w:style>
  <w:style w:type="paragraph" w:styleId="EndnoteText">
    <w:name w:val="endnote text"/>
    <w:basedOn w:val="Normal"/>
    <w:link w:val="EndnoteTextChar"/>
    <w:semiHidden/>
    <w:rsid w:val="00C160DE"/>
    <w:rPr>
      <w:sz w:val="24"/>
      <w:szCs w:val="24"/>
    </w:rPr>
  </w:style>
  <w:style w:type="character" w:customStyle="1" w:styleId="EndnoteTextChar">
    <w:name w:val="Endnote Text Char"/>
    <w:basedOn w:val="DefaultParagraphFont"/>
    <w:link w:val="EndnoteText"/>
    <w:semiHidden/>
    <w:rsid w:val="00C160DE"/>
    <w:rPr>
      <w:rFonts w:ascii="Cambria" w:eastAsia="Times New Roman" w:hAnsi="Cambria" w:cs="Times New Roman"/>
      <w:sz w:val="24"/>
      <w:szCs w:val="24"/>
    </w:rPr>
  </w:style>
  <w:style w:type="character" w:styleId="EndnoteReference">
    <w:name w:val="endnote reference"/>
    <w:semiHidden/>
    <w:rsid w:val="00C160DE"/>
    <w:rPr>
      <w:rFonts w:ascii="Arial" w:hAnsi="Arial"/>
      <w:sz w:val="20"/>
      <w:vertAlign w:val="superscript"/>
    </w:rPr>
  </w:style>
  <w:style w:type="table" w:styleId="TableGrid">
    <w:name w:val="Table Grid"/>
    <w:basedOn w:val="TableNormal"/>
    <w:uiPriority w:val="59"/>
    <w:rsid w:val="00C160DE"/>
    <w:pPr>
      <w:spacing w:after="0" w:line="240" w:lineRule="auto"/>
    </w:pPr>
    <w:rPr>
      <w:rFonts w:ascii="Arial" w:eastAsia="Times New Roman" w:hAnsi="Arial"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C160DE"/>
  </w:style>
  <w:style w:type="paragraph" w:customStyle="1" w:styleId="DHHSreportsubtitle">
    <w:name w:val="DHHS report subtitle"/>
    <w:basedOn w:val="Normal"/>
    <w:uiPriority w:val="4"/>
    <w:rsid w:val="00C160DE"/>
    <w:pPr>
      <w:spacing w:after="120" w:line="380" w:lineRule="atLeast"/>
    </w:pPr>
    <w:rPr>
      <w:rFonts w:ascii="Arial" w:hAnsi="Arial"/>
      <w:color w:val="000000"/>
      <w:sz w:val="30"/>
      <w:szCs w:val="30"/>
    </w:rPr>
  </w:style>
  <w:style w:type="character" w:styleId="FootnoteReference">
    <w:name w:val="footnote reference"/>
    <w:uiPriority w:val="8"/>
    <w:rsid w:val="00C160DE"/>
    <w:rPr>
      <w:vertAlign w:val="superscript"/>
    </w:rPr>
  </w:style>
  <w:style w:type="paragraph" w:customStyle="1" w:styleId="DHHSreportmaintitle">
    <w:name w:val="DHHS report main title"/>
    <w:uiPriority w:val="4"/>
    <w:rsid w:val="00C160DE"/>
    <w:pPr>
      <w:keepLines/>
      <w:spacing w:after="240" w:line="580" w:lineRule="atLeast"/>
    </w:pPr>
    <w:rPr>
      <w:rFonts w:ascii="Arial" w:eastAsia="Times New Roman" w:hAnsi="Arial" w:cs="Times New Roman"/>
      <w:color w:val="004EA8"/>
      <w:sz w:val="50"/>
      <w:szCs w:val="24"/>
    </w:rPr>
  </w:style>
  <w:style w:type="paragraph" w:styleId="FootnoteText">
    <w:name w:val="footnote text"/>
    <w:basedOn w:val="Normal"/>
    <w:link w:val="FootnoteTextChar"/>
    <w:uiPriority w:val="8"/>
    <w:rsid w:val="00C160DE"/>
    <w:pPr>
      <w:spacing w:before="60" w:after="60" w:line="200" w:lineRule="atLeast"/>
    </w:pPr>
    <w:rPr>
      <w:rFonts w:ascii="Arial" w:eastAsia="MS Gothic" w:hAnsi="Arial" w:cs="Arial"/>
      <w:sz w:val="16"/>
      <w:szCs w:val="16"/>
    </w:rPr>
  </w:style>
  <w:style w:type="character" w:customStyle="1" w:styleId="FootnoteTextChar">
    <w:name w:val="Footnote Text Char"/>
    <w:basedOn w:val="DefaultParagraphFont"/>
    <w:link w:val="FootnoteText"/>
    <w:uiPriority w:val="8"/>
    <w:rsid w:val="00C160DE"/>
    <w:rPr>
      <w:rFonts w:ascii="Arial" w:eastAsia="MS Gothic" w:hAnsi="Arial" w:cs="Arial"/>
      <w:sz w:val="16"/>
      <w:szCs w:val="16"/>
    </w:rPr>
  </w:style>
  <w:style w:type="paragraph" w:styleId="TOC1">
    <w:name w:val="toc 1"/>
    <w:basedOn w:val="Normal"/>
    <w:next w:val="Normal"/>
    <w:uiPriority w:val="39"/>
    <w:rsid w:val="00C160DE"/>
    <w:pPr>
      <w:keepNext/>
      <w:keepLines/>
      <w:tabs>
        <w:tab w:val="right" w:leader="dot" w:pos="9299"/>
      </w:tabs>
      <w:spacing w:before="160" w:after="60" w:line="270" w:lineRule="atLeast"/>
      <w:ind w:right="680"/>
    </w:pPr>
    <w:rPr>
      <w:rFonts w:ascii="Arial" w:hAnsi="Arial"/>
      <w:b/>
      <w:noProof/>
      <w:color w:val="004EA8"/>
    </w:rPr>
  </w:style>
  <w:style w:type="paragraph" w:styleId="TOC2">
    <w:name w:val="toc 2"/>
    <w:basedOn w:val="Normal"/>
    <w:next w:val="Normal"/>
    <w:uiPriority w:val="39"/>
    <w:rsid w:val="00C160DE"/>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C160DE"/>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C160DE"/>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C160DE"/>
    <w:pPr>
      <w:ind w:left="800"/>
    </w:pPr>
  </w:style>
  <w:style w:type="paragraph" w:styleId="TOC6">
    <w:name w:val="toc 6"/>
    <w:basedOn w:val="Normal"/>
    <w:next w:val="Normal"/>
    <w:autoRedefine/>
    <w:semiHidden/>
    <w:rsid w:val="00C160DE"/>
    <w:pPr>
      <w:ind w:left="1000"/>
    </w:pPr>
  </w:style>
  <w:style w:type="paragraph" w:styleId="TOC7">
    <w:name w:val="toc 7"/>
    <w:basedOn w:val="Normal"/>
    <w:next w:val="Normal"/>
    <w:autoRedefine/>
    <w:semiHidden/>
    <w:rsid w:val="00C160DE"/>
    <w:pPr>
      <w:ind w:left="1200"/>
    </w:pPr>
  </w:style>
  <w:style w:type="paragraph" w:styleId="TOC8">
    <w:name w:val="toc 8"/>
    <w:basedOn w:val="Normal"/>
    <w:next w:val="Normal"/>
    <w:autoRedefine/>
    <w:semiHidden/>
    <w:rsid w:val="00C160DE"/>
    <w:pPr>
      <w:ind w:left="1400"/>
    </w:pPr>
  </w:style>
  <w:style w:type="paragraph" w:styleId="TOC9">
    <w:name w:val="toc 9"/>
    <w:basedOn w:val="Normal"/>
    <w:next w:val="Normal"/>
    <w:autoRedefine/>
    <w:semiHidden/>
    <w:rsid w:val="00C160DE"/>
    <w:pPr>
      <w:ind w:left="1600"/>
    </w:pPr>
  </w:style>
  <w:style w:type="paragraph" w:customStyle="1" w:styleId="DHHSreportmaintitlewhite">
    <w:name w:val="DHHS report main title white"/>
    <w:uiPriority w:val="4"/>
    <w:rsid w:val="00C160DE"/>
    <w:pPr>
      <w:keepLines/>
      <w:spacing w:after="240" w:line="580" w:lineRule="atLeast"/>
    </w:pPr>
    <w:rPr>
      <w:rFonts w:ascii="Arial" w:eastAsia="Times New Roman" w:hAnsi="Arial" w:cs="Times New Roman"/>
      <w:bCs/>
      <w:color w:val="FFFFFF"/>
      <w:sz w:val="50"/>
      <w:szCs w:val="50"/>
    </w:rPr>
  </w:style>
  <w:style w:type="paragraph" w:customStyle="1" w:styleId="DHHSreportsubtitlewhite">
    <w:name w:val="DHHS report subtitle white"/>
    <w:uiPriority w:val="4"/>
    <w:rsid w:val="00C160DE"/>
    <w:pPr>
      <w:spacing w:after="120" w:line="380" w:lineRule="atLeast"/>
    </w:pPr>
    <w:rPr>
      <w:rFonts w:ascii="Arial" w:eastAsia="Times New Roman" w:hAnsi="Arial" w:cs="Times New Roman"/>
      <w:bCs/>
      <w:color w:val="FFFFFF"/>
      <w:sz w:val="30"/>
      <w:szCs w:val="30"/>
    </w:rPr>
  </w:style>
  <w:style w:type="paragraph" w:customStyle="1" w:styleId="Coverinstructions">
    <w:name w:val="Cover instructions"/>
    <w:rsid w:val="00C160DE"/>
    <w:pPr>
      <w:spacing w:after="200" w:line="320" w:lineRule="atLeast"/>
    </w:pPr>
    <w:rPr>
      <w:rFonts w:ascii="Arial" w:eastAsia="Times New Roman" w:hAnsi="Arial" w:cs="Times New Roman"/>
      <w:color w:val="FFFFFF"/>
      <w:sz w:val="24"/>
      <w:szCs w:val="20"/>
    </w:rPr>
  </w:style>
  <w:style w:type="paragraph" w:styleId="DocumentMap">
    <w:name w:val="Document Map"/>
    <w:basedOn w:val="Normal"/>
    <w:link w:val="DocumentMapChar"/>
    <w:uiPriority w:val="99"/>
    <w:semiHidden/>
    <w:unhideWhenUsed/>
    <w:rsid w:val="00C160DE"/>
    <w:rPr>
      <w:rFonts w:ascii="Lucida Grande" w:hAnsi="Lucida Grande" w:cs="Lucida Grande"/>
      <w:sz w:val="24"/>
      <w:szCs w:val="24"/>
    </w:rPr>
  </w:style>
  <w:style w:type="character" w:customStyle="1" w:styleId="DocumentMapChar">
    <w:name w:val="Document Map Char"/>
    <w:link w:val="DocumentMap"/>
    <w:uiPriority w:val="99"/>
    <w:semiHidden/>
    <w:rsid w:val="00C160DE"/>
    <w:rPr>
      <w:rFonts w:ascii="Lucida Grande" w:eastAsia="Times New Roman" w:hAnsi="Lucida Grande" w:cs="Lucida Grande"/>
      <w:sz w:val="24"/>
      <w:szCs w:val="24"/>
    </w:rPr>
  </w:style>
  <w:style w:type="character" w:styleId="Hyperlink">
    <w:name w:val="Hyperlink"/>
    <w:uiPriority w:val="99"/>
    <w:rsid w:val="00C160DE"/>
    <w:rPr>
      <w:color w:val="3366FF"/>
      <w:u w:val="dotted"/>
    </w:rPr>
  </w:style>
  <w:style w:type="paragraph" w:customStyle="1" w:styleId="DHHSbody">
    <w:name w:val="DHHS body"/>
    <w:qFormat/>
    <w:rsid w:val="00C160DE"/>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C160DE"/>
    <w:pPr>
      <w:numPr>
        <w:numId w:val="2"/>
      </w:numPr>
      <w:spacing w:after="40"/>
    </w:pPr>
  </w:style>
  <w:style w:type="paragraph" w:customStyle="1" w:styleId="DHHSnumberloweralpha">
    <w:name w:val="DHHS number lower alpha"/>
    <w:basedOn w:val="DHHSbody"/>
    <w:uiPriority w:val="3"/>
    <w:rsid w:val="00C160DE"/>
    <w:pPr>
      <w:tabs>
        <w:tab w:val="num" w:pos="397"/>
      </w:tabs>
      <w:ind w:left="397" w:hanging="397"/>
    </w:pPr>
  </w:style>
  <w:style w:type="paragraph" w:customStyle="1" w:styleId="DHHSnumberloweralphaindent">
    <w:name w:val="DHHS number lower alpha indent"/>
    <w:basedOn w:val="DHHSbody"/>
    <w:uiPriority w:val="3"/>
    <w:rsid w:val="00C160DE"/>
    <w:pPr>
      <w:tabs>
        <w:tab w:val="num" w:pos="794"/>
      </w:tabs>
      <w:ind w:left="794" w:hanging="397"/>
    </w:pPr>
  </w:style>
  <w:style w:type="paragraph" w:customStyle="1" w:styleId="DHHStablefigurenote">
    <w:name w:val="DHHS table/figure note"/>
    <w:uiPriority w:val="4"/>
    <w:rsid w:val="00C160DE"/>
    <w:pPr>
      <w:spacing w:before="60" w:after="60" w:line="240" w:lineRule="exact"/>
    </w:pPr>
    <w:rPr>
      <w:rFonts w:ascii="Arial" w:eastAsia="Times New Roman" w:hAnsi="Arial" w:cs="Times New Roman"/>
      <w:i/>
      <w:sz w:val="18"/>
      <w:szCs w:val="20"/>
    </w:rPr>
  </w:style>
  <w:style w:type="paragraph" w:customStyle="1" w:styleId="DHHStabletext">
    <w:name w:val="DHHS table text"/>
    <w:uiPriority w:val="3"/>
    <w:qFormat/>
    <w:rsid w:val="00C160DE"/>
    <w:pPr>
      <w:spacing w:before="80" w:after="60" w:line="240" w:lineRule="auto"/>
    </w:pPr>
    <w:rPr>
      <w:rFonts w:ascii="Arial" w:eastAsia="Times New Roman" w:hAnsi="Arial" w:cs="Times New Roman"/>
      <w:sz w:val="20"/>
      <w:szCs w:val="20"/>
    </w:rPr>
  </w:style>
  <w:style w:type="paragraph" w:customStyle="1" w:styleId="DHHStablecaption">
    <w:name w:val="DHHS table caption"/>
    <w:next w:val="DHHSbody"/>
    <w:uiPriority w:val="3"/>
    <w:qFormat/>
    <w:rsid w:val="00C160DE"/>
    <w:pPr>
      <w:keepNext/>
      <w:keepLines/>
      <w:spacing w:before="240" w:after="120" w:line="240" w:lineRule="atLeast"/>
    </w:pPr>
    <w:rPr>
      <w:rFonts w:ascii="Arial" w:eastAsia="Times New Roman" w:hAnsi="Arial" w:cs="Times New Roman"/>
      <w:b/>
      <w:sz w:val="20"/>
      <w:szCs w:val="20"/>
    </w:rPr>
  </w:style>
  <w:style w:type="paragraph" w:customStyle="1" w:styleId="DHHSfigurecaption">
    <w:name w:val="DHHS figure caption"/>
    <w:next w:val="DHHSbody"/>
    <w:rsid w:val="00C160DE"/>
    <w:pPr>
      <w:keepNext/>
      <w:keepLines/>
      <w:spacing w:before="240" w:after="120" w:line="240" w:lineRule="auto"/>
    </w:pPr>
    <w:rPr>
      <w:rFonts w:ascii="Arial" w:eastAsia="Times New Roman" w:hAnsi="Arial" w:cs="Times New Roman"/>
      <w:b/>
      <w:sz w:val="20"/>
      <w:szCs w:val="20"/>
    </w:rPr>
  </w:style>
  <w:style w:type="paragraph" w:customStyle="1" w:styleId="DHHSfooter">
    <w:name w:val="DHHS footer"/>
    <w:uiPriority w:val="11"/>
    <w:rsid w:val="00C160DE"/>
    <w:pPr>
      <w:tabs>
        <w:tab w:val="right" w:pos="9299"/>
      </w:tabs>
      <w:spacing w:after="0" w:line="240" w:lineRule="auto"/>
    </w:pPr>
    <w:rPr>
      <w:rFonts w:ascii="Arial" w:eastAsia="Times New Roman" w:hAnsi="Arial" w:cs="Arial"/>
      <w:sz w:val="18"/>
      <w:szCs w:val="18"/>
    </w:rPr>
  </w:style>
  <w:style w:type="paragraph" w:customStyle="1" w:styleId="DHHSbullet2">
    <w:name w:val="DHHS bullet 2"/>
    <w:basedOn w:val="DHHSbody"/>
    <w:uiPriority w:val="2"/>
    <w:qFormat/>
    <w:rsid w:val="00C160DE"/>
    <w:pPr>
      <w:numPr>
        <w:ilvl w:val="2"/>
        <w:numId w:val="2"/>
      </w:numPr>
      <w:spacing w:after="40"/>
    </w:pPr>
  </w:style>
  <w:style w:type="paragraph" w:customStyle="1" w:styleId="DHHSheader">
    <w:name w:val="DHHS header"/>
    <w:basedOn w:val="DHHSfooter"/>
    <w:uiPriority w:val="11"/>
    <w:rsid w:val="00C160DE"/>
  </w:style>
  <w:style w:type="character" w:styleId="Strong">
    <w:name w:val="Strong"/>
    <w:uiPriority w:val="22"/>
    <w:qFormat/>
    <w:rsid w:val="00C160DE"/>
    <w:rPr>
      <w:b/>
      <w:bCs/>
    </w:rPr>
  </w:style>
  <w:style w:type="paragraph" w:customStyle="1" w:styleId="DHHSnumberdigit">
    <w:name w:val="DHHS number digit"/>
    <w:basedOn w:val="DHHSbody"/>
    <w:uiPriority w:val="2"/>
    <w:rsid w:val="00C160DE"/>
    <w:pPr>
      <w:tabs>
        <w:tab w:val="num" w:pos="397"/>
      </w:tabs>
      <w:ind w:left="397" w:hanging="397"/>
    </w:pPr>
  </w:style>
  <w:style w:type="paragraph" w:customStyle="1" w:styleId="DHHStablecolhead">
    <w:name w:val="DHHS table col head"/>
    <w:uiPriority w:val="3"/>
    <w:qFormat/>
    <w:rsid w:val="00C160DE"/>
    <w:pPr>
      <w:spacing w:before="80" w:after="60" w:line="240" w:lineRule="auto"/>
    </w:pPr>
    <w:rPr>
      <w:rFonts w:ascii="Arial" w:eastAsia="Times New Roman" w:hAnsi="Arial" w:cs="Times New Roman"/>
      <w:b/>
      <w:color w:val="004EA8"/>
      <w:sz w:val="20"/>
      <w:szCs w:val="20"/>
    </w:rPr>
  </w:style>
  <w:style w:type="paragraph" w:customStyle="1" w:styleId="DHHSbodyaftertablefigure">
    <w:name w:val="DHHS body after table/figure"/>
    <w:basedOn w:val="DHHSbody"/>
    <w:next w:val="DHHSbody"/>
    <w:rsid w:val="00C160DE"/>
    <w:pPr>
      <w:spacing w:before="240"/>
    </w:pPr>
  </w:style>
  <w:style w:type="paragraph" w:customStyle="1" w:styleId="DHHSbullet1lastline">
    <w:name w:val="DHHS bullet 1 last line"/>
    <w:basedOn w:val="DHHSbullet1"/>
    <w:qFormat/>
    <w:rsid w:val="00C160DE"/>
    <w:pPr>
      <w:numPr>
        <w:ilvl w:val="1"/>
      </w:numPr>
      <w:spacing w:after="120"/>
      <w:ind w:left="284"/>
    </w:pPr>
  </w:style>
  <w:style w:type="paragraph" w:customStyle="1" w:styleId="DHHSbullet2lastline">
    <w:name w:val="DHHS bullet 2 last line"/>
    <w:basedOn w:val="DHHSbullet2"/>
    <w:uiPriority w:val="2"/>
    <w:qFormat/>
    <w:rsid w:val="00C160DE"/>
    <w:pPr>
      <w:numPr>
        <w:ilvl w:val="3"/>
      </w:numPr>
      <w:spacing w:after="120"/>
    </w:pPr>
  </w:style>
  <w:style w:type="paragraph" w:customStyle="1" w:styleId="DHHStablebullet">
    <w:name w:val="DHHS table bullet"/>
    <w:basedOn w:val="DHHStabletext"/>
    <w:uiPriority w:val="3"/>
    <w:qFormat/>
    <w:rsid w:val="00C160DE"/>
    <w:pPr>
      <w:numPr>
        <w:ilvl w:val="6"/>
        <w:numId w:val="2"/>
      </w:numPr>
    </w:pPr>
  </w:style>
  <w:style w:type="paragraph" w:customStyle="1" w:styleId="DHHSTOCheadingreport">
    <w:name w:val="DHHS TOC heading report"/>
    <w:basedOn w:val="Heading1"/>
    <w:link w:val="DHHSTOCheadingreportChar"/>
    <w:uiPriority w:val="5"/>
    <w:rsid w:val="00C160DE"/>
    <w:pPr>
      <w:spacing w:before="0"/>
      <w:outlineLvl w:val="9"/>
    </w:pPr>
  </w:style>
  <w:style w:type="character" w:customStyle="1" w:styleId="DHHSTOCheadingreportChar">
    <w:name w:val="DHHS TOC heading report Char"/>
    <w:link w:val="DHHSTOCheadingreport"/>
    <w:uiPriority w:val="5"/>
    <w:rsid w:val="00C160DE"/>
    <w:rPr>
      <w:rFonts w:ascii="Arial" w:eastAsia="Times New Roman" w:hAnsi="Arial" w:cs="Times New Roman"/>
      <w:bCs/>
      <w:color w:val="004EA8"/>
      <w:sz w:val="44"/>
      <w:szCs w:val="44"/>
    </w:rPr>
  </w:style>
  <w:style w:type="paragraph" w:customStyle="1" w:styleId="DHHSaccessibilitypara">
    <w:name w:val="DHHS accessibility para"/>
    <w:uiPriority w:val="8"/>
    <w:rsid w:val="00C160DE"/>
    <w:pPr>
      <w:spacing w:after="300" w:line="300" w:lineRule="atLeast"/>
    </w:pPr>
    <w:rPr>
      <w:rFonts w:ascii="Arial" w:eastAsia="Times" w:hAnsi="Arial" w:cs="Times New Roman"/>
      <w:sz w:val="24"/>
      <w:szCs w:val="19"/>
    </w:rPr>
  </w:style>
  <w:style w:type="paragraph" w:customStyle="1" w:styleId="DHHSbodynospace">
    <w:name w:val="DHHS body no space"/>
    <w:basedOn w:val="DHHSbody"/>
    <w:uiPriority w:val="3"/>
    <w:qFormat/>
    <w:rsid w:val="00C160DE"/>
    <w:pPr>
      <w:spacing w:after="0"/>
    </w:pPr>
  </w:style>
  <w:style w:type="paragraph" w:customStyle="1" w:styleId="DHHSquote">
    <w:name w:val="DHHS quote"/>
    <w:basedOn w:val="DHHSbody"/>
    <w:uiPriority w:val="4"/>
    <w:rsid w:val="00C160DE"/>
    <w:pPr>
      <w:ind w:left="397"/>
    </w:pPr>
    <w:rPr>
      <w:szCs w:val="18"/>
    </w:rPr>
  </w:style>
  <w:style w:type="numbering" w:customStyle="1" w:styleId="ZZBullets">
    <w:name w:val="ZZ Bullets"/>
    <w:rsid w:val="00C160DE"/>
    <w:pPr>
      <w:numPr>
        <w:numId w:val="2"/>
      </w:numPr>
    </w:pPr>
  </w:style>
  <w:style w:type="paragraph" w:customStyle="1" w:styleId="DHHSbulletindent">
    <w:name w:val="DHHS bullet indent"/>
    <w:basedOn w:val="DHHSbody"/>
    <w:uiPriority w:val="4"/>
    <w:rsid w:val="00C160DE"/>
    <w:pPr>
      <w:numPr>
        <w:ilvl w:val="4"/>
        <w:numId w:val="2"/>
      </w:numPr>
      <w:spacing w:after="40"/>
    </w:pPr>
  </w:style>
  <w:style w:type="paragraph" w:customStyle="1" w:styleId="DHHSbulletindentlastline">
    <w:name w:val="DHHS bullet indent last line"/>
    <w:basedOn w:val="DHHSbody"/>
    <w:uiPriority w:val="4"/>
    <w:rsid w:val="00C160DE"/>
    <w:pPr>
      <w:numPr>
        <w:ilvl w:val="5"/>
        <w:numId w:val="2"/>
      </w:numPr>
    </w:pPr>
  </w:style>
  <w:style w:type="numbering" w:customStyle="1" w:styleId="ZZNumbers">
    <w:name w:val="ZZ Numbers"/>
    <w:rsid w:val="00C160DE"/>
    <w:pPr>
      <w:numPr>
        <w:numId w:val="3"/>
      </w:numPr>
    </w:pPr>
  </w:style>
  <w:style w:type="paragraph" w:customStyle="1" w:styleId="DHHSnumberlowerroman">
    <w:name w:val="DHHS number lower roman"/>
    <w:basedOn w:val="DHHSbody"/>
    <w:uiPriority w:val="3"/>
    <w:rsid w:val="00C160DE"/>
    <w:pPr>
      <w:tabs>
        <w:tab w:val="num" w:pos="397"/>
      </w:tabs>
      <w:ind w:left="397" w:hanging="397"/>
    </w:pPr>
  </w:style>
  <w:style w:type="paragraph" w:customStyle="1" w:styleId="DHHSnumberlowerromanindent">
    <w:name w:val="DHHS number lower roman indent"/>
    <w:basedOn w:val="DHHSbody"/>
    <w:uiPriority w:val="3"/>
    <w:rsid w:val="00C160DE"/>
    <w:pPr>
      <w:tabs>
        <w:tab w:val="num" w:pos="794"/>
      </w:tabs>
      <w:ind w:left="794" w:hanging="397"/>
    </w:pPr>
  </w:style>
  <w:style w:type="paragraph" w:customStyle="1" w:styleId="DHHSnumberdigitindent">
    <w:name w:val="DHHS number digit indent"/>
    <w:basedOn w:val="DHHSnumberloweralphaindent"/>
    <w:uiPriority w:val="3"/>
    <w:rsid w:val="00C160DE"/>
  </w:style>
  <w:style w:type="paragraph" w:styleId="Title">
    <w:name w:val="Title"/>
    <w:basedOn w:val="Normal"/>
    <w:next w:val="Normal"/>
    <w:link w:val="TitleChar"/>
    <w:uiPriority w:val="10"/>
    <w:qFormat/>
    <w:rsid w:val="00C160DE"/>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C160DE"/>
    <w:rPr>
      <w:rFonts w:ascii="Calibri Light" w:eastAsia="Times New Roman" w:hAnsi="Calibri Light" w:cs="Times New Roman"/>
      <w:b/>
      <w:bCs/>
      <w:kern w:val="28"/>
      <w:sz w:val="32"/>
      <w:szCs w:val="32"/>
    </w:rPr>
  </w:style>
  <w:style w:type="paragraph" w:styleId="BalloonText">
    <w:name w:val="Balloon Text"/>
    <w:basedOn w:val="Normal"/>
    <w:link w:val="BalloonTextChar"/>
    <w:uiPriority w:val="99"/>
    <w:semiHidden/>
    <w:unhideWhenUsed/>
    <w:rsid w:val="00C160DE"/>
    <w:rPr>
      <w:rFonts w:ascii="Tahoma" w:hAnsi="Tahoma" w:cs="Tahoma"/>
      <w:sz w:val="16"/>
      <w:szCs w:val="16"/>
    </w:rPr>
  </w:style>
  <w:style w:type="character" w:customStyle="1" w:styleId="BalloonTextChar">
    <w:name w:val="Balloon Text Char"/>
    <w:basedOn w:val="DefaultParagraphFont"/>
    <w:link w:val="BalloonText"/>
    <w:uiPriority w:val="99"/>
    <w:semiHidden/>
    <w:rsid w:val="00C160DE"/>
    <w:rPr>
      <w:rFonts w:ascii="Tahoma" w:eastAsia="Times New Roman" w:hAnsi="Tahoma" w:cs="Tahoma"/>
      <w:sz w:val="16"/>
      <w:szCs w:val="16"/>
    </w:rPr>
  </w:style>
  <w:style w:type="paragraph" w:styleId="ListParagraph">
    <w:name w:val="List Paragraph"/>
    <w:basedOn w:val="Normal"/>
    <w:uiPriority w:val="34"/>
    <w:qFormat/>
    <w:rsid w:val="00C160DE"/>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C160DE"/>
    <w:rPr>
      <w:sz w:val="16"/>
      <w:szCs w:val="16"/>
    </w:rPr>
  </w:style>
  <w:style w:type="paragraph" w:styleId="CommentText">
    <w:name w:val="annotation text"/>
    <w:basedOn w:val="Normal"/>
    <w:link w:val="CommentTextChar"/>
    <w:uiPriority w:val="99"/>
    <w:semiHidden/>
    <w:unhideWhenUsed/>
    <w:rsid w:val="00C160DE"/>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C160DE"/>
    <w:rPr>
      <w:sz w:val="20"/>
      <w:szCs w:val="20"/>
    </w:rPr>
  </w:style>
  <w:style w:type="paragraph" w:customStyle="1" w:styleId="EndNoteBibliography">
    <w:name w:val="EndNote Bibliography"/>
    <w:basedOn w:val="Normal"/>
    <w:link w:val="EndNoteBibliographyChar"/>
    <w:rsid w:val="00C160DE"/>
    <w:pPr>
      <w:spacing w:after="200"/>
    </w:pPr>
    <w:rPr>
      <w:rFonts w:ascii="Calibri" w:eastAsiaTheme="minorHAnsi" w:hAnsi="Calibri" w:cs="Calibri"/>
      <w:noProof/>
      <w:sz w:val="22"/>
      <w:szCs w:val="22"/>
      <w:lang w:val="en-US"/>
    </w:rPr>
  </w:style>
  <w:style w:type="character" w:customStyle="1" w:styleId="EndNoteBibliographyChar">
    <w:name w:val="EndNote Bibliography Char"/>
    <w:basedOn w:val="DefaultParagraphFont"/>
    <w:link w:val="EndNoteBibliography"/>
    <w:rsid w:val="00C160DE"/>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C160DE"/>
    <w:pPr>
      <w:spacing w:after="0"/>
    </w:pPr>
    <w:rPr>
      <w:rFonts w:ascii="Cambria" w:eastAsia="Times New Roman" w:hAnsi="Cambria" w:cs="Times New Roman"/>
      <w:b/>
      <w:bCs/>
    </w:rPr>
  </w:style>
  <w:style w:type="character" w:customStyle="1" w:styleId="CommentSubjectChar">
    <w:name w:val="Comment Subject Char"/>
    <w:basedOn w:val="CommentTextChar"/>
    <w:link w:val="CommentSubject"/>
    <w:uiPriority w:val="99"/>
    <w:semiHidden/>
    <w:rsid w:val="00C160DE"/>
    <w:rPr>
      <w:rFonts w:ascii="Cambria" w:eastAsia="Times New Roman" w:hAnsi="Cambria" w:cs="Times New Roman"/>
      <w:b/>
      <w:bCs/>
      <w:sz w:val="20"/>
      <w:szCs w:val="20"/>
    </w:rPr>
  </w:style>
  <w:style w:type="table" w:styleId="MediumGrid1-Accent1">
    <w:name w:val="Medium Grid 1 Accent 1"/>
    <w:basedOn w:val="TableNormal"/>
    <w:uiPriority w:val="62"/>
    <w:rsid w:val="00C160DE"/>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LightShading-Accent1">
    <w:name w:val="Light Shading Accent 1"/>
    <w:basedOn w:val="TableNormal"/>
    <w:uiPriority w:val="65"/>
    <w:rsid w:val="00C160DE"/>
    <w:pPr>
      <w:spacing w:after="0" w:line="240" w:lineRule="auto"/>
    </w:pPr>
    <w:rPr>
      <w:rFonts w:ascii="Times New Roman" w:eastAsia="Times New Roman" w:hAnsi="Times New Roman" w:cs="Times New Roman"/>
      <w:color w:val="2F5496" w:themeColor="accent1" w:themeShade="BF"/>
      <w:sz w:val="20"/>
      <w:szCs w:val="20"/>
      <w:lang w:eastAsia="en-AU"/>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Grid-Accent1">
    <w:name w:val="Light Grid Accent 1"/>
    <w:basedOn w:val="TableNormal"/>
    <w:uiPriority w:val="67"/>
    <w:rsid w:val="00C160DE"/>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8"/>
    <w:lsdException w:name="header" w:uiPriority="98"/>
    <w:lsdException w:name="footer" w:uiPriority="98"/>
    <w:lsdException w:name="caption" w:uiPriority="35" w:qFormat="1"/>
    <w:lsdException w:name="footnote reference" w:uiPriority="8"/>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5" w:unhideWhenUsed="0"/>
    <w:lsdException w:name="Light List Accent 1" w:semiHidden="0" w:uiPriority="61" w:unhideWhenUsed="0"/>
    <w:lsdException w:name="Light Grid Accent 1" w:semiHidden="0" w:uiPriority="67"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60DE"/>
    <w:pPr>
      <w:spacing w:after="0" w:line="240" w:lineRule="auto"/>
    </w:pPr>
    <w:rPr>
      <w:rFonts w:ascii="Cambria" w:eastAsia="Times New Roman" w:hAnsi="Cambria" w:cs="Times New Roman"/>
      <w:sz w:val="20"/>
      <w:szCs w:val="20"/>
    </w:rPr>
  </w:style>
  <w:style w:type="paragraph" w:styleId="Heading1">
    <w:name w:val="heading 1"/>
    <w:next w:val="DHHSbody"/>
    <w:link w:val="Heading1Char"/>
    <w:uiPriority w:val="1"/>
    <w:qFormat/>
    <w:rsid w:val="00C160DE"/>
    <w:pPr>
      <w:keepNext/>
      <w:keepLines/>
      <w:spacing w:before="520" w:after="440" w:line="440" w:lineRule="atLeast"/>
      <w:outlineLvl w:val="0"/>
    </w:pPr>
    <w:rPr>
      <w:rFonts w:ascii="Arial" w:eastAsia="Times New Roman" w:hAnsi="Arial" w:cs="Times New Roman"/>
      <w:bCs/>
      <w:color w:val="004EA8"/>
      <w:sz w:val="44"/>
      <w:szCs w:val="44"/>
    </w:rPr>
  </w:style>
  <w:style w:type="paragraph" w:styleId="Heading2">
    <w:name w:val="heading 2"/>
    <w:next w:val="DHHSbody"/>
    <w:link w:val="Heading2Char"/>
    <w:uiPriority w:val="1"/>
    <w:qFormat/>
    <w:rsid w:val="00C160DE"/>
    <w:pPr>
      <w:keepNext/>
      <w:keepLines/>
      <w:spacing w:before="240" w:after="90" w:line="320" w:lineRule="atLeast"/>
      <w:outlineLvl w:val="1"/>
    </w:pPr>
    <w:rPr>
      <w:rFonts w:ascii="Arial" w:eastAsia="Times New Roman" w:hAnsi="Arial" w:cs="Times New Roman"/>
      <w:b/>
      <w:color w:val="004EA8"/>
      <w:sz w:val="28"/>
      <w:szCs w:val="28"/>
    </w:rPr>
  </w:style>
  <w:style w:type="paragraph" w:styleId="Heading3">
    <w:name w:val="heading 3"/>
    <w:next w:val="DHHSbody"/>
    <w:link w:val="Heading3Char"/>
    <w:uiPriority w:val="1"/>
    <w:qFormat/>
    <w:rsid w:val="00C160DE"/>
    <w:pPr>
      <w:keepNext/>
      <w:keepLines/>
      <w:spacing w:before="280" w:after="120" w:line="280" w:lineRule="atLeast"/>
      <w:outlineLvl w:val="2"/>
    </w:pPr>
    <w:rPr>
      <w:rFonts w:ascii="Arial" w:eastAsia="MS Gothic" w:hAnsi="Arial" w:cs="Times New Roman"/>
      <w:b/>
      <w:bCs/>
      <w:sz w:val="24"/>
      <w:szCs w:val="26"/>
    </w:rPr>
  </w:style>
  <w:style w:type="paragraph" w:styleId="Heading4">
    <w:name w:val="heading 4"/>
    <w:next w:val="DHHSbody"/>
    <w:link w:val="Heading4Char"/>
    <w:uiPriority w:val="1"/>
    <w:qFormat/>
    <w:rsid w:val="00C160DE"/>
    <w:pPr>
      <w:keepNext/>
      <w:keepLines/>
      <w:spacing w:before="240" w:after="120" w:line="240" w:lineRule="atLeast"/>
      <w:outlineLvl w:val="3"/>
    </w:pPr>
    <w:rPr>
      <w:rFonts w:ascii="Arial" w:eastAsia="MS Mincho" w:hAnsi="Arial" w:cs="Times New Roman"/>
      <w:b/>
      <w:bCs/>
      <w:sz w:val="20"/>
      <w:szCs w:val="20"/>
    </w:rPr>
  </w:style>
  <w:style w:type="paragraph" w:styleId="Heading5">
    <w:name w:val="heading 5"/>
    <w:next w:val="DHHSbody"/>
    <w:link w:val="Heading5Char"/>
    <w:uiPriority w:val="9"/>
    <w:qFormat/>
    <w:rsid w:val="00C160DE"/>
    <w:pPr>
      <w:keepNext/>
      <w:keepLines/>
      <w:suppressAutoHyphens/>
      <w:spacing w:before="240" w:after="120" w:line="240" w:lineRule="atLeast"/>
      <w:outlineLvl w:val="4"/>
    </w:pPr>
    <w:rPr>
      <w:rFonts w:ascii="Arial" w:eastAsia="MS Mincho" w:hAnsi="Arial" w:cs="Times New Roman"/>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160DE"/>
    <w:rPr>
      <w:rFonts w:ascii="Arial" w:eastAsia="Times New Roman" w:hAnsi="Arial" w:cs="Times New Roman"/>
      <w:bCs/>
      <w:color w:val="004EA8"/>
      <w:sz w:val="44"/>
      <w:szCs w:val="44"/>
    </w:rPr>
  </w:style>
  <w:style w:type="character" w:customStyle="1" w:styleId="Heading2Char">
    <w:name w:val="Heading 2 Char"/>
    <w:link w:val="Heading2"/>
    <w:uiPriority w:val="1"/>
    <w:rsid w:val="00C160DE"/>
    <w:rPr>
      <w:rFonts w:ascii="Arial" w:eastAsia="Times New Roman" w:hAnsi="Arial" w:cs="Times New Roman"/>
      <w:b/>
      <w:color w:val="004EA8"/>
      <w:sz w:val="28"/>
      <w:szCs w:val="28"/>
    </w:rPr>
  </w:style>
  <w:style w:type="character" w:customStyle="1" w:styleId="Heading3Char">
    <w:name w:val="Heading 3 Char"/>
    <w:link w:val="Heading3"/>
    <w:uiPriority w:val="1"/>
    <w:rsid w:val="00C160DE"/>
    <w:rPr>
      <w:rFonts w:ascii="Arial" w:eastAsia="MS Gothic" w:hAnsi="Arial" w:cs="Times New Roman"/>
      <w:b/>
      <w:bCs/>
      <w:sz w:val="24"/>
      <w:szCs w:val="26"/>
    </w:rPr>
  </w:style>
  <w:style w:type="character" w:customStyle="1" w:styleId="Heading4Char">
    <w:name w:val="Heading 4 Char"/>
    <w:link w:val="Heading4"/>
    <w:uiPriority w:val="1"/>
    <w:rsid w:val="00C160DE"/>
    <w:rPr>
      <w:rFonts w:ascii="Arial" w:eastAsia="MS Mincho" w:hAnsi="Arial" w:cs="Times New Roman"/>
      <w:b/>
      <w:bCs/>
      <w:sz w:val="20"/>
      <w:szCs w:val="20"/>
    </w:rPr>
  </w:style>
  <w:style w:type="character" w:customStyle="1" w:styleId="Heading5Char">
    <w:name w:val="Heading 5 Char"/>
    <w:link w:val="Heading5"/>
    <w:uiPriority w:val="9"/>
    <w:rsid w:val="00C160DE"/>
    <w:rPr>
      <w:rFonts w:ascii="Arial" w:eastAsia="MS Mincho" w:hAnsi="Arial" w:cs="Times New Roman"/>
      <w:b/>
      <w:bCs/>
      <w:i/>
      <w:sz w:val="20"/>
      <w:szCs w:val="20"/>
    </w:rPr>
  </w:style>
  <w:style w:type="paragraph" w:styleId="Header">
    <w:name w:val="header"/>
    <w:basedOn w:val="DHHSheader"/>
    <w:link w:val="HeaderChar"/>
    <w:uiPriority w:val="98"/>
    <w:rsid w:val="00C160DE"/>
  </w:style>
  <w:style w:type="character" w:customStyle="1" w:styleId="HeaderChar">
    <w:name w:val="Header Char"/>
    <w:basedOn w:val="DefaultParagraphFont"/>
    <w:link w:val="Header"/>
    <w:uiPriority w:val="98"/>
    <w:rsid w:val="00C160DE"/>
    <w:rPr>
      <w:rFonts w:ascii="Arial" w:eastAsia="Times New Roman" w:hAnsi="Arial" w:cs="Arial"/>
      <w:sz w:val="18"/>
      <w:szCs w:val="18"/>
    </w:rPr>
  </w:style>
  <w:style w:type="paragraph" w:styleId="Footer">
    <w:name w:val="footer"/>
    <w:basedOn w:val="DHHSfooter"/>
    <w:link w:val="FooterChar"/>
    <w:uiPriority w:val="98"/>
    <w:rsid w:val="00C160DE"/>
  </w:style>
  <w:style w:type="character" w:customStyle="1" w:styleId="FooterChar">
    <w:name w:val="Footer Char"/>
    <w:basedOn w:val="DefaultParagraphFont"/>
    <w:link w:val="Footer"/>
    <w:uiPriority w:val="98"/>
    <w:rsid w:val="00C160DE"/>
    <w:rPr>
      <w:rFonts w:ascii="Arial" w:eastAsia="Times New Roman" w:hAnsi="Arial" w:cs="Arial"/>
      <w:sz w:val="18"/>
      <w:szCs w:val="18"/>
    </w:rPr>
  </w:style>
  <w:style w:type="character" w:styleId="FollowedHyperlink">
    <w:name w:val="FollowedHyperlink"/>
    <w:uiPriority w:val="99"/>
    <w:rsid w:val="00C160DE"/>
    <w:rPr>
      <w:color w:val="6633CC"/>
      <w:u w:val="dotted"/>
    </w:rPr>
  </w:style>
  <w:style w:type="paragraph" w:customStyle="1" w:styleId="DHHStabletext6pt">
    <w:name w:val="DHHS table text + 6pt"/>
    <w:basedOn w:val="DHHStabletext"/>
    <w:rsid w:val="00C160DE"/>
    <w:pPr>
      <w:spacing w:after="120"/>
    </w:pPr>
  </w:style>
  <w:style w:type="paragraph" w:styleId="Subtitle">
    <w:name w:val="Subtitle"/>
    <w:basedOn w:val="Normal"/>
    <w:next w:val="Normal"/>
    <w:link w:val="SubtitleChar"/>
    <w:uiPriority w:val="11"/>
    <w:qFormat/>
    <w:rsid w:val="00C160DE"/>
    <w:pPr>
      <w:spacing w:after="60"/>
      <w:jc w:val="center"/>
    </w:pPr>
    <w:rPr>
      <w:rFonts w:ascii="Calibri Light" w:hAnsi="Calibri Light"/>
      <w:sz w:val="24"/>
      <w:szCs w:val="24"/>
    </w:rPr>
  </w:style>
  <w:style w:type="character" w:customStyle="1" w:styleId="SubtitleChar">
    <w:name w:val="Subtitle Char"/>
    <w:link w:val="Subtitle"/>
    <w:uiPriority w:val="11"/>
    <w:rsid w:val="00C160DE"/>
    <w:rPr>
      <w:rFonts w:ascii="Calibri Light" w:eastAsia="Times New Roman" w:hAnsi="Calibri Light" w:cs="Times New Roman"/>
      <w:sz w:val="24"/>
      <w:szCs w:val="24"/>
    </w:rPr>
  </w:style>
  <w:style w:type="paragraph" w:styleId="EndnoteText">
    <w:name w:val="endnote text"/>
    <w:basedOn w:val="Normal"/>
    <w:link w:val="EndnoteTextChar"/>
    <w:semiHidden/>
    <w:rsid w:val="00C160DE"/>
    <w:rPr>
      <w:sz w:val="24"/>
      <w:szCs w:val="24"/>
    </w:rPr>
  </w:style>
  <w:style w:type="character" w:customStyle="1" w:styleId="EndnoteTextChar">
    <w:name w:val="Endnote Text Char"/>
    <w:basedOn w:val="DefaultParagraphFont"/>
    <w:link w:val="EndnoteText"/>
    <w:semiHidden/>
    <w:rsid w:val="00C160DE"/>
    <w:rPr>
      <w:rFonts w:ascii="Cambria" w:eastAsia="Times New Roman" w:hAnsi="Cambria" w:cs="Times New Roman"/>
      <w:sz w:val="24"/>
      <w:szCs w:val="24"/>
    </w:rPr>
  </w:style>
  <w:style w:type="character" w:styleId="EndnoteReference">
    <w:name w:val="endnote reference"/>
    <w:semiHidden/>
    <w:rsid w:val="00C160DE"/>
    <w:rPr>
      <w:rFonts w:ascii="Arial" w:hAnsi="Arial"/>
      <w:sz w:val="20"/>
      <w:vertAlign w:val="superscript"/>
    </w:rPr>
  </w:style>
  <w:style w:type="table" w:styleId="TableGrid">
    <w:name w:val="Table Grid"/>
    <w:basedOn w:val="TableNormal"/>
    <w:uiPriority w:val="59"/>
    <w:rsid w:val="00C160DE"/>
    <w:pPr>
      <w:spacing w:after="0" w:line="240" w:lineRule="auto"/>
    </w:pPr>
    <w:rPr>
      <w:rFonts w:ascii="Arial" w:eastAsia="Times New Roman" w:hAnsi="Arial"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C160DE"/>
  </w:style>
  <w:style w:type="paragraph" w:customStyle="1" w:styleId="DHHSreportsubtitle">
    <w:name w:val="DHHS report subtitle"/>
    <w:basedOn w:val="Normal"/>
    <w:uiPriority w:val="4"/>
    <w:rsid w:val="00C160DE"/>
    <w:pPr>
      <w:spacing w:after="120" w:line="380" w:lineRule="atLeast"/>
    </w:pPr>
    <w:rPr>
      <w:rFonts w:ascii="Arial" w:hAnsi="Arial"/>
      <w:color w:val="000000"/>
      <w:sz w:val="30"/>
      <w:szCs w:val="30"/>
    </w:rPr>
  </w:style>
  <w:style w:type="character" w:styleId="FootnoteReference">
    <w:name w:val="footnote reference"/>
    <w:uiPriority w:val="8"/>
    <w:rsid w:val="00C160DE"/>
    <w:rPr>
      <w:vertAlign w:val="superscript"/>
    </w:rPr>
  </w:style>
  <w:style w:type="paragraph" w:customStyle="1" w:styleId="DHHSreportmaintitle">
    <w:name w:val="DHHS report main title"/>
    <w:uiPriority w:val="4"/>
    <w:rsid w:val="00C160DE"/>
    <w:pPr>
      <w:keepLines/>
      <w:spacing w:after="240" w:line="580" w:lineRule="atLeast"/>
    </w:pPr>
    <w:rPr>
      <w:rFonts w:ascii="Arial" w:eastAsia="Times New Roman" w:hAnsi="Arial" w:cs="Times New Roman"/>
      <w:color w:val="004EA8"/>
      <w:sz w:val="50"/>
      <w:szCs w:val="24"/>
    </w:rPr>
  </w:style>
  <w:style w:type="paragraph" w:styleId="FootnoteText">
    <w:name w:val="footnote text"/>
    <w:basedOn w:val="Normal"/>
    <w:link w:val="FootnoteTextChar"/>
    <w:uiPriority w:val="8"/>
    <w:rsid w:val="00C160DE"/>
    <w:pPr>
      <w:spacing w:before="60" w:after="60" w:line="200" w:lineRule="atLeast"/>
    </w:pPr>
    <w:rPr>
      <w:rFonts w:ascii="Arial" w:eastAsia="MS Gothic" w:hAnsi="Arial" w:cs="Arial"/>
      <w:sz w:val="16"/>
      <w:szCs w:val="16"/>
    </w:rPr>
  </w:style>
  <w:style w:type="character" w:customStyle="1" w:styleId="FootnoteTextChar">
    <w:name w:val="Footnote Text Char"/>
    <w:basedOn w:val="DefaultParagraphFont"/>
    <w:link w:val="FootnoteText"/>
    <w:uiPriority w:val="8"/>
    <w:rsid w:val="00C160DE"/>
    <w:rPr>
      <w:rFonts w:ascii="Arial" w:eastAsia="MS Gothic" w:hAnsi="Arial" w:cs="Arial"/>
      <w:sz w:val="16"/>
      <w:szCs w:val="16"/>
    </w:rPr>
  </w:style>
  <w:style w:type="paragraph" w:styleId="TOC1">
    <w:name w:val="toc 1"/>
    <w:basedOn w:val="Normal"/>
    <w:next w:val="Normal"/>
    <w:uiPriority w:val="39"/>
    <w:rsid w:val="00C160DE"/>
    <w:pPr>
      <w:keepNext/>
      <w:keepLines/>
      <w:tabs>
        <w:tab w:val="right" w:leader="dot" w:pos="9299"/>
      </w:tabs>
      <w:spacing w:before="160" w:after="60" w:line="270" w:lineRule="atLeast"/>
      <w:ind w:right="680"/>
    </w:pPr>
    <w:rPr>
      <w:rFonts w:ascii="Arial" w:hAnsi="Arial"/>
      <w:b/>
      <w:noProof/>
      <w:color w:val="004EA8"/>
    </w:rPr>
  </w:style>
  <w:style w:type="paragraph" w:styleId="TOC2">
    <w:name w:val="toc 2"/>
    <w:basedOn w:val="Normal"/>
    <w:next w:val="Normal"/>
    <w:uiPriority w:val="39"/>
    <w:rsid w:val="00C160DE"/>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C160DE"/>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C160DE"/>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C160DE"/>
    <w:pPr>
      <w:ind w:left="800"/>
    </w:pPr>
  </w:style>
  <w:style w:type="paragraph" w:styleId="TOC6">
    <w:name w:val="toc 6"/>
    <w:basedOn w:val="Normal"/>
    <w:next w:val="Normal"/>
    <w:autoRedefine/>
    <w:semiHidden/>
    <w:rsid w:val="00C160DE"/>
    <w:pPr>
      <w:ind w:left="1000"/>
    </w:pPr>
  </w:style>
  <w:style w:type="paragraph" w:styleId="TOC7">
    <w:name w:val="toc 7"/>
    <w:basedOn w:val="Normal"/>
    <w:next w:val="Normal"/>
    <w:autoRedefine/>
    <w:semiHidden/>
    <w:rsid w:val="00C160DE"/>
    <w:pPr>
      <w:ind w:left="1200"/>
    </w:pPr>
  </w:style>
  <w:style w:type="paragraph" w:styleId="TOC8">
    <w:name w:val="toc 8"/>
    <w:basedOn w:val="Normal"/>
    <w:next w:val="Normal"/>
    <w:autoRedefine/>
    <w:semiHidden/>
    <w:rsid w:val="00C160DE"/>
    <w:pPr>
      <w:ind w:left="1400"/>
    </w:pPr>
  </w:style>
  <w:style w:type="paragraph" w:styleId="TOC9">
    <w:name w:val="toc 9"/>
    <w:basedOn w:val="Normal"/>
    <w:next w:val="Normal"/>
    <w:autoRedefine/>
    <w:semiHidden/>
    <w:rsid w:val="00C160DE"/>
    <w:pPr>
      <w:ind w:left="1600"/>
    </w:pPr>
  </w:style>
  <w:style w:type="paragraph" w:customStyle="1" w:styleId="DHHSreportmaintitlewhite">
    <w:name w:val="DHHS report main title white"/>
    <w:uiPriority w:val="4"/>
    <w:rsid w:val="00C160DE"/>
    <w:pPr>
      <w:keepLines/>
      <w:spacing w:after="240" w:line="580" w:lineRule="atLeast"/>
    </w:pPr>
    <w:rPr>
      <w:rFonts w:ascii="Arial" w:eastAsia="Times New Roman" w:hAnsi="Arial" w:cs="Times New Roman"/>
      <w:bCs/>
      <w:color w:val="FFFFFF"/>
      <w:sz w:val="50"/>
      <w:szCs w:val="50"/>
    </w:rPr>
  </w:style>
  <w:style w:type="paragraph" w:customStyle="1" w:styleId="DHHSreportsubtitlewhite">
    <w:name w:val="DHHS report subtitle white"/>
    <w:uiPriority w:val="4"/>
    <w:rsid w:val="00C160DE"/>
    <w:pPr>
      <w:spacing w:after="120" w:line="380" w:lineRule="atLeast"/>
    </w:pPr>
    <w:rPr>
      <w:rFonts w:ascii="Arial" w:eastAsia="Times New Roman" w:hAnsi="Arial" w:cs="Times New Roman"/>
      <w:bCs/>
      <w:color w:val="FFFFFF"/>
      <w:sz w:val="30"/>
      <w:szCs w:val="30"/>
    </w:rPr>
  </w:style>
  <w:style w:type="paragraph" w:customStyle="1" w:styleId="Coverinstructions">
    <w:name w:val="Cover instructions"/>
    <w:rsid w:val="00C160DE"/>
    <w:pPr>
      <w:spacing w:after="200" w:line="320" w:lineRule="atLeast"/>
    </w:pPr>
    <w:rPr>
      <w:rFonts w:ascii="Arial" w:eastAsia="Times New Roman" w:hAnsi="Arial" w:cs="Times New Roman"/>
      <w:color w:val="FFFFFF"/>
      <w:sz w:val="24"/>
      <w:szCs w:val="20"/>
    </w:rPr>
  </w:style>
  <w:style w:type="paragraph" w:styleId="DocumentMap">
    <w:name w:val="Document Map"/>
    <w:basedOn w:val="Normal"/>
    <w:link w:val="DocumentMapChar"/>
    <w:uiPriority w:val="99"/>
    <w:semiHidden/>
    <w:unhideWhenUsed/>
    <w:rsid w:val="00C160DE"/>
    <w:rPr>
      <w:rFonts w:ascii="Lucida Grande" w:hAnsi="Lucida Grande" w:cs="Lucida Grande"/>
      <w:sz w:val="24"/>
      <w:szCs w:val="24"/>
    </w:rPr>
  </w:style>
  <w:style w:type="character" w:customStyle="1" w:styleId="DocumentMapChar">
    <w:name w:val="Document Map Char"/>
    <w:link w:val="DocumentMap"/>
    <w:uiPriority w:val="99"/>
    <w:semiHidden/>
    <w:rsid w:val="00C160DE"/>
    <w:rPr>
      <w:rFonts w:ascii="Lucida Grande" w:eastAsia="Times New Roman" w:hAnsi="Lucida Grande" w:cs="Lucida Grande"/>
      <w:sz w:val="24"/>
      <w:szCs w:val="24"/>
    </w:rPr>
  </w:style>
  <w:style w:type="character" w:styleId="Hyperlink">
    <w:name w:val="Hyperlink"/>
    <w:uiPriority w:val="99"/>
    <w:rsid w:val="00C160DE"/>
    <w:rPr>
      <w:color w:val="3366FF"/>
      <w:u w:val="dotted"/>
    </w:rPr>
  </w:style>
  <w:style w:type="paragraph" w:customStyle="1" w:styleId="DHHSbody">
    <w:name w:val="DHHS body"/>
    <w:qFormat/>
    <w:rsid w:val="00C160DE"/>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C160DE"/>
    <w:pPr>
      <w:numPr>
        <w:numId w:val="2"/>
      </w:numPr>
      <w:spacing w:after="40"/>
    </w:pPr>
  </w:style>
  <w:style w:type="paragraph" w:customStyle="1" w:styleId="DHHSnumberloweralpha">
    <w:name w:val="DHHS number lower alpha"/>
    <w:basedOn w:val="DHHSbody"/>
    <w:uiPriority w:val="3"/>
    <w:rsid w:val="00C160DE"/>
    <w:pPr>
      <w:tabs>
        <w:tab w:val="num" w:pos="397"/>
      </w:tabs>
      <w:ind w:left="397" w:hanging="397"/>
    </w:pPr>
  </w:style>
  <w:style w:type="paragraph" w:customStyle="1" w:styleId="DHHSnumberloweralphaindent">
    <w:name w:val="DHHS number lower alpha indent"/>
    <w:basedOn w:val="DHHSbody"/>
    <w:uiPriority w:val="3"/>
    <w:rsid w:val="00C160DE"/>
    <w:pPr>
      <w:tabs>
        <w:tab w:val="num" w:pos="794"/>
      </w:tabs>
      <w:ind w:left="794" w:hanging="397"/>
    </w:pPr>
  </w:style>
  <w:style w:type="paragraph" w:customStyle="1" w:styleId="DHHStablefigurenote">
    <w:name w:val="DHHS table/figure note"/>
    <w:uiPriority w:val="4"/>
    <w:rsid w:val="00C160DE"/>
    <w:pPr>
      <w:spacing w:before="60" w:after="60" w:line="240" w:lineRule="exact"/>
    </w:pPr>
    <w:rPr>
      <w:rFonts w:ascii="Arial" w:eastAsia="Times New Roman" w:hAnsi="Arial" w:cs="Times New Roman"/>
      <w:i/>
      <w:sz w:val="18"/>
      <w:szCs w:val="20"/>
    </w:rPr>
  </w:style>
  <w:style w:type="paragraph" w:customStyle="1" w:styleId="DHHStabletext">
    <w:name w:val="DHHS table text"/>
    <w:uiPriority w:val="3"/>
    <w:qFormat/>
    <w:rsid w:val="00C160DE"/>
    <w:pPr>
      <w:spacing w:before="80" w:after="60" w:line="240" w:lineRule="auto"/>
    </w:pPr>
    <w:rPr>
      <w:rFonts w:ascii="Arial" w:eastAsia="Times New Roman" w:hAnsi="Arial" w:cs="Times New Roman"/>
      <w:sz w:val="20"/>
      <w:szCs w:val="20"/>
    </w:rPr>
  </w:style>
  <w:style w:type="paragraph" w:customStyle="1" w:styleId="DHHStablecaption">
    <w:name w:val="DHHS table caption"/>
    <w:next w:val="DHHSbody"/>
    <w:uiPriority w:val="3"/>
    <w:qFormat/>
    <w:rsid w:val="00C160DE"/>
    <w:pPr>
      <w:keepNext/>
      <w:keepLines/>
      <w:spacing w:before="240" w:after="120" w:line="240" w:lineRule="atLeast"/>
    </w:pPr>
    <w:rPr>
      <w:rFonts w:ascii="Arial" w:eastAsia="Times New Roman" w:hAnsi="Arial" w:cs="Times New Roman"/>
      <w:b/>
      <w:sz w:val="20"/>
      <w:szCs w:val="20"/>
    </w:rPr>
  </w:style>
  <w:style w:type="paragraph" w:customStyle="1" w:styleId="DHHSfigurecaption">
    <w:name w:val="DHHS figure caption"/>
    <w:next w:val="DHHSbody"/>
    <w:rsid w:val="00C160DE"/>
    <w:pPr>
      <w:keepNext/>
      <w:keepLines/>
      <w:spacing w:before="240" w:after="120" w:line="240" w:lineRule="auto"/>
    </w:pPr>
    <w:rPr>
      <w:rFonts w:ascii="Arial" w:eastAsia="Times New Roman" w:hAnsi="Arial" w:cs="Times New Roman"/>
      <w:b/>
      <w:sz w:val="20"/>
      <w:szCs w:val="20"/>
    </w:rPr>
  </w:style>
  <w:style w:type="paragraph" w:customStyle="1" w:styleId="DHHSfooter">
    <w:name w:val="DHHS footer"/>
    <w:uiPriority w:val="11"/>
    <w:rsid w:val="00C160DE"/>
    <w:pPr>
      <w:tabs>
        <w:tab w:val="right" w:pos="9299"/>
      </w:tabs>
      <w:spacing w:after="0" w:line="240" w:lineRule="auto"/>
    </w:pPr>
    <w:rPr>
      <w:rFonts w:ascii="Arial" w:eastAsia="Times New Roman" w:hAnsi="Arial" w:cs="Arial"/>
      <w:sz w:val="18"/>
      <w:szCs w:val="18"/>
    </w:rPr>
  </w:style>
  <w:style w:type="paragraph" w:customStyle="1" w:styleId="DHHSbullet2">
    <w:name w:val="DHHS bullet 2"/>
    <w:basedOn w:val="DHHSbody"/>
    <w:uiPriority w:val="2"/>
    <w:qFormat/>
    <w:rsid w:val="00C160DE"/>
    <w:pPr>
      <w:numPr>
        <w:ilvl w:val="2"/>
        <w:numId w:val="2"/>
      </w:numPr>
      <w:spacing w:after="40"/>
    </w:pPr>
  </w:style>
  <w:style w:type="paragraph" w:customStyle="1" w:styleId="DHHSheader">
    <w:name w:val="DHHS header"/>
    <w:basedOn w:val="DHHSfooter"/>
    <w:uiPriority w:val="11"/>
    <w:rsid w:val="00C160DE"/>
  </w:style>
  <w:style w:type="character" w:styleId="Strong">
    <w:name w:val="Strong"/>
    <w:uiPriority w:val="22"/>
    <w:qFormat/>
    <w:rsid w:val="00C160DE"/>
    <w:rPr>
      <w:b/>
      <w:bCs/>
    </w:rPr>
  </w:style>
  <w:style w:type="paragraph" w:customStyle="1" w:styleId="DHHSnumberdigit">
    <w:name w:val="DHHS number digit"/>
    <w:basedOn w:val="DHHSbody"/>
    <w:uiPriority w:val="2"/>
    <w:rsid w:val="00C160DE"/>
    <w:pPr>
      <w:tabs>
        <w:tab w:val="num" w:pos="397"/>
      </w:tabs>
      <w:ind w:left="397" w:hanging="397"/>
    </w:pPr>
  </w:style>
  <w:style w:type="paragraph" w:customStyle="1" w:styleId="DHHStablecolhead">
    <w:name w:val="DHHS table col head"/>
    <w:uiPriority w:val="3"/>
    <w:qFormat/>
    <w:rsid w:val="00C160DE"/>
    <w:pPr>
      <w:spacing w:before="80" w:after="60" w:line="240" w:lineRule="auto"/>
    </w:pPr>
    <w:rPr>
      <w:rFonts w:ascii="Arial" w:eastAsia="Times New Roman" w:hAnsi="Arial" w:cs="Times New Roman"/>
      <w:b/>
      <w:color w:val="004EA8"/>
      <w:sz w:val="20"/>
      <w:szCs w:val="20"/>
    </w:rPr>
  </w:style>
  <w:style w:type="paragraph" w:customStyle="1" w:styleId="DHHSbodyaftertablefigure">
    <w:name w:val="DHHS body after table/figure"/>
    <w:basedOn w:val="DHHSbody"/>
    <w:next w:val="DHHSbody"/>
    <w:rsid w:val="00C160DE"/>
    <w:pPr>
      <w:spacing w:before="240"/>
    </w:pPr>
  </w:style>
  <w:style w:type="paragraph" w:customStyle="1" w:styleId="DHHSbullet1lastline">
    <w:name w:val="DHHS bullet 1 last line"/>
    <w:basedOn w:val="DHHSbullet1"/>
    <w:qFormat/>
    <w:rsid w:val="00C160DE"/>
    <w:pPr>
      <w:numPr>
        <w:ilvl w:val="1"/>
      </w:numPr>
      <w:spacing w:after="120"/>
      <w:ind w:left="284"/>
    </w:pPr>
  </w:style>
  <w:style w:type="paragraph" w:customStyle="1" w:styleId="DHHSbullet2lastline">
    <w:name w:val="DHHS bullet 2 last line"/>
    <w:basedOn w:val="DHHSbullet2"/>
    <w:uiPriority w:val="2"/>
    <w:qFormat/>
    <w:rsid w:val="00C160DE"/>
    <w:pPr>
      <w:numPr>
        <w:ilvl w:val="3"/>
      </w:numPr>
      <w:spacing w:after="120"/>
    </w:pPr>
  </w:style>
  <w:style w:type="paragraph" w:customStyle="1" w:styleId="DHHStablebullet">
    <w:name w:val="DHHS table bullet"/>
    <w:basedOn w:val="DHHStabletext"/>
    <w:uiPriority w:val="3"/>
    <w:qFormat/>
    <w:rsid w:val="00C160DE"/>
    <w:pPr>
      <w:numPr>
        <w:ilvl w:val="6"/>
        <w:numId w:val="2"/>
      </w:numPr>
    </w:pPr>
  </w:style>
  <w:style w:type="paragraph" w:customStyle="1" w:styleId="DHHSTOCheadingreport">
    <w:name w:val="DHHS TOC heading report"/>
    <w:basedOn w:val="Heading1"/>
    <w:link w:val="DHHSTOCheadingreportChar"/>
    <w:uiPriority w:val="5"/>
    <w:rsid w:val="00C160DE"/>
    <w:pPr>
      <w:spacing w:before="0"/>
      <w:outlineLvl w:val="9"/>
    </w:pPr>
  </w:style>
  <w:style w:type="character" w:customStyle="1" w:styleId="DHHSTOCheadingreportChar">
    <w:name w:val="DHHS TOC heading report Char"/>
    <w:link w:val="DHHSTOCheadingreport"/>
    <w:uiPriority w:val="5"/>
    <w:rsid w:val="00C160DE"/>
    <w:rPr>
      <w:rFonts w:ascii="Arial" w:eastAsia="Times New Roman" w:hAnsi="Arial" w:cs="Times New Roman"/>
      <w:bCs/>
      <w:color w:val="004EA8"/>
      <w:sz w:val="44"/>
      <w:szCs w:val="44"/>
    </w:rPr>
  </w:style>
  <w:style w:type="paragraph" w:customStyle="1" w:styleId="DHHSaccessibilitypara">
    <w:name w:val="DHHS accessibility para"/>
    <w:uiPriority w:val="8"/>
    <w:rsid w:val="00C160DE"/>
    <w:pPr>
      <w:spacing w:after="300" w:line="300" w:lineRule="atLeast"/>
    </w:pPr>
    <w:rPr>
      <w:rFonts w:ascii="Arial" w:eastAsia="Times" w:hAnsi="Arial" w:cs="Times New Roman"/>
      <w:sz w:val="24"/>
      <w:szCs w:val="19"/>
    </w:rPr>
  </w:style>
  <w:style w:type="paragraph" w:customStyle="1" w:styleId="DHHSbodynospace">
    <w:name w:val="DHHS body no space"/>
    <w:basedOn w:val="DHHSbody"/>
    <w:uiPriority w:val="3"/>
    <w:qFormat/>
    <w:rsid w:val="00C160DE"/>
    <w:pPr>
      <w:spacing w:after="0"/>
    </w:pPr>
  </w:style>
  <w:style w:type="paragraph" w:customStyle="1" w:styleId="DHHSquote">
    <w:name w:val="DHHS quote"/>
    <w:basedOn w:val="DHHSbody"/>
    <w:uiPriority w:val="4"/>
    <w:rsid w:val="00C160DE"/>
    <w:pPr>
      <w:ind w:left="397"/>
    </w:pPr>
    <w:rPr>
      <w:szCs w:val="18"/>
    </w:rPr>
  </w:style>
  <w:style w:type="numbering" w:customStyle="1" w:styleId="ZZBullets">
    <w:name w:val="ZZ Bullets"/>
    <w:rsid w:val="00C160DE"/>
    <w:pPr>
      <w:numPr>
        <w:numId w:val="2"/>
      </w:numPr>
    </w:pPr>
  </w:style>
  <w:style w:type="paragraph" w:customStyle="1" w:styleId="DHHSbulletindent">
    <w:name w:val="DHHS bullet indent"/>
    <w:basedOn w:val="DHHSbody"/>
    <w:uiPriority w:val="4"/>
    <w:rsid w:val="00C160DE"/>
    <w:pPr>
      <w:numPr>
        <w:ilvl w:val="4"/>
        <w:numId w:val="2"/>
      </w:numPr>
      <w:spacing w:after="40"/>
    </w:pPr>
  </w:style>
  <w:style w:type="paragraph" w:customStyle="1" w:styleId="DHHSbulletindentlastline">
    <w:name w:val="DHHS bullet indent last line"/>
    <w:basedOn w:val="DHHSbody"/>
    <w:uiPriority w:val="4"/>
    <w:rsid w:val="00C160DE"/>
    <w:pPr>
      <w:numPr>
        <w:ilvl w:val="5"/>
        <w:numId w:val="2"/>
      </w:numPr>
    </w:pPr>
  </w:style>
  <w:style w:type="numbering" w:customStyle="1" w:styleId="ZZNumbers">
    <w:name w:val="ZZ Numbers"/>
    <w:rsid w:val="00C160DE"/>
    <w:pPr>
      <w:numPr>
        <w:numId w:val="3"/>
      </w:numPr>
    </w:pPr>
  </w:style>
  <w:style w:type="paragraph" w:customStyle="1" w:styleId="DHHSnumberlowerroman">
    <w:name w:val="DHHS number lower roman"/>
    <w:basedOn w:val="DHHSbody"/>
    <w:uiPriority w:val="3"/>
    <w:rsid w:val="00C160DE"/>
    <w:pPr>
      <w:tabs>
        <w:tab w:val="num" w:pos="397"/>
      </w:tabs>
      <w:ind w:left="397" w:hanging="397"/>
    </w:pPr>
  </w:style>
  <w:style w:type="paragraph" w:customStyle="1" w:styleId="DHHSnumberlowerromanindent">
    <w:name w:val="DHHS number lower roman indent"/>
    <w:basedOn w:val="DHHSbody"/>
    <w:uiPriority w:val="3"/>
    <w:rsid w:val="00C160DE"/>
    <w:pPr>
      <w:tabs>
        <w:tab w:val="num" w:pos="794"/>
      </w:tabs>
      <w:ind w:left="794" w:hanging="397"/>
    </w:pPr>
  </w:style>
  <w:style w:type="paragraph" w:customStyle="1" w:styleId="DHHSnumberdigitindent">
    <w:name w:val="DHHS number digit indent"/>
    <w:basedOn w:val="DHHSnumberloweralphaindent"/>
    <w:uiPriority w:val="3"/>
    <w:rsid w:val="00C160DE"/>
  </w:style>
  <w:style w:type="paragraph" w:styleId="Title">
    <w:name w:val="Title"/>
    <w:basedOn w:val="Normal"/>
    <w:next w:val="Normal"/>
    <w:link w:val="TitleChar"/>
    <w:uiPriority w:val="10"/>
    <w:qFormat/>
    <w:rsid w:val="00C160DE"/>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C160DE"/>
    <w:rPr>
      <w:rFonts w:ascii="Calibri Light" w:eastAsia="Times New Roman" w:hAnsi="Calibri Light" w:cs="Times New Roman"/>
      <w:b/>
      <w:bCs/>
      <w:kern w:val="28"/>
      <w:sz w:val="32"/>
      <w:szCs w:val="32"/>
    </w:rPr>
  </w:style>
  <w:style w:type="paragraph" w:styleId="BalloonText">
    <w:name w:val="Balloon Text"/>
    <w:basedOn w:val="Normal"/>
    <w:link w:val="BalloonTextChar"/>
    <w:uiPriority w:val="99"/>
    <w:semiHidden/>
    <w:unhideWhenUsed/>
    <w:rsid w:val="00C160DE"/>
    <w:rPr>
      <w:rFonts w:ascii="Tahoma" w:hAnsi="Tahoma" w:cs="Tahoma"/>
      <w:sz w:val="16"/>
      <w:szCs w:val="16"/>
    </w:rPr>
  </w:style>
  <w:style w:type="character" w:customStyle="1" w:styleId="BalloonTextChar">
    <w:name w:val="Balloon Text Char"/>
    <w:basedOn w:val="DefaultParagraphFont"/>
    <w:link w:val="BalloonText"/>
    <w:uiPriority w:val="99"/>
    <w:semiHidden/>
    <w:rsid w:val="00C160DE"/>
    <w:rPr>
      <w:rFonts w:ascii="Tahoma" w:eastAsia="Times New Roman" w:hAnsi="Tahoma" w:cs="Tahoma"/>
      <w:sz w:val="16"/>
      <w:szCs w:val="16"/>
    </w:rPr>
  </w:style>
  <w:style w:type="paragraph" w:styleId="ListParagraph">
    <w:name w:val="List Paragraph"/>
    <w:basedOn w:val="Normal"/>
    <w:uiPriority w:val="34"/>
    <w:qFormat/>
    <w:rsid w:val="00C160DE"/>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C160DE"/>
    <w:rPr>
      <w:sz w:val="16"/>
      <w:szCs w:val="16"/>
    </w:rPr>
  </w:style>
  <w:style w:type="paragraph" w:styleId="CommentText">
    <w:name w:val="annotation text"/>
    <w:basedOn w:val="Normal"/>
    <w:link w:val="CommentTextChar"/>
    <w:uiPriority w:val="99"/>
    <w:semiHidden/>
    <w:unhideWhenUsed/>
    <w:rsid w:val="00C160DE"/>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C160DE"/>
    <w:rPr>
      <w:sz w:val="20"/>
      <w:szCs w:val="20"/>
    </w:rPr>
  </w:style>
  <w:style w:type="paragraph" w:customStyle="1" w:styleId="EndNoteBibliography">
    <w:name w:val="EndNote Bibliography"/>
    <w:basedOn w:val="Normal"/>
    <w:link w:val="EndNoteBibliographyChar"/>
    <w:rsid w:val="00C160DE"/>
    <w:pPr>
      <w:spacing w:after="200"/>
    </w:pPr>
    <w:rPr>
      <w:rFonts w:ascii="Calibri" w:eastAsiaTheme="minorHAnsi" w:hAnsi="Calibri" w:cs="Calibri"/>
      <w:noProof/>
      <w:sz w:val="22"/>
      <w:szCs w:val="22"/>
      <w:lang w:val="en-US"/>
    </w:rPr>
  </w:style>
  <w:style w:type="character" w:customStyle="1" w:styleId="EndNoteBibliographyChar">
    <w:name w:val="EndNote Bibliography Char"/>
    <w:basedOn w:val="DefaultParagraphFont"/>
    <w:link w:val="EndNoteBibliography"/>
    <w:rsid w:val="00C160DE"/>
    <w:rPr>
      <w:rFonts w:ascii="Calibri" w:hAnsi="Calibri" w:cs="Calibri"/>
      <w:noProof/>
      <w:lang w:val="en-US"/>
    </w:rPr>
  </w:style>
  <w:style w:type="paragraph" w:styleId="CommentSubject">
    <w:name w:val="annotation subject"/>
    <w:basedOn w:val="CommentText"/>
    <w:next w:val="CommentText"/>
    <w:link w:val="CommentSubjectChar"/>
    <w:uiPriority w:val="99"/>
    <w:semiHidden/>
    <w:unhideWhenUsed/>
    <w:rsid w:val="00C160DE"/>
    <w:pPr>
      <w:spacing w:after="0"/>
    </w:pPr>
    <w:rPr>
      <w:rFonts w:ascii="Cambria" w:eastAsia="Times New Roman" w:hAnsi="Cambria" w:cs="Times New Roman"/>
      <w:b/>
      <w:bCs/>
    </w:rPr>
  </w:style>
  <w:style w:type="character" w:customStyle="1" w:styleId="CommentSubjectChar">
    <w:name w:val="Comment Subject Char"/>
    <w:basedOn w:val="CommentTextChar"/>
    <w:link w:val="CommentSubject"/>
    <w:uiPriority w:val="99"/>
    <w:semiHidden/>
    <w:rsid w:val="00C160DE"/>
    <w:rPr>
      <w:rFonts w:ascii="Cambria" w:eastAsia="Times New Roman" w:hAnsi="Cambria" w:cs="Times New Roman"/>
      <w:b/>
      <w:bCs/>
      <w:sz w:val="20"/>
      <w:szCs w:val="20"/>
    </w:rPr>
  </w:style>
  <w:style w:type="table" w:styleId="MediumGrid1-Accent1">
    <w:name w:val="Medium Grid 1 Accent 1"/>
    <w:basedOn w:val="TableNormal"/>
    <w:uiPriority w:val="62"/>
    <w:rsid w:val="00C160DE"/>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LightShading-Accent1">
    <w:name w:val="Light Shading Accent 1"/>
    <w:basedOn w:val="TableNormal"/>
    <w:uiPriority w:val="65"/>
    <w:rsid w:val="00C160DE"/>
    <w:pPr>
      <w:spacing w:after="0" w:line="240" w:lineRule="auto"/>
    </w:pPr>
    <w:rPr>
      <w:rFonts w:ascii="Times New Roman" w:eastAsia="Times New Roman" w:hAnsi="Times New Roman" w:cs="Times New Roman"/>
      <w:color w:val="2F5496" w:themeColor="accent1" w:themeShade="BF"/>
      <w:sz w:val="20"/>
      <w:szCs w:val="20"/>
      <w:lang w:eastAsia="en-AU"/>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Grid-Accent1">
    <w:name w:val="Light Grid Accent 1"/>
    <w:basedOn w:val="TableNormal"/>
    <w:uiPriority w:val="67"/>
    <w:rsid w:val="00C160DE"/>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health.vic.gov.au/public-health/infectious-diseases/infection-control-guidelines/carbapenemase-producing-enterobacteriaceae-management" TargetMode="External"/><Relationship Id="rId18" Type="http://schemas.openxmlformats.org/officeDocument/2006/relationships/image" Target="media/image2.e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2.health.vic.gov.au/public-health/infectious-diseases/infection-control-guidelines/carbapenemase-producing-enterobacteriaceae-management" TargetMode="External"/><Relationship Id="rId17" Type="http://schemas.openxmlformats.org/officeDocument/2006/relationships/hyperlink" Target="http://biomedicalsciences.unimelb.edu.au/departments/microbiology-Immunology/research/services/microbiological-diagnostic-unit-public-health-laborator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2.health.vic.gov.au/public-health/infectious-diseases/infection-control-guidelines/carbapenemase-producing-enterobacteriaceae-managemen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2.health.vic.gov.au/public-health/infectious-diseases/infection-control-guidelines/carbapenemase-producing-enterobacteriaceae-managemen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gesa.org.au/index.cfm/resources/clinical-guidelines-and-updates/endoscopy-infection-control/" TargetMode="External"/><Relationship Id="rId23" Type="http://schemas.openxmlformats.org/officeDocument/2006/relationships/footer" Target="footer2.xml"/><Relationship Id="rId10" Type="http://schemas.openxmlformats.org/officeDocument/2006/relationships/hyperlink" Target="https://www2.health.vic.gov.au/public-health/infectious-diseases/infection-control-guidelines/carbapenemase-producing-enterobacteriaceae-management"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infectious.diseases@dhhs.vic.gov.au" TargetMode="External"/><Relationship Id="rId14" Type="http://schemas.openxmlformats.org/officeDocument/2006/relationships/hyperlink" Target="https://www2.health.vic.gov.au/public-health/infectious-diseases/infection-control-guidelines/carbapenemase-producing-enterobacteriaceae-managemen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21</Pages>
  <Words>6097</Words>
  <Characters>34753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Renee Lane</dc:creator>
  <cp:lastModifiedBy>Donna Cameron</cp:lastModifiedBy>
  <cp:revision>8</cp:revision>
  <cp:lastPrinted>2018-04-06T04:24:00Z</cp:lastPrinted>
  <dcterms:created xsi:type="dcterms:W3CDTF">2018-04-06T06:32:00Z</dcterms:created>
  <dcterms:modified xsi:type="dcterms:W3CDTF">2018-05-02T06:00:00Z</dcterms:modified>
</cp:coreProperties>
</file>