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D2" w:rsidRPr="00631CD2" w:rsidRDefault="00631CD2" w:rsidP="00631CD2">
      <w:pPr>
        <w:spacing w:after="0" w:line="240" w:lineRule="auto"/>
        <w:jc w:val="both"/>
      </w:pPr>
      <w:r w:rsidRPr="00631CD2">
        <w:rPr>
          <w:b/>
        </w:rPr>
        <w:t>Issue number:</w:t>
      </w:r>
      <w:r>
        <w:rPr>
          <w:b/>
        </w:rPr>
        <w:t xml:space="preserve"> </w:t>
      </w:r>
      <w:r w:rsidRPr="00631CD2">
        <w:t>0</w:t>
      </w:r>
      <w:r w:rsidR="00485F6B">
        <w:t>6</w:t>
      </w:r>
      <w:r w:rsidRPr="00631CD2">
        <w:t>/2016</w:t>
      </w:r>
    </w:p>
    <w:p w:rsidR="00631CD2" w:rsidRPr="00631CD2" w:rsidRDefault="00631CD2" w:rsidP="00631CD2">
      <w:pPr>
        <w:spacing w:after="0" w:line="240" w:lineRule="auto"/>
        <w:jc w:val="both"/>
      </w:pPr>
      <w:r w:rsidRPr="00631CD2">
        <w:rPr>
          <w:b/>
        </w:rPr>
        <w:t>Date Issued:</w:t>
      </w:r>
      <w:r>
        <w:rPr>
          <w:b/>
        </w:rPr>
        <w:t xml:space="preserve"> </w:t>
      </w:r>
      <w:r>
        <w:t>23</w:t>
      </w:r>
      <w:r w:rsidRPr="00631CD2">
        <w:t xml:space="preserve"> Dec 2016</w:t>
      </w:r>
    </w:p>
    <w:p w:rsidR="00631CD2" w:rsidRPr="00631CD2" w:rsidRDefault="00631CD2" w:rsidP="00631CD2">
      <w:pPr>
        <w:spacing w:after="0" w:line="240" w:lineRule="auto"/>
        <w:jc w:val="both"/>
      </w:pPr>
      <w:r w:rsidRPr="00631CD2">
        <w:rPr>
          <w:b/>
        </w:rPr>
        <w:t>Issued to:</w:t>
      </w:r>
      <w:r>
        <w:rPr>
          <w:b/>
        </w:rPr>
        <w:t xml:space="preserve"> </w:t>
      </w:r>
      <w:r w:rsidRPr="00631CD2">
        <w:t>Public Hospitals and Health Services</w:t>
      </w:r>
    </w:p>
    <w:p w:rsidR="00440F08" w:rsidRPr="00631CD2" w:rsidRDefault="00631CD2" w:rsidP="00631CD2">
      <w:pPr>
        <w:spacing w:after="0" w:line="240" w:lineRule="auto"/>
        <w:jc w:val="both"/>
      </w:pPr>
      <w:r w:rsidRPr="00631CD2">
        <w:rPr>
          <w:b/>
        </w:rPr>
        <w:t>Purpose:</w:t>
      </w:r>
      <w:r>
        <w:rPr>
          <w:b/>
        </w:rPr>
        <w:t xml:space="preserve"> </w:t>
      </w:r>
      <w:r w:rsidRPr="00631CD2">
        <w:t xml:space="preserve">To advise </w:t>
      </w:r>
      <w:r w:rsidR="00E12DFD">
        <w:t xml:space="preserve">Public Hospitals and Health Services </w:t>
      </w:r>
      <w:r w:rsidRPr="00631CD2">
        <w:t xml:space="preserve">that from 1 January 2017 </w:t>
      </w:r>
      <w:r w:rsidR="00E12DFD">
        <w:t xml:space="preserve">Public Hospitals and Health Services </w:t>
      </w:r>
      <w:r w:rsidRPr="00631CD2">
        <w:t xml:space="preserve">must not report any new waiting episodes to the Elective Surgery Information System (ESIS) with Principal Prescribed Procedure code 509 - Plastics/Aesthetic (Cosmetic) Procedures (PPP 509).  </w:t>
      </w:r>
    </w:p>
    <w:p w:rsidR="00F41AB2" w:rsidRDefault="00F41AB2" w:rsidP="00FA722C">
      <w:pPr>
        <w:spacing w:after="0" w:line="240" w:lineRule="auto"/>
        <w:jc w:val="both"/>
        <w:rPr>
          <w:rFonts w:eastAsia="Times New Roman" w:cs="Times New Roman"/>
          <w:b/>
          <w:sz w:val="24"/>
          <w:szCs w:val="24"/>
          <w:lang w:eastAsia="en-AU"/>
        </w:rPr>
      </w:pPr>
    </w:p>
    <w:p w:rsidR="00373A30" w:rsidRPr="00FA722C" w:rsidRDefault="00373A30" w:rsidP="00FA722C">
      <w:pPr>
        <w:spacing w:after="0" w:line="240" w:lineRule="auto"/>
        <w:jc w:val="both"/>
        <w:rPr>
          <w:rFonts w:eastAsia="Times New Roman" w:cs="Times New Roman"/>
          <w:b/>
          <w:sz w:val="24"/>
          <w:szCs w:val="24"/>
          <w:lang w:eastAsia="en-AU"/>
        </w:rPr>
      </w:pPr>
      <w:r w:rsidRPr="00FA722C">
        <w:rPr>
          <w:rFonts w:eastAsia="Times New Roman" w:cs="Times New Roman"/>
          <w:b/>
          <w:sz w:val="24"/>
          <w:szCs w:val="24"/>
          <w:lang w:eastAsia="en-AU"/>
        </w:rPr>
        <w:t>Table 1</w:t>
      </w:r>
      <w:r w:rsidR="006A7EFC">
        <w:rPr>
          <w:rFonts w:eastAsia="Times New Roman" w:cs="Times New Roman"/>
          <w:b/>
          <w:sz w:val="24"/>
          <w:szCs w:val="24"/>
          <w:lang w:eastAsia="en-AU"/>
        </w:rPr>
        <w:t>:</w:t>
      </w:r>
      <w:r w:rsidRPr="00FA722C">
        <w:rPr>
          <w:rFonts w:eastAsia="Times New Roman" w:cs="Times New Roman"/>
          <w:b/>
          <w:sz w:val="24"/>
          <w:szCs w:val="24"/>
          <w:lang w:eastAsia="en-AU"/>
        </w:rPr>
        <w:t xml:space="preserve"> Elective Surgery Access policy and Aesthetic Guidelines Advice</w:t>
      </w:r>
    </w:p>
    <w:p w:rsidR="00373A30" w:rsidRPr="00FA722C" w:rsidRDefault="00373A30" w:rsidP="00FA722C">
      <w:pPr>
        <w:spacing w:after="0" w:line="240" w:lineRule="auto"/>
        <w:jc w:val="both"/>
        <w:rPr>
          <w:rFonts w:eastAsia="Times New Roman" w:cs="Times New Roman"/>
          <w:sz w:val="24"/>
          <w:szCs w:val="24"/>
          <w:lang w:eastAsia="en-AU"/>
        </w:rPr>
      </w:pPr>
    </w:p>
    <w:tbl>
      <w:tblPr>
        <w:tblStyle w:val="MediumShading2-Accent1"/>
        <w:tblW w:w="10491" w:type="dxa"/>
        <w:tblLook w:val="04A0" w:firstRow="1" w:lastRow="0" w:firstColumn="1" w:lastColumn="0" w:noHBand="0" w:noVBand="1"/>
      </w:tblPr>
      <w:tblGrid>
        <w:gridCol w:w="2518"/>
        <w:gridCol w:w="2161"/>
        <w:gridCol w:w="2551"/>
        <w:gridCol w:w="3261"/>
      </w:tblGrid>
      <w:tr w:rsidR="00373A30" w:rsidRPr="00FA722C" w:rsidTr="00EE1A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Pr>
          <w:p w:rsidR="00373A30" w:rsidRPr="00FA722C" w:rsidRDefault="00373A30" w:rsidP="00EE1A31">
            <w:pPr>
              <w:rPr>
                <w:b w:val="0"/>
                <w:sz w:val="24"/>
                <w:szCs w:val="24"/>
              </w:rPr>
            </w:pPr>
            <w:r w:rsidRPr="00FA722C">
              <w:rPr>
                <w:sz w:val="24"/>
                <w:szCs w:val="24"/>
              </w:rPr>
              <w:t>Elective Surgery Access Policy (ESAP) version</w:t>
            </w:r>
          </w:p>
        </w:tc>
        <w:tc>
          <w:tcPr>
            <w:tcW w:w="2161" w:type="dxa"/>
          </w:tcPr>
          <w:p w:rsidR="00373A30" w:rsidRPr="00FA722C" w:rsidRDefault="00373A30" w:rsidP="00EE1A31">
            <w:pPr>
              <w:cnfStyle w:val="100000000000" w:firstRow="1" w:lastRow="0" w:firstColumn="0" w:lastColumn="0" w:oddVBand="0" w:evenVBand="0" w:oddHBand="0" w:evenHBand="0" w:firstRowFirstColumn="0" w:firstRowLastColumn="0" w:lastRowFirstColumn="0" w:lastRowLastColumn="0"/>
              <w:rPr>
                <w:b w:val="0"/>
                <w:sz w:val="24"/>
                <w:szCs w:val="24"/>
              </w:rPr>
            </w:pPr>
            <w:r w:rsidRPr="00FA722C">
              <w:rPr>
                <w:sz w:val="24"/>
                <w:szCs w:val="24"/>
              </w:rPr>
              <w:t>Aesthetic guidelines</w:t>
            </w:r>
          </w:p>
        </w:tc>
        <w:tc>
          <w:tcPr>
            <w:tcW w:w="2551" w:type="dxa"/>
          </w:tcPr>
          <w:p w:rsidR="00373A30" w:rsidRPr="00FA722C" w:rsidRDefault="00373A30" w:rsidP="00EE1A31">
            <w:pPr>
              <w:cnfStyle w:val="100000000000" w:firstRow="1" w:lastRow="0" w:firstColumn="0" w:lastColumn="0" w:oddVBand="0" w:evenVBand="0" w:oddHBand="0" w:evenHBand="0" w:firstRowFirstColumn="0" w:firstRowLastColumn="0" w:lastRowFirstColumn="0" w:lastRowLastColumn="0"/>
              <w:rPr>
                <w:b w:val="0"/>
                <w:sz w:val="24"/>
                <w:szCs w:val="24"/>
              </w:rPr>
            </w:pPr>
            <w:r w:rsidRPr="00FA722C">
              <w:rPr>
                <w:sz w:val="24"/>
                <w:szCs w:val="24"/>
              </w:rPr>
              <w:t>Suggested threshold date</w:t>
            </w:r>
          </w:p>
        </w:tc>
        <w:tc>
          <w:tcPr>
            <w:tcW w:w="3261" w:type="dxa"/>
          </w:tcPr>
          <w:p w:rsidR="00373A30" w:rsidRPr="00FA722C" w:rsidRDefault="00373A30" w:rsidP="00EE1A31">
            <w:pPr>
              <w:cnfStyle w:val="100000000000" w:firstRow="1" w:lastRow="0" w:firstColumn="0" w:lastColumn="0" w:oddVBand="0" w:evenVBand="0" w:oddHBand="0" w:evenHBand="0" w:firstRowFirstColumn="0" w:firstRowLastColumn="0" w:lastRowFirstColumn="0" w:lastRowLastColumn="0"/>
              <w:rPr>
                <w:b w:val="0"/>
                <w:sz w:val="24"/>
                <w:szCs w:val="24"/>
              </w:rPr>
            </w:pPr>
            <w:r w:rsidRPr="00FA722C">
              <w:rPr>
                <w:sz w:val="24"/>
                <w:szCs w:val="24"/>
              </w:rPr>
              <w:t>Procedures</w:t>
            </w:r>
          </w:p>
        </w:tc>
      </w:tr>
      <w:tr w:rsidR="00373A30" w:rsidRPr="00FA722C" w:rsidTr="00EE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3A30" w:rsidRPr="00FA722C" w:rsidRDefault="00373A30" w:rsidP="00EE1A31">
            <w:pPr>
              <w:rPr>
                <w:sz w:val="24"/>
                <w:szCs w:val="24"/>
              </w:rPr>
            </w:pPr>
            <w:r w:rsidRPr="00FA722C">
              <w:rPr>
                <w:sz w:val="24"/>
                <w:szCs w:val="24"/>
              </w:rPr>
              <w:t>ESAP 2005</w:t>
            </w:r>
          </w:p>
          <w:p w:rsidR="00373A30" w:rsidRPr="00FA722C" w:rsidRDefault="00373A30" w:rsidP="00EE1A31">
            <w:pPr>
              <w:rPr>
                <w:sz w:val="24"/>
                <w:szCs w:val="24"/>
              </w:rPr>
            </w:pPr>
          </w:p>
        </w:tc>
        <w:tc>
          <w:tcPr>
            <w:tcW w:w="2161" w:type="dxa"/>
          </w:tcPr>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Separate guidelines released in April 2006 and published on department’s website, listing 9 procedures which should not be provided unless medically indicated.</w:t>
            </w:r>
          </w:p>
        </w:tc>
        <w:tc>
          <w:tcPr>
            <w:tcW w:w="2551" w:type="dxa"/>
          </w:tcPr>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 xml:space="preserve">Any </w:t>
            </w:r>
            <w:r w:rsidRPr="00FA722C">
              <w:rPr>
                <w:b/>
                <w:sz w:val="24"/>
                <w:szCs w:val="24"/>
              </w:rPr>
              <w:t xml:space="preserve">patients listed prior to 30 April 2006 </w:t>
            </w:r>
            <w:r w:rsidRPr="00FA722C">
              <w:rPr>
                <w:sz w:val="24"/>
                <w:szCs w:val="24"/>
              </w:rPr>
              <w:t>under PPP code 509 could be considered eligible for surgery regardless of the indication for the surgery.</w:t>
            </w:r>
          </w:p>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p>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 xml:space="preserve">Any patient listed between </w:t>
            </w:r>
            <w:bookmarkStart w:id="0" w:name="_GoBack"/>
            <w:bookmarkEnd w:id="0"/>
            <w:r w:rsidRPr="00FA722C">
              <w:rPr>
                <w:b/>
                <w:sz w:val="24"/>
                <w:szCs w:val="24"/>
              </w:rPr>
              <w:t xml:space="preserve">1 May 2006 and 30 September 2012 </w:t>
            </w:r>
            <w:r w:rsidRPr="00FA722C">
              <w:rPr>
                <w:sz w:val="24"/>
                <w:szCs w:val="24"/>
              </w:rPr>
              <w:t>under</w:t>
            </w:r>
            <w:r w:rsidRPr="00FA722C">
              <w:rPr>
                <w:b/>
                <w:sz w:val="24"/>
                <w:szCs w:val="24"/>
              </w:rPr>
              <w:t xml:space="preserve"> </w:t>
            </w:r>
            <w:r w:rsidRPr="00FA722C">
              <w:rPr>
                <w:sz w:val="24"/>
                <w:szCs w:val="24"/>
              </w:rPr>
              <w:t>PPP code 509 for one of the 9 procedures in the aesthetic guidelines must meet the medically indicated clause.</w:t>
            </w:r>
          </w:p>
        </w:tc>
        <w:tc>
          <w:tcPr>
            <w:tcW w:w="3261" w:type="dxa"/>
          </w:tcPr>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Reduction mammoplasty</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Augmentation mammoplasty</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Removal of breast prosthesis</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Mastoplexy</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Abdominoplasty</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Liposuction</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Blepharoplasty</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 xml:space="preserve">Meloplasty </w:t>
            </w:r>
          </w:p>
          <w:p w:rsidR="00373A30" w:rsidRPr="00FA722C" w:rsidRDefault="00373A30" w:rsidP="00EE1A3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Rhinoplasty</w:t>
            </w:r>
          </w:p>
        </w:tc>
      </w:tr>
      <w:tr w:rsidR="00373A30" w:rsidRPr="00FA722C" w:rsidTr="00EE1A31">
        <w:tc>
          <w:tcPr>
            <w:cnfStyle w:val="001000000000" w:firstRow="0" w:lastRow="0" w:firstColumn="1" w:lastColumn="0" w:oddVBand="0" w:evenVBand="0" w:oddHBand="0" w:evenHBand="0" w:firstRowFirstColumn="0" w:firstRowLastColumn="0" w:lastRowFirstColumn="0" w:lastRowLastColumn="0"/>
            <w:tcW w:w="2518" w:type="dxa"/>
          </w:tcPr>
          <w:p w:rsidR="00373A30" w:rsidRPr="00FA722C" w:rsidRDefault="00373A30" w:rsidP="00EE1A31">
            <w:pPr>
              <w:rPr>
                <w:sz w:val="24"/>
                <w:szCs w:val="24"/>
              </w:rPr>
            </w:pPr>
            <w:r w:rsidRPr="00FA722C">
              <w:rPr>
                <w:sz w:val="24"/>
                <w:szCs w:val="24"/>
              </w:rPr>
              <w:t>ESAP 2009 and 2015</w:t>
            </w:r>
          </w:p>
        </w:tc>
        <w:tc>
          <w:tcPr>
            <w:tcW w:w="2161" w:type="dxa"/>
          </w:tcPr>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Maintained same list of 9 procedures from April 2006, with addition of circumcision to the list.</w:t>
            </w:r>
          </w:p>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b/>
                <w:sz w:val="24"/>
                <w:szCs w:val="24"/>
              </w:rPr>
            </w:pPr>
            <w:r w:rsidRPr="00FA722C">
              <w:rPr>
                <w:b/>
                <w:sz w:val="24"/>
                <w:szCs w:val="24"/>
              </w:rPr>
              <w:t>Circular to the ESAP 2009</w:t>
            </w:r>
          </w:p>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released in July 2012 with updated list of 2</w:t>
            </w:r>
            <w:r w:rsidR="00C32AD6">
              <w:rPr>
                <w:sz w:val="24"/>
                <w:szCs w:val="24"/>
              </w:rPr>
              <w:t>5</w:t>
            </w:r>
            <w:r w:rsidRPr="00FA722C">
              <w:rPr>
                <w:sz w:val="24"/>
                <w:szCs w:val="24"/>
              </w:rPr>
              <w:t xml:space="preserve"> procedures (effective 1 October 2012)</w:t>
            </w:r>
          </w:p>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p>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 xml:space="preserve">List from circular </w:t>
            </w:r>
            <w:r w:rsidRPr="00FA722C">
              <w:rPr>
                <w:sz w:val="24"/>
                <w:szCs w:val="24"/>
              </w:rPr>
              <w:lastRenderedPageBreak/>
              <w:t>included as an Appendix in the ESAP 2015</w:t>
            </w:r>
          </w:p>
        </w:tc>
        <w:tc>
          <w:tcPr>
            <w:tcW w:w="2551" w:type="dxa"/>
          </w:tcPr>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lastRenderedPageBreak/>
              <w:t xml:space="preserve">Any patient listed from </w:t>
            </w:r>
            <w:r w:rsidRPr="00FA722C">
              <w:rPr>
                <w:b/>
                <w:sz w:val="24"/>
                <w:szCs w:val="24"/>
              </w:rPr>
              <w:t xml:space="preserve">1 October 2012 </w:t>
            </w:r>
            <w:r w:rsidRPr="00FA722C">
              <w:rPr>
                <w:sz w:val="24"/>
                <w:szCs w:val="24"/>
              </w:rPr>
              <w:t>under</w:t>
            </w:r>
            <w:r w:rsidRPr="00FA722C">
              <w:rPr>
                <w:b/>
                <w:sz w:val="24"/>
                <w:szCs w:val="24"/>
              </w:rPr>
              <w:t xml:space="preserve"> </w:t>
            </w:r>
            <w:r w:rsidRPr="00FA722C">
              <w:rPr>
                <w:sz w:val="24"/>
                <w:szCs w:val="24"/>
              </w:rPr>
              <w:t>PPP code 509 for one of the 2</w:t>
            </w:r>
            <w:r w:rsidR="00C32AD6">
              <w:rPr>
                <w:sz w:val="24"/>
                <w:szCs w:val="24"/>
              </w:rPr>
              <w:t>5</w:t>
            </w:r>
            <w:r w:rsidRPr="00FA722C">
              <w:rPr>
                <w:sz w:val="24"/>
                <w:szCs w:val="24"/>
              </w:rPr>
              <w:t xml:space="preserve"> procedures in the aesthetic guidelines must meet the medically indicated clause.</w:t>
            </w:r>
          </w:p>
        </w:tc>
        <w:tc>
          <w:tcPr>
            <w:tcW w:w="3261" w:type="dxa"/>
          </w:tcPr>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As above, plus circumcision from 1 July 2009.</w:t>
            </w:r>
          </w:p>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From 1 October 2012 to include:</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Repair of external ear lobes</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Correction of bat ears</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Hair transplant</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Revision of breast augmentation</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Nipple and/or areola reconstruction</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Nipple eversion</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Varicose vein procedures</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 xml:space="preserve">Other skin excisions for </w:t>
            </w:r>
            <w:r w:rsidRPr="00FA722C">
              <w:rPr>
                <w:sz w:val="24"/>
                <w:szCs w:val="24"/>
              </w:rPr>
              <w:lastRenderedPageBreak/>
              <w:t>body contour</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Genital surgery aimed at improving appearance</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Insertion of artificial erection devices</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Testicular prosthesis</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Lengthening of penis procedure</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Reversal of sterilisation</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Revision of scar</w:t>
            </w:r>
          </w:p>
          <w:p w:rsidR="00373A30" w:rsidRPr="00FA722C" w:rsidRDefault="00373A30" w:rsidP="00EE1A3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Tattoo removal</w:t>
            </w:r>
            <w:r w:rsidR="00565B53">
              <w:rPr>
                <w:sz w:val="24"/>
                <w:szCs w:val="24"/>
              </w:rPr>
              <w:t xml:space="preserve"> procedures</w:t>
            </w:r>
          </w:p>
        </w:tc>
      </w:tr>
      <w:tr w:rsidR="00373A30" w:rsidRPr="00FA722C" w:rsidTr="00EE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3A30" w:rsidRPr="00FA722C" w:rsidRDefault="00373A30" w:rsidP="00EE1A31">
            <w:pPr>
              <w:rPr>
                <w:sz w:val="24"/>
                <w:szCs w:val="24"/>
              </w:rPr>
            </w:pPr>
            <w:r w:rsidRPr="00FA722C">
              <w:rPr>
                <w:sz w:val="24"/>
                <w:szCs w:val="24"/>
              </w:rPr>
              <w:lastRenderedPageBreak/>
              <w:t>Elective Surgery Information</w:t>
            </w:r>
          </w:p>
          <w:p w:rsidR="00373A30" w:rsidRPr="00FA722C" w:rsidRDefault="00373A30" w:rsidP="00EE1A31">
            <w:pPr>
              <w:rPr>
                <w:sz w:val="24"/>
                <w:szCs w:val="24"/>
              </w:rPr>
            </w:pPr>
            <w:r w:rsidRPr="00FA722C">
              <w:rPr>
                <w:sz w:val="24"/>
                <w:szCs w:val="24"/>
              </w:rPr>
              <w:t>System (ESIS) manual 2016-17</w:t>
            </w:r>
          </w:p>
        </w:tc>
        <w:tc>
          <w:tcPr>
            <w:tcW w:w="7973" w:type="dxa"/>
            <w:gridSpan w:val="3"/>
          </w:tcPr>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PPP code 232 Breast procedures (removed</w:t>
            </w:r>
            <w:r w:rsidR="00565B53">
              <w:rPr>
                <w:sz w:val="24"/>
                <w:szCs w:val="24"/>
              </w:rPr>
              <w:t>;</w:t>
            </w:r>
            <w:r w:rsidRPr="00FA722C">
              <w:rPr>
                <w:sz w:val="24"/>
                <w:szCs w:val="24"/>
              </w:rPr>
              <w:t xml:space="preserve"> replaced by)</w:t>
            </w:r>
          </w:p>
          <w:p w:rsidR="00373A30" w:rsidRPr="00FA722C" w:rsidRDefault="00373A30" w:rsidP="00EE1A31">
            <w:pPr>
              <w:ind w:left="600"/>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241 Breast prosthesis - removal of</w:t>
            </w:r>
          </w:p>
          <w:p w:rsidR="00373A30" w:rsidRPr="00FA722C" w:rsidRDefault="00373A30" w:rsidP="00EE1A31">
            <w:pPr>
              <w:ind w:left="600"/>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242 Breast reconstruction</w:t>
            </w:r>
          </w:p>
          <w:p w:rsidR="00373A30" w:rsidRPr="00FA722C" w:rsidRDefault="00373A30" w:rsidP="00EE1A31">
            <w:pPr>
              <w:ind w:left="600"/>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243 Breast reduction</w:t>
            </w:r>
          </w:p>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 xml:space="preserve">Later amended to </w:t>
            </w:r>
          </w:p>
          <w:p w:rsidR="00373A30" w:rsidRPr="00FA722C" w:rsidRDefault="00373A30" w:rsidP="00EE1A31">
            <w:pPr>
              <w:ind w:left="600"/>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245 Breast prosthesis - removal of</w:t>
            </w:r>
          </w:p>
          <w:p w:rsidR="00373A30" w:rsidRPr="00FA722C" w:rsidRDefault="00373A30" w:rsidP="00EE1A31">
            <w:pPr>
              <w:ind w:left="600"/>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246 Breast reconstruction</w:t>
            </w:r>
          </w:p>
          <w:p w:rsidR="00373A30" w:rsidRPr="00FA722C" w:rsidRDefault="00373A30" w:rsidP="00EE1A31">
            <w:pPr>
              <w:ind w:left="600"/>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247 Breast reduction</w:t>
            </w:r>
          </w:p>
        </w:tc>
      </w:tr>
      <w:tr w:rsidR="00373A30" w:rsidRPr="00FA722C" w:rsidTr="00EE1A31">
        <w:tc>
          <w:tcPr>
            <w:cnfStyle w:val="001000000000" w:firstRow="0" w:lastRow="0" w:firstColumn="1" w:lastColumn="0" w:oddVBand="0" w:evenVBand="0" w:oddHBand="0" w:evenHBand="0" w:firstRowFirstColumn="0" w:firstRowLastColumn="0" w:lastRowFirstColumn="0" w:lastRowLastColumn="0"/>
            <w:tcW w:w="2518" w:type="dxa"/>
          </w:tcPr>
          <w:p w:rsidR="00373A30" w:rsidRPr="00FA722C" w:rsidRDefault="00373A30" w:rsidP="00EE1A31">
            <w:pPr>
              <w:rPr>
                <w:sz w:val="24"/>
                <w:szCs w:val="24"/>
              </w:rPr>
            </w:pPr>
            <w:r w:rsidRPr="00FA722C">
              <w:rPr>
                <w:sz w:val="24"/>
                <w:szCs w:val="24"/>
              </w:rPr>
              <w:t>ESIS Manual</w:t>
            </w:r>
          </w:p>
          <w:p w:rsidR="00373A30" w:rsidRPr="00FA722C" w:rsidRDefault="00373A30" w:rsidP="00EE1A31">
            <w:pPr>
              <w:rPr>
                <w:sz w:val="24"/>
                <w:szCs w:val="24"/>
              </w:rPr>
            </w:pPr>
            <w:r w:rsidRPr="00FA722C">
              <w:rPr>
                <w:sz w:val="24"/>
                <w:szCs w:val="24"/>
              </w:rPr>
              <w:t>2008-09 to 2016-17</w:t>
            </w:r>
          </w:p>
          <w:p w:rsidR="00373A30" w:rsidRPr="00FA722C" w:rsidRDefault="00373A30" w:rsidP="00EE1A31">
            <w:pPr>
              <w:rPr>
                <w:sz w:val="24"/>
                <w:szCs w:val="24"/>
              </w:rPr>
            </w:pPr>
          </w:p>
        </w:tc>
        <w:tc>
          <w:tcPr>
            <w:tcW w:w="7973" w:type="dxa"/>
            <w:gridSpan w:val="3"/>
          </w:tcPr>
          <w:p w:rsidR="00373A30" w:rsidRPr="00FA722C" w:rsidRDefault="00373A30" w:rsidP="00EE1A31">
            <w:pPr>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 xml:space="preserve">‘For convenience, to allow data to be validated and managed efficiently, </w:t>
            </w:r>
            <w:r w:rsidR="00E12DFD">
              <w:rPr>
                <w:sz w:val="24"/>
                <w:szCs w:val="24"/>
              </w:rPr>
              <w:t xml:space="preserve">Public Hospitals and Health Services </w:t>
            </w:r>
            <w:r w:rsidRPr="00FA722C">
              <w:rPr>
                <w:sz w:val="24"/>
                <w:szCs w:val="24"/>
              </w:rPr>
              <w:t>may choose to submit data relating to non-elective surgery to ESIS. This non elective data will be processed by ESIS and the results returned to the health service. This ensures uniform data management in the hospital for all patient waiting lists’.</w:t>
            </w:r>
          </w:p>
        </w:tc>
      </w:tr>
      <w:tr w:rsidR="00373A30" w:rsidRPr="00FA722C" w:rsidTr="00EE1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73A30" w:rsidRPr="00FA722C" w:rsidRDefault="00373A30" w:rsidP="00EE1A31">
            <w:pPr>
              <w:rPr>
                <w:sz w:val="24"/>
                <w:szCs w:val="24"/>
              </w:rPr>
            </w:pPr>
            <w:r w:rsidRPr="00FA722C">
              <w:rPr>
                <w:sz w:val="24"/>
                <w:szCs w:val="24"/>
              </w:rPr>
              <w:t>ESIS manual 2005-06 to 2007-08</w:t>
            </w:r>
          </w:p>
        </w:tc>
        <w:tc>
          <w:tcPr>
            <w:tcW w:w="7973" w:type="dxa"/>
            <w:gridSpan w:val="3"/>
          </w:tcPr>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r w:rsidRPr="00FA722C">
              <w:rPr>
                <w:sz w:val="24"/>
                <w:szCs w:val="24"/>
              </w:rPr>
              <w:t>‘Hospitals are encouraged but not required to submit episodes awaiting procedures in the 500 range, as the editing process is likely to improve data quality for these episodes’.</w:t>
            </w:r>
          </w:p>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p>
          <w:p w:rsidR="00373A30" w:rsidRPr="00FA722C" w:rsidRDefault="00373A30" w:rsidP="00EE1A31">
            <w:pPr>
              <w:cnfStyle w:val="000000100000" w:firstRow="0" w:lastRow="0" w:firstColumn="0" w:lastColumn="0" w:oddVBand="0" w:evenVBand="0" w:oddHBand="1" w:evenHBand="0" w:firstRowFirstColumn="0" w:firstRowLastColumn="0" w:lastRowFirstColumn="0" w:lastRowLastColumn="0"/>
              <w:rPr>
                <w:sz w:val="24"/>
                <w:szCs w:val="24"/>
              </w:rPr>
            </w:pPr>
          </w:p>
        </w:tc>
      </w:tr>
      <w:tr w:rsidR="00373A30" w:rsidRPr="00FA722C" w:rsidTr="00EE1A31">
        <w:tc>
          <w:tcPr>
            <w:cnfStyle w:val="001000000000" w:firstRow="0" w:lastRow="0" w:firstColumn="1" w:lastColumn="0" w:oddVBand="0" w:evenVBand="0" w:oddHBand="0" w:evenHBand="0" w:firstRowFirstColumn="0" w:firstRowLastColumn="0" w:lastRowFirstColumn="0" w:lastRowLastColumn="0"/>
            <w:tcW w:w="2518" w:type="dxa"/>
          </w:tcPr>
          <w:p w:rsidR="00373A30" w:rsidRPr="00FA722C" w:rsidRDefault="00373A30" w:rsidP="00D412E7">
            <w:pPr>
              <w:jc w:val="center"/>
              <w:rPr>
                <w:sz w:val="24"/>
                <w:szCs w:val="24"/>
              </w:rPr>
            </w:pPr>
            <w:r w:rsidRPr="00FA722C">
              <w:rPr>
                <w:sz w:val="24"/>
                <w:szCs w:val="24"/>
              </w:rPr>
              <w:t>ESIS Manual  2003-04 to 2004-05</w:t>
            </w:r>
          </w:p>
        </w:tc>
        <w:tc>
          <w:tcPr>
            <w:tcW w:w="7973" w:type="dxa"/>
            <w:gridSpan w:val="3"/>
          </w:tcPr>
          <w:p w:rsidR="00373A30" w:rsidRPr="00FA722C" w:rsidRDefault="00373A30" w:rsidP="00FA722C">
            <w:pPr>
              <w:jc w:val="both"/>
              <w:cnfStyle w:val="000000000000" w:firstRow="0" w:lastRow="0" w:firstColumn="0" w:lastColumn="0" w:oddVBand="0" w:evenVBand="0" w:oddHBand="0" w:evenHBand="0" w:firstRowFirstColumn="0" w:firstRowLastColumn="0" w:lastRowFirstColumn="0" w:lastRowLastColumn="0"/>
              <w:rPr>
                <w:sz w:val="24"/>
                <w:szCs w:val="24"/>
              </w:rPr>
            </w:pPr>
            <w:r w:rsidRPr="00FA722C">
              <w:rPr>
                <w:sz w:val="24"/>
                <w:szCs w:val="24"/>
              </w:rPr>
              <w:t>‘... required to provide ... Public patients waiting for a procedure reported to ESIS i.e. a procedure listed in the Principal Prescribed Procedure (PPP) list from the ‘500’ range noting that numbers of PPPs from the ‘500’ code range will not be included in state and national waiting list reporting figures’.</w:t>
            </w:r>
          </w:p>
        </w:tc>
      </w:tr>
    </w:tbl>
    <w:p w:rsidR="00455564" w:rsidRDefault="00455564" w:rsidP="00FA722C">
      <w:pPr>
        <w:jc w:val="both"/>
        <w:rPr>
          <w:sz w:val="24"/>
          <w:szCs w:val="24"/>
        </w:rPr>
      </w:pPr>
    </w:p>
    <w:p w:rsidR="00455564" w:rsidRDefault="00455564">
      <w:pPr>
        <w:rPr>
          <w:sz w:val="24"/>
          <w:szCs w:val="24"/>
        </w:rPr>
      </w:pPr>
      <w:r>
        <w:rPr>
          <w:sz w:val="24"/>
          <w:szCs w:val="24"/>
        </w:rPr>
        <w:br w:type="page"/>
      </w:r>
    </w:p>
    <w:p w:rsidR="00BB44C8" w:rsidRDefault="008F5A92" w:rsidP="00455564">
      <w:pPr>
        <w:jc w:val="both"/>
      </w:pPr>
      <w:r w:rsidRPr="008F5A92">
        <w:rPr>
          <w:b/>
          <w:sz w:val="24"/>
          <w:szCs w:val="24"/>
        </w:rPr>
        <w:lastRenderedPageBreak/>
        <w:t>Table 2</w:t>
      </w:r>
      <w:r w:rsidR="00455564">
        <w:rPr>
          <w:b/>
          <w:sz w:val="24"/>
          <w:szCs w:val="24"/>
        </w:rPr>
        <w:t xml:space="preserve"> - </w:t>
      </w:r>
      <w:r w:rsidR="00BB44C8" w:rsidRPr="00455564">
        <w:rPr>
          <w:b/>
        </w:rPr>
        <w:t xml:space="preserve">Action required </w:t>
      </w:r>
      <w:r w:rsidR="00455564" w:rsidRPr="00455564">
        <w:rPr>
          <w:b/>
        </w:rPr>
        <w:t xml:space="preserve">by </w:t>
      </w:r>
      <w:r w:rsidR="00E12DFD">
        <w:rPr>
          <w:b/>
        </w:rPr>
        <w:t>Public Hospitals and Health Services</w:t>
      </w:r>
      <w:r w:rsidR="00507F95">
        <w:rPr>
          <w:b/>
        </w:rPr>
        <w:t xml:space="preserve"> </w:t>
      </w:r>
      <w:r w:rsidR="00BB44C8" w:rsidRPr="00455564">
        <w:rPr>
          <w:b/>
        </w:rPr>
        <w:t>will depend on current reporting arrangements</w:t>
      </w:r>
      <w:r w:rsidR="00BB44C8">
        <w:t>:</w:t>
      </w:r>
    </w:p>
    <w:tbl>
      <w:tblPr>
        <w:tblStyle w:val="MediumShading2-Accent1"/>
        <w:tblW w:w="4608" w:type="pct"/>
        <w:tblLook w:val="04A0" w:firstRow="1" w:lastRow="0" w:firstColumn="1" w:lastColumn="0" w:noHBand="0" w:noVBand="1"/>
      </w:tblPr>
      <w:tblGrid>
        <w:gridCol w:w="2510"/>
        <w:gridCol w:w="4414"/>
        <w:gridCol w:w="2136"/>
      </w:tblGrid>
      <w:tr w:rsidR="00BB44C8" w:rsidRPr="00B96926" w:rsidTr="006A7E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5" w:type="pct"/>
          </w:tcPr>
          <w:p w:rsidR="00BB44C8" w:rsidRPr="006A7EFC" w:rsidRDefault="00BB44C8" w:rsidP="002132D6">
            <w:pPr>
              <w:pStyle w:val="DHHStablecolhead"/>
              <w:rPr>
                <w:b/>
                <w:color w:val="FFFFFF" w:themeColor="background1"/>
              </w:rPr>
            </w:pPr>
            <w:r w:rsidRPr="006A7EFC">
              <w:rPr>
                <w:b/>
                <w:color w:val="FFFFFF" w:themeColor="background1"/>
              </w:rPr>
              <w:t>Health Services</w:t>
            </w:r>
          </w:p>
        </w:tc>
        <w:tc>
          <w:tcPr>
            <w:tcW w:w="2436" w:type="pct"/>
          </w:tcPr>
          <w:p w:rsidR="00BB44C8" w:rsidRPr="006A7EFC" w:rsidRDefault="00BB44C8" w:rsidP="002132D6">
            <w:pPr>
              <w:pStyle w:val="DHHStablecolhead"/>
              <w:cnfStyle w:val="100000000000" w:firstRow="1" w:lastRow="0" w:firstColumn="0" w:lastColumn="0" w:oddVBand="0" w:evenVBand="0" w:oddHBand="0" w:evenHBand="0" w:firstRowFirstColumn="0" w:firstRowLastColumn="0" w:lastRowFirstColumn="0" w:lastRowLastColumn="0"/>
              <w:rPr>
                <w:b/>
                <w:color w:val="FFFFFF" w:themeColor="background1"/>
              </w:rPr>
            </w:pPr>
            <w:r w:rsidRPr="006A7EFC">
              <w:rPr>
                <w:b/>
                <w:color w:val="FFFFFF" w:themeColor="background1"/>
              </w:rPr>
              <w:t xml:space="preserve">Medical indication present for surgery in public health service </w:t>
            </w:r>
          </w:p>
        </w:tc>
        <w:tc>
          <w:tcPr>
            <w:tcW w:w="1179" w:type="pct"/>
          </w:tcPr>
          <w:p w:rsidR="00BB44C8" w:rsidRPr="006A7EFC" w:rsidRDefault="00BB44C8" w:rsidP="002132D6">
            <w:pPr>
              <w:pStyle w:val="DHHStablecolhead"/>
              <w:cnfStyle w:val="100000000000" w:firstRow="1" w:lastRow="0" w:firstColumn="0" w:lastColumn="0" w:oddVBand="0" w:evenVBand="0" w:oddHBand="0" w:evenHBand="0" w:firstRowFirstColumn="0" w:firstRowLastColumn="0" w:lastRowFirstColumn="0" w:lastRowLastColumn="0"/>
              <w:rPr>
                <w:b/>
                <w:color w:val="FFFFFF" w:themeColor="background1"/>
              </w:rPr>
            </w:pPr>
            <w:r w:rsidRPr="006A7EFC">
              <w:rPr>
                <w:b/>
                <w:color w:val="FFFFFF" w:themeColor="background1"/>
              </w:rPr>
              <w:t>No medical indication</w:t>
            </w:r>
          </w:p>
        </w:tc>
      </w:tr>
      <w:tr w:rsidR="00BB44C8" w:rsidRPr="00B96926" w:rsidTr="006A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rsidR="00BB44C8" w:rsidRDefault="00BB44C8" w:rsidP="002132D6">
            <w:pPr>
              <w:pStyle w:val="DHHStabletext"/>
            </w:pPr>
            <w:r>
              <w:t>Austin</w:t>
            </w:r>
          </w:p>
          <w:p w:rsidR="00BB44C8" w:rsidRDefault="00BB44C8" w:rsidP="002132D6">
            <w:pPr>
              <w:pStyle w:val="DHHStabletext"/>
            </w:pPr>
            <w:r>
              <w:t xml:space="preserve">Royal </w:t>
            </w:r>
            <w:r w:rsidR="00E12DFD">
              <w:t>Children’s</w:t>
            </w:r>
          </w:p>
          <w:p w:rsidR="00BB44C8" w:rsidRDefault="00BB44C8" w:rsidP="002132D6">
            <w:pPr>
              <w:pStyle w:val="DHHStabletext"/>
            </w:pPr>
            <w:r>
              <w:t>Eye and Ear</w:t>
            </w:r>
          </w:p>
          <w:p w:rsidR="00BB44C8" w:rsidRDefault="00BB44C8" w:rsidP="002132D6">
            <w:pPr>
              <w:pStyle w:val="DHHStabletext"/>
            </w:pPr>
            <w:r>
              <w:t>West Gippsland</w:t>
            </w:r>
          </w:p>
          <w:p w:rsidR="00BB44C8" w:rsidRPr="00B96926" w:rsidRDefault="00BB44C8" w:rsidP="002132D6">
            <w:pPr>
              <w:pStyle w:val="DHHStabletext"/>
            </w:pPr>
            <w:r>
              <w:t xml:space="preserve">St </w:t>
            </w:r>
            <w:r w:rsidR="00E12DFD">
              <w:t>Vincent’s</w:t>
            </w:r>
          </w:p>
        </w:tc>
        <w:tc>
          <w:tcPr>
            <w:tcW w:w="2436" w:type="pct"/>
          </w:tcPr>
          <w:p w:rsidR="00BB44C8" w:rsidRPr="00C77354" w:rsidRDefault="00BB44C8" w:rsidP="002132D6">
            <w:pPr>
              <w:pStyle w:val="DHHStabletext"/>
              <w:cnfStyle w:val="000000100000" w:firstRow="0" w:lastRow="0" w:firstColumn="0" w:lastColumn="0" w:oddVBand="0" w:evenVBand="0" w:oddHBand="1" w:evenHBand="0" w:firstRowFirstColumn="0" w:firstRowLastColumn="0" w:lastRowFirstColumn="0" w:lastRowLastColumn="0"/>
            </w:pPr>
            <w:r>
              <w:t xml:space="preserve">Report episode with appropriate reportable PPP, existing registration dates and all intra episode events – will trigger warning validation S174 </w:t>
            </w:r>
            <w:r w:rsidRPr="00117AFC">
              <w:rPr>
                <w:i/>
              </w:rPr>
              <w:t>New episode, old Clinical Registration Date</w:t>
            </w:r>
            <w:r>
              <w:rPr>
                <w:i/>
              </w:rPr>
              <w:t xml:space="preserve">, </w:t>
            </w:r>
            <w:r w:rsidRPr="00C77354">
              <w:t>which can be ignore</w:t>
            </w:r>
            <w:r>
              <w:t>d</w:t>
            </w:r>
          </w:p>
          <w:p w:rsidR="00BB44C8" w:rsidRPr="00117AFC" w:rsidRDefault="00BB44C8" w:rsidP="002132D6">
            <w:pPr>
              <w:pStyle w:val="DHHStabletext"/>
              <w:cnfStyle w:val="000000100000" w:firstRow="0" w:lastRow="0" w:firstColumn="0" w:lastColumn="0" w:oddVBand="0" w:evenVBand="0" w:oddHBand="1" w:evenHBand="0" w:firstRowFirstColumn="0" w:firstRowLastColumn="0" w:lastRowFirstColumn="0" w:lastRowLastColumn="0"/>
            </w:pPr>
            <w:r w:rsidRPr="00117AFC">
              <w:t>Intra episode events will be accepted -</w:t>
            </w:r>
            <w:r>
              <w:rPr>
                <w:i/>
              </w:rPr>
              <w:t xml:space="preserve"> S434 Intra episode event, Event Date in earlier fin year </w:t>
            </w:r>
            <w:r>
              <w:t>is currently disabled</w:t>
            </w:r>
          </w:p>
        </w:tc>
        <w:tc>
          <w:tcPr>
            <w:tcW w:w="1179" w:type="pct"/>
          </w:tcPr>
          <w:p w:rsidR="00BB44C8" w:rsidRPr="00601361" w:rsidRDefault="00BB44C8" w:rsidP="002132D6">
            <w:pPr>
              <w:pStyle w:val="DHHStabletext"/>
              <w:cnfStyle w:val="000000100000" w:firstRow="0" w:lastRow="0" w:firstColumn="0" w:lastColumn="0" w:oddVBand="0" w:evenVBand="0" w:oddHBand="1" w:evenHBand="0" w:firstRowFirstColumn="0" w:firstRowLastColumn="0" w:lastRowFirstColumn="0" w:lastRowLastColumn="0"/>
            </w:pPr>
            <w:r w:rsidRPr="00601361">
              <w:t xml:space="preserve">No </w:t>
            </w:r>
            <w:r>
              <w:t>requirement to report removal details to the department</w:t>
            </w:r>
          </w:p>
        </w:tc>
      </w:tr>
      <w:tr w:rsidR="00BB44C8" w:rsidRPr="00B96926" w:rsidTr="006A7EFC">
        <w:tc>
          <w:tcPr>
            <w:cnfStyle w:val="001000000000" w:firstRow="0" w:lastRow="0" w:firstColumn="1" w:lastColumn="0" w:oddVBand="0" w:evenVBand="0" w:oddHBand="0" w:evenHBand="0" w:firstRowFirstColumn="0" w:firstRowLastColumn="0" w:lastRowFirstColumn="0" w:lastRowLastColumn="0"/>
            <w:tcW w:w="1385" w:type="pct"/>
          </w:tcPr>
          <w:p w:rsidR="00BB44C8" w:rsidRDefault="00BB44C8" w:rsidP="002132D6">
            <w:pPr>
              <w:pStyle w:val="DHHStabletext"/>
            </w:pPr>
            <w:r>
              <w:t>Alfred</w:t>
            </w:r>
          </w:p>
          <w:p w:rsidR="00BB44C8" w:rsidRDefault="00BB44C8" w:rsidP="002132D6">
            <w:pPr>
              <w:pStyle w:val="DHHStabletext"/>
            </w:pPr>
            <w:r>
              <w:t>Ballarat</w:t>
            </w:r>
          </w:p>
          <w:p w:rsidR="00BB44C8" w:rsidRDefault="00BB44C8" w:rsidP="002132D6">
            <w:pPr>
              <w:pStyle w:val="DHHStabletext"/>
            </w:pPr>
            <w:r>
              <w:t>Box Hill</w:t>
            </w:r>
          </w:p>
          <w:p w:rsidR="00BB44C8" w:rsidRDefault="00BB44C8" w:rsidP="002132D6">
            <w:pPr>
              <w:pStyle w:val="DHHStabletext"/>
            </w:pPr>
            <w:r>
              <w:t>Latrobe</w:t>
            </w:r>
          </w:p>
          <w:p w:rsidR="00BB44C8" w:rsidRDefault="00BB44C8" w:rsidP="002132D6">
            <w:pPr>
              <w:pStyle w:val="DHHStabletext"/>
            </w:pPr>
            <w:r>
              <w:t>Mercy Heidelberg</w:t>
            </w:r>
          </w:p>
          <w:p w:rsidR="00BB44C8" w:rsidRDefault="00BB44C8" w:rsidP="002132D6">
            <w:pPr>
              <w:pStyle w:val="DHHStabletext"/>
            </w:pPr>
            <w:r>
              <w:t>Mercy Werribee</w:t>
            </w:r>
          </w:p>
          <w:p w:rsidR="00BB44C8" w:rsidRDefault="00BB44C8" w:rsidP="002132D6">
            <w:pPr>
              <w:pStyle w:val="DHHStabletext"/>
            </w:pPr>
            <w:r>
              <w:t>Northern</w:t>
            </w:r>
          </w:p>
          <w:p w:rsidR="00BB44C8" w:rsidRDefault="00BB44C8" w:rsidP="002132D6">
            <w:pPr>
              <w:pStyle w:val="DHHStabletext"/>
            </w:pPr>
            <w:r>
              <w:t>Peninsula</w:t>
            </w:r>
          </w:p>
          <w:p w:rsidR="00BB44C8" w:rsidRDefault="00BB44C8" w:rsidP="002132D6">
            <w:pPr>
              <w:pStyle w:val="DHHStabletext"/>
            </w:pPr>
            <w:r>
              <w:t>Peter Mac</w:t>
            </w:r>
          </w:p>
          <w:p w:rsidR="00BB44C8" w:rsidRDefault="00BB44C8" w:rsidP="002132D6">
            <w:pPr>
              <w:pStyle w:val="DHHStabletext"/>
            </w:pPr>
            <w:r>
              <w:t xml:space="preserve">The </w:t>
            </w:r>
            <w:r w:rsidR="00E12DFD">
              <w:t>Women’s</w:t>
            </w:r>
          </w:p>
          <w:p w:rsidR="00BB44C8" w:rsidRDefault="00BB44C8" w:rsidP="002132D6">
            <w:pPr>
              <w:pStyle w:val="DHHStabletext"/>
            </w:pPr>
            <w:r>
              <w:t>Sandringham</w:t>
            </w:r>
          </w:p>
          <w:p w:rsidR="00BB44C8" w:rsidRDefault="00BB44C8" w:rsidP="002132D6">
            <w:pPr>
              <w:pStyle w:val="DHHStabletext"/>
            </w:pPr>
            <w:r>
              <w:t>Shepparton</w:t>
            </w:r>
          </w:p>
          <w:p w:rsidR="00BB44C8" w:rsidRDefault="00BB44C8" w:rsidP="002132D6">
            <w:pPr>
              <w:pStyle w:val="DHHStabletext"/>
            </w:pPr>
            <w:r>
              <w:t>Wangaratta</w:t>
            </w:r>
          </w:p>
          <w:p w:rsidR="00BB44C8" w:rsidRDefault="007C2C9B" w:rsidP="002132D6">
            <w:pPr>
              <w:pStyle w:val="DHHStabletext"/>
            </w:pPr>
            <w:r>
              <w:t>Barwon (since Sept ‘</w:t>
            </w:r>
            <w:r w:rsidR="00BB44C8">
              <w:t>12)</w:t>
            </w:r>
          </w:p>
          <w:p w:rsidR="00BB44C8" w:rsidRDefault="00BB44C8" w:rsidP="002132D6">
            <w:pPr>
              <w:pStyle w:val="DHHStabletext"/>
            </w:pPr>
            <w:r>
              <w:t>Southwest Healthcare</w:t>
            </w:r>
          </w:p>
          <w:p w:rsidR="00BB44C8" w:rsidRDefault="00BB44C8" w:rsidP="002132D6">
            <w:pPr>
              <w:pStyle w:val="DHHStabletext"/>
            </w:pPr>
            <w:r>
              <w:t>Albury Wodonga</w:t>
            </w:r>
          </w:p>
          <w:p w:rsidR="006A7EFC" w:rsidRPr="00B96926" w:rsidRDefault="006A7EFC" w:rsidP="002132D6">
            <w:pPr>
              <w:pStyle w:val="DHHStabletext"/>
            </w:pPr>
          </w:p>
        </w:tc>
        <w:tc>
          <w:tcPr>
            <w:tcW w:w="2436" w:type="pct"/>
          </w:tcPr>
          <w:p w:rsidR="00BB44C8" w:rsidRPr="00B96926" w:rsidRDefault="00BB44C8" w:rsidP="002132D6">
            <w:pPr>
              <w:pStyle w:val="DHHStabletext"/>
              <w:cnfStyle w:val="000000000000" w:firstRow="0" w:lastRow="0" w:firstColumn="0" w:lastColumn="0" w:oddVBand="0" w:evenVBand="0" w:oddHBand="0" w:evenHBand="0" w:firstRowFirstColumn="0" w:firstRowLastColumn="0" w:lastRowFirstColumn="0" w:lastRowLastColumn="0"/>
            </w:pPr>
            <w:r>
              <w:t>Update PPP to appropriate reportable PPP – will trigger warning validation S386 PPP for this episode has changed</w:t>
            </w:r>
            <w:r>
              <w:rPr>
                <w:i/>
              </w:rPr>
              <w:t xml:space="preserve">, </w:t>
            </w:r>
            <w:r w:rsidRPr="00C77354">
              <w:t>which can be ignore</w:t>
            </w:r>
            <w:r>
              <w:t>d</w:t>
            </w:r>
          </w:p>
        </w:tc>
        <w:tc>
          <w:tcPr>
            <w:tcW w:w="1179" w:type="pct"/>
          </w:tcPr>
          <w:p w:rsidR="00BB44C8" w:rsidRPr="00601361" w:rsidRDefault="00BB44C8" w:rsidP="002132D6">
            <w:pPr>
              <w:pStyle w:val="DHHStabletext"/>
              <w:cnfStyle w:val="000000000000" w:firstRow="0" w:lastRow="0" w:firstColumn="0" w:lastColumn="0" w:oddVBand="0" w:evenVBand="0" w:oddHBand="0" w:evenHBand="0" w:firstRowFirstColumn="0" w:firstRowLastColumn="0" w:lastRowFirstColumn="0" w:lastRowLastColumn="0"/>
            </w:pPr>
            <w:r>
              <w:t>Report removal details to the department</w:t>
            </w:r>
          </w:p>
        </w:tc>
      </w:tr>
      <w:tr w:rsidR="00BB44C8" w:rsidRPr="00B96926" w:rsidTr="006A7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rsidR="00BB44C8" w:rsidRDefault="00BB44C8" w:rsidP="002132D6">
            <w:pPr>
              <w:pStyle w:val="DHHStabletext"/>
            </w:pPr>
            <w:r>
              <w:t>Angliss</w:t>
            </w:r>
          </w:p>
          <w:p w:rsidR="00BB44C8" w:rsidRDefault="00BB44C8" w:rsidP="002132D6">
            <w:pPr>
              <w:pStyle w:val="DHHStabletext"/>
            </w:pPr>
            <w:r>
              <w:t>Maroondah</w:t>
            </w:r>
          </w:p>
          <w:p w:rsidR="00BB44C8" w:rsidRDefault="00BB44C8" w:rsidP="002132D6">
            <w:pPr>
              <w:pStyle w:val="DHHStabletext"/>
            </w:pPr>
            <w:r>
              <w:t>Bendigo</w:t>
            </w:r>
          </w:p>
          <w:p w:rsidR="00BB44C8" w:rsidRDefault="00BB44C8" w:rsidP="002132D6">
            <w:pPr>
              <w:pStyle w:val="DHHStabletext"/>
            </w:pPr>
            <w:r>
              <w:t>Royal Melbourne</w:t>
            </w:r>
          </w:p>
          <w:p w:rsidR="00BB44C8" w:rsidRDefault="00BB44C8" w:rsidP="002132D6">
            <w:pPr>
              <w:pStyle w:val="DHHStabletext"/>
            </w:pPr>
            <w:r>
              <w:t>Monash Health</w:t>
            </w:r>
          </w:p>
          <w:p w:rsidR="00BB44C8" w:rsidRPr="00B96926" w:rsidRDefault="00BB44C8" w:rsidP="002132D6">
            <w:pPr>
              <w:pStyle w:val="DHHStabletext"/>
            </w:pPr>
            <w:r>
              <w:t>Western Health</w:t>
            </w:r>
          </w:p>
        </w:tc>
        <w:tc>
          <w:tcPr>
            <w:tcW w:w="2436" w:type="pct"/>
          </w:tcPr>
          <w:p w:rsidR="00BB44C8" w:rsidRPr="00C77354" w:rsidRDefault="00BB44C8" w:rsidP="002132D6">
            <w:pPr>
              <w:pStyle w:val="DHHStabletext"/>
              <w:cnfStyle w:val="000000100000" w:firstRow="0" w:lastRow="0" w:firstColumn="0" w:lastColumn="0" w:oddVBand="0" w:evenVBand="0" w:oddHBand="1" w:evenHBand="0" w:firstRowFirstColumn="0" w:firstRowLastColumn="0" w:lastRowFirstColumn="0" w:lastRowLastColumn="0"/>
            </w:pPr>
            <w:r>
              <w:t xml:space="preserve">Re-submit episode with appropriate reportable PPP, existing registration dates and all intra episode events – will trigger warning validation S174 </w:t>
            </w:r>
            <w:r w:rsidRPr="00117AFC">
              <w:rPr>
                <w:i/>
              </w:rPr>
              <w:t>New episode, old Clinical Registration Date</w:t>
            </w:r>
            <w:r>
              <w:rPr>
                <w:i/>
              </w:rPr>
              <w:t xml:space="preserve">, </w:t>
            </w:r>
            <w:r w:rsidRPr="00C77354">
              <w:t>which can be ignore</w:t>
            </w:r>
            <w:r>
              <w:t>d</w:t>
            </w:r>
          </w:p>
          <w:p w:rsidR="00BB44C8" w:rsidRPr="00B96926" w:rsidRDefault="00BB44C8" w:rsidP="002132D6">
            <w:pPr>
              <w:pStyle w:val="DHHStabletext"/>
              <w:cnfStyle w:val="000000100000" w:firstRow="0" w:lastRow="0" w:firstColumn="0" w:lastColumn="0" w:oddVBand="0" w:evenVBand="0" w:oddHBand="1" w:evenHBand="0" w:firstRowFirstColumn="0" w:firstRowLastColumn="0" w:lastRowFirstColumn="0" w:lastRowLastColumn="0"/>
            </w:pPr>
            <w:r w:rsidRPr="00117AFC">
              <w:t>Intra episode events will be accepted -</w:t>
            </w:r>
            <w:r>
              <w:rPr>
                <w:i/>
              </w:rPr>
              <w:t xml:space="preserve"> S434 Intra episode event, Event Date in earlier fin year </w:t>
            </w:r>
            <w:r>
              <w:t>is currently disabled</w:t>
            </w:r>
          </w:p>
        </w:tc>
        <w:tc>
          <w:tcPr>
            <w:tcW w:w="1179" w:type="pct"/>
          </w:tcPr>
          <w:p w:rsidR="00BB44C8" w:rsidRPr="00601361" w:rsidRDefault="00BB44C8" w:rsidP="002132D6">
            <w:pPr>
              <w:pStyle w:val="DHHStabletext"/>
              <w:cnfStyle w:val="000000100000" w:firstRow="0" w:lastRow="0" w:firstColumn="0" w:lastColumn="0" w:oddVBand="0" w:evenVBand="0" w:oddHBand="1" w:evenHBand="0" w:firstRowFirstColumn="0" w:firstRowLastColumn="0" w:lastRowFirstColumn="0" w:lastRowLastColumn="0"/>
            </w:pPr>
            <w:r w:rsidRPr="00601361">
              <w:t xml:space="preserve">No </w:t>
            </w:r>
            <w:r>
              <w:t>requirement to report removal details to the department</w:t>
            </w:r>
          </w:p>
        </w:tc>
      </w:tr>
    </w:tbl>
    <w:p w:rsidR="008F5A92" w:rsidRDefault="008F5A92" w:rsidP="00FA722C">
      <w:pPr>
        <w:jc w:val="both"/>
        <w:rPr>
          <w:sz w:val="24"/>
          <w:szCs w:val="24"/>
        </w:rPr>
      </w:pPr>
    </w:p>
    <w:p w:rsidR="00455564" w:rsidRDefault="00455564">
      <w:pPr>
        <w:rPr>
          <w:sz w:val="24"/>
          <w:szCs w:val="24"/>
        </w:rPr>
      </w:pPr>
      <w:r>
        <w:rPr>
          <w:sz w:val="24"/>
          <w:szCs w:val="24"/>
        </w:rPr>
        <w:br w:type="page"/>
      </w:r>
    </w:p>
    <w:p w:rsidR="008F5A92" w:rsidRPr="007C2C9B" w:rsidRDefault="008F5A92" w:rsidP="00FA722C">
      <w:pPr>
        <w:jc w:val="both"/>
        <w:rPr>
          <w:b/>
          <w:i/>
          <w:sz w:val="24"/>
          <w:szCs w:val="24"/>
        </w:rPr>
      </w:pPr>
      <w:r w:rsidRPr="008F5A92">
        <w:rPr>
          <w:b/>
          <w:sz w:val="24"/>
          <w:szCs w:val="24"/>
        </w:rPr>
        <w:lastRenderedPageBreak/>
        <w:t>Table 3</w:t>
      </w:r>
      <w:r w:rsidR="007C2C9B">
        <w:rPr>
          <w:b/>
          <w:sz w:val="24"/>
          <w:szCs w:val="24"/>
        </w:rPr>
        <w:t xml:space="preserve"> – PPP ACHI guide provided for reporting procedures listed in the Appendix 1 of the </w:t>
      </w:r>
      <w:r w:rsidR="007C2C9B" w:rsidRPr="007C2C9B">
        <w:rPr>
          <w:b/>
          <w:i/>
          <w:sz w:val="24"/>
          <w:szCs w:val="24"/>
        </w:rPr>
        <w:t>Elective surgery access policy July 2015</w:t>
      </w:r>
    </w:p>
    <w:tbl>
      <w:tblPr>
        <w:tblStyle w:val="MediumShading2-Accent1"/>
        <w:tblW w:w="5000" w:type="pct"/>
        <w:tblLayout w:type="fixed"/>
        <w:tblLook w:val="04A0" w:firstRow="1" w:lastRow="0" w:firstColumn="1" w:lastColumn="0" w:noHBand="0" w:noVBand="1"/>
      </w:tblPr>
      <w:tblGrid>
        <w:gridCol w:w="2777"/>
        <w:gridCol w:w="1205"/>
        <w:gridCol w:w="2674"/>
        <w:gridCol w:w="3175"/>
      </w:tblGrid>
      <w:tr w:rsidR="007E2BF4" w:rsidRPr="00133190" w:rsidTr="006A7EFC">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412" w:type="pct"/>
            <w:hideMark/>
          </w:tcPr>
          <w:p w:rsidR="007E2BF4" w:rsidRPr="006A7EFC" w:rsidRDefault="007E2BF4" w:rsidP="002132D6">
            <w:pPr>
              <w:pStyle w:val="DHHStablecolhead"/>
              <w:rPr>
                <w:rFonts w:cs="Arial"/>
                <w:b/>
                <w:color w:val="FFFFFF" w:themeColor="background1"/>
                <w:sz w:val="18"/>
                <w:szCs w:val="18"/>
                <w:lang w:eastAsia="en-AU"/>
              </w:rPr>
            </w:pPr>
            <w:r w:rsidRPr="006A7EFC">
              <w:rPr>
                <w:rFonts w:cs="Arial"/>
                <w:b/>
                <w:color w:val="FFFFFF" w:themeColor="background1"/>
                <w:sz w:val="18"/>
                <w:szCs w:val="18"/>
                <w:lang w:eastAsia="en-AU"/>
              </w:rPr>
              <w:t xml:space="preserve">Procedures listed in ESAP - Appendix 1 </w:t>
            </w:r>
          </w:p>
        </w:tc>
        <w:tc>
          <w:tcPr>
            <w:tcW w:w="613" w:type="pct"/>
            <w:hideMark/>
          </w:tcPr>
          <w:p w:rsidR="007E2BF4" w:rsidRPr="006A7EFC" w:rsidRDefault="007E2BF4" w:rsidP="002132D6">
            <w:pPr>
              <w:pStyle w:val="DHHStablecolhead"/>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lang w:eastAsia="en-AU"/>
              </w:rPr>
            </w:pPr>
            <w:r w:rsidRPr="006A7EFC">
              <w:rPr>
                <w:rFonts w:cs="Arial"/>
                <w:b/>
                <w:color w:val="FFFFFF" w:themeColor="background1"/>
                <w:sz w:val="18"/>
                <w:szCs w:val="18"/>
                <w:lang w:eastAsia="en-AU"/>
              </w:rPr>
              <w:t>Suggested PPP</w:t>
            </w:r>
          </w:p>
        </w:tc>
        <w:tc>
          <w:tcPr>
            <w:tcW w:w="1360" w:type="pct"/>
            <w:noWrap/>
            <w:hideMark/>
          </w:tcPr>
          <w:p w:rsidR="007E2BF4" w:rsidRPr="006A7EFC" w:rsidRDefault="007E2BF4" w:rsidP="002132D6">
            <w:pPr>
              <w:pStyle w:val="DHHStablecolhead"/>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lang w:eastAsia="en-AU"/>
              </w:rPr>
            </w:pPr>
            <w:r w:rsidRPr="006A7EFC">
              <w:rPr>
                <w:rFonts w:cs="Arial"/>
                <w:b/>
                <w:color w:val="FFFFFF" w:themeColor="background1"/>
                <w:sz w:val="18"/>
                <w:szCs w:val="18"/>
                <w:lang w:eastAsia="en-AU"/>
              </w:rPr>
              <w:t>PPP descriptor</w:t>
            </w:r>
          </w:p>
        </w:tc>
        <w:tc>
          <w:tcPr>
            <w:tcW w:w="1615" w:type="pct"/>
            <w:noWrap/>
            <w:hideMark/>
          </w:tcPr>
          <w:p w:rsidR="007E2BF4" w:rsidRPr="006A7EFC" w:rsidRDefault="007E2BF4" w:rsidP="002132D6">
            <w:pPr>
              <w:pStyle w:val="DHHStablecolhead"/>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18"/>
                <w:szCs w:val="18"/>
                <w:lang w:eastAsia="en-AU"/>
              </w:rPr>
            </w:pPr>
            <w:r w:rsidRPr="006A7EFC">
              <w:rPr>
                <w:rFonts w:cs="Arial"/>
                <w:b/>
                <w:color w:val="FFFFFF" w:themeColor="background1"/>
                <w:sz w:val="18"/>
                <w:szCs w:val="18"/>
                <w:lang w:eastAsia="en-AU"/>
              </w:rPr>
              <w:t>ACHI 9th edition code guide</w:t>
            </w:r>
          </w:p>
        </w:tc>
      </w:tr>
      <w:tr w:rsidR="007E2BF4" w:rsidRPr="00133190" w:rsidTr="006A7EF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Blepharoplasty</w:t>
            </w:r>
          </w:p>
        </w:tc>
        <w:tc>
          <w:tcPr>
            <w:tcW w:w="613"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099</w:t>
            </w:r>
          </w:p>
        </w:tc>
        <w:tc>
          <w:tcPr>
            <w:tcW w:w="1360"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Repair of blepharoptosis</w:t>
            </w:r>
          </w:p>
        </w:tc>
        <w:tc>
          <w:tcPr>
            <w:tcW w:w="1615" w:type="pct"/>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45614-00 [1684] 4</w:t>
            </w:r>
            <w:r>
              <w:rPr>
                <w:rFonts w:ascii="Arial" w:hAnsi="Arial" w:cs="Arial"/>
                <w:color w:val="000000"/>
                <w:sz w:val="18"/>
                <w:szCs w:val="18"/>
                <w:lang w:eastAsia="en-AU"/>
              </w:rPr>
              <w:t xml:space="preserve">5614-01 [1684] 45671-01 [1684] </w:t>
            </w:r>
            <w:r w:rsidRPr="00133190">
              <w:rPr>
                <w:rFonts w:ascii="Arial" w:hAnsi="Arial" w:cs="Arial"/>
                <w:color w:val="000000"/>
                <w:sz w:val="18"/>
                <w:szCs w:val="18"/>
                <w:lang w:eastAsia="en-AU"/>
              </w:rPr>
              <w:t>45674-01 [1684]</w:t>
            </w:r>
          </w:p>
        </w:tc>
      </w:tr>
      <w:tr w:rsidR="007E2BF4" w:rsidRPr="00133190" w:rsidTr="006A7EFC">
        <w:trPr>
          <w:trHeight w:val="9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Removal of breast prosthesis</w:t>
            </w:r>
          </w:p>
        </w:tc>
        <w:tc>
          <w:tcPr>
            <w:tcW w:w="613"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245</w:t>
            </w:r>
          </w:p>
        </w:tc>
        <w:tc>
          <w:tcPr>
            <w:tcW w:w="1360"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 xml:space="preserve">Breast prosthesis - removal of </w:t>
            </w:r>
          </w:p>
        </w:tc>
        <w:tc>
          <w:tcPr>
            <w:tcW w:w="1615" w:type="pct"/>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45548-00 [1758] 4</w:t>
            </w:r>
            <w:r>
              <w:rPr>
                <w:rFonts w:ascii="Arial" w:hAnsi="Arial" w:cs="Arial"/>
                <w:color w:val="000000"/>
                <w:sz w:val="18"/>
                <w:szCs w:val="18"/>
                <w:lang w:eastAsia="en-AU"/>
              </w:rPr>
              <w:t xml:space="preserve">5551-00 [1758] 45552-00 [1758] </w:t>
            </w:r>
            <w:r w:rsidRPr="00133190">
              <w:rPr>
                <w:rFonts w:ascii="Arial" w:hAnsi="Arial" w:cs="Arial"/>
                <w:color w:val="000000"/>
                <w:sz w:val="18"/>
                <w:szCs w:val="18"/>
                <w:lang w:eastAsia="en-AU"/>
              </w:rPr>
              <w:t xml:space="preserve">45554-00 [1758] 45555-00 [1758] 45542-00 [1758] </w:t>
            </w:r>
            <w:r w:rsidRPr="00133190">
              <w:rPr>
                <w:rFonts w:ascii="Arial" w:hAnsi="Arial" w:cs="Arial"/>
                <w:color w:val="000000"/>
                <w:sz w:val="18"/>
                <w:szCs w:val="18"/>
                <w:lang w:eastAsia="en-AU"/>
              </w:rPr>
              <w:br/>
              <w:t>45548-01 [1758] 45548-02 [1758]</w:t>
            </w:r>
          </w:p>
        </w:tc>
      </w:tr>
      <w:tr w:rsidR="007E2BF4" w:rsidRPr="00133190" w:rsidTr="006A7E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 xml:space="preserve">Breast augmentation (bilateral/unilateral)  </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Mastopexy (breast lift)</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 xml:space="preserve">Revision of breast augmentation </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 xml:space="preserve">Nipple and/or areola reconstruction      </w:t>
            </w:r>
          </w:p>
          <w:p w:rsidR="007E2BF4" w:rsidRDefault="007E2BF4" w:rsidP="002132D6">
            <w:pPr>
              <w:rPr>
                <w:rFonts w:ascii="Arial" w:hAnsi="Arial" w:cs="Arial"/>
                <w:sz w:val="18"/>
                <w:szCs w:val="18"/>
                <w:lang w:eastAsia="en-AU"/>
              </w:rPr>
            </w:pPr>
            <w:r w:rsidRPr="006A7EFC">
              <w:rPr>
                <w:rFonts w:ascii="Arial" w:hAnsi="Arial" w:cs="Arial"/>
                <w:sz w:val="18"/>
                <w:szCs w:val="18"/>
                <w:lang w:eastAsia="en-AU"/>
              </w:rPr>
              <w:t xml:space="preserve">Nipple eversion (for nipple inversions)         </w:t>
            </w:r>
          </w:p>
          <w:p w:rsidR="006A7EFC" w:rsidRPr="006A7EFC" w:rsidRDefault="006A7EFC" w:rsidP="002132D6">
            <w:pPr>
              <w:rPr>
                <w:rFonts w:ascii="Arial" w:hAnsi="Arial" w:cs="Arial"/>
                <w:sz w:val="18"/>
                <w:szCs w:val="18"/>
                <w:lang w:eastAsia="en-AU"/>
              </w:rPr>
            </w:pPr>
          </w:p>
        </w:tc>
        <w:tc>
          <w:tcPr>
            <w:tcW w:w="613"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246</w:t>
            </w:r>
          </w:p>
        </w:tc>
        <w:tc>
          <w:tcPr>
            <w:tcW w:w="1360"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Breast reconstruction</w:t>
            </w:r>
          </w:p>
        </w:tc>
        <w:tc>
          <w:tcPr>
            <w:tcW w:w="1615" w:type="pct"/>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45530-02 [1756] 45533-00 [1756] 45536-00 [1756] 45539-00 [1756] 45556-00 [1755] 31563-00 [1755]</w:t>
            </w:r>
          </w:p>
        </w:tc>
      </w:tr>
      <w:tr w:rsidR="007E2BF4" w:rsidRPr="00133190" w:rsidTr="006A7EFC">
        <w:trPr>
          <w:trHeight w:val="6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Breast reduction (bilateral/unilateral)</w:t>
            </w:r>
          </w:p>
        </w:tc>
        <w:tc>
          <w:tcPr>
            <w:tcW w:w="613"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247</w:t>
            </w:r>
          </w:p>
        </w:tc>
        <w:tc>
          <w:tcPr>
            <w:tcW w:w="1360"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Breast reduction</w:t>
            </w:r>
          </w:p>
        </w:tc>
        <w:tc>
          <w:tcPr>
            <w:tcW w:w="1615" w:type="pct"/>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45520-00 [1754] 4</w:t>
            </w:r>
            <w:r>
              <w:rPr>
                <w:rFonts w:ascii="Arial" w:hAnsi="Arial" w:cs="Arial"/>
                <w:color w:val="000000"/>
                <w:sz w:val="18"/>
                <w:szCs w:val="18"/>
                <w:lang w:eastAsia="en-AU"/>
              </w:rPr>
              <w:t xml:space="preserve">5520-01 [1754] 45520-02 [1754] </w:t>
            </w:r>
            <w:r w:rsidRPr="00133190">
              <w:rPr>
                <w:rFonts w:ascii="Arial" w:hAnsi="Arial" w:cs="Arial"/>
                <w:color w:val="000000"/>
                <w:sz w:val="18"/>
                <w:szCs w:val="18"/>
                <w:lang w:eastAsia="en-AU"/>
              </w:rPr>
              <w:t>45520-03 [1754] 45522-00 [1754] 45522-01 [1754]</w:t>
            </w:r>
          </w:p>
        </w:tc>
      </w:tr>
      <w:tr w:rsidR="007E2BF4" w:rsidRPr="00133190" w:rsidTr="006A7E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Circumcision</w:t>
            </w:r>
          </w:p>
        </w:tc>
        <w:tc>
          <w:tcPr>
            <w:tcW w:w="613"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036</w:t>
            </w:r>
          </w:p>
        </w:tc>
        <w:tc>
          <w:tcPr>
            <w:tcW w:w="1360"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Circumcision</w:t>
            </w:r>
          </w:p>
        </w:tc>
        <w:tc>
          <w:tcPr>
            <w:tcW w:w="1615"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30653-00 [1196]</w:t>
            </w:r>
          </w:p>
        </w:tc>
      </w:tr>
      <w:tr w:rsidR="007E2BF4" w:rsidRPr="00133190" w:rsidTr="006A7EFC">
        <w:trPr>
          <w:trHeight w:val="9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Revision of scar</w:t>
            </w:r>
          </w:p>
        </w:tc>
        <w:tc>
          <w:tcPr>
            <w:tcW w:w="613"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214</w:t>
            </w:r>
          </w:p>
        </w:tc>
        <w:tc>
          <w:tcPr>
            <w:tcW w:w="1360"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Scar revision</w:t>
            </w:r>
          </w:p>
        </w:tc>
        <w:tc>
          <w:tcPr>
            <w:tcW w:w="1615" w:type="pct"/>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90533-00 [1404] 4</w:t>
            </w:r>
            <w:r>
              <w:rPr>
                <w:rFonts w:ascii="Arial" w:hAnsi="Arial" w:cs="Arial"/>
                <w:color w:val="000000"/>
                <w:sz w:val="18"/>
                <w:szCs w:val="18"/>
                <w:lang w:eastAsia="en-AU"/>
              </w:rPr>
              <w:t xml:space="preserve">8930-00 [1404] 48957-00 [1404] </w:t>
            </w:r>
            <w:r w:rsidRPr="00133190">
              <w:rPr>
                <w:rFonts w:ascii="Arial" w:hAnsi="Arial" w:cs="Arial"/>
                <w:color w:val="000000"/>
                <w:sz w:val="18"/>
                <w:szCs w:val="18"/>
                <w:lang w:eastAsia="en-AU"/>
              </w:rPr>
              <w:t xml:space="preserve">48948-02 [1404] 48960-00 [1405] 50224-06 [1405] </w:t>
            </w:r>
            <w:r w:rsidRPr="00133190">
              <w:rPr>
                <w:rFonts w:ascii="Arial" w:hAnsi="Arial" w:cs="Arial"/>
                <w:color w:val="000000"/>
                <w:sz w:val="18"/>
                <w:szCs w:val="18"/>
                <w:lang w:eastAsia="en-AU"/>
              </w:rPr>
              <w:br/>
              <w:t>50224-07 [1405] 50224-08 [1405]</w:t>
            </w:r>
          </w:p>
        </w:tc>
      </w:tr>
      <w:tr w:rsidR="007E2BF4" w:rsidRPr="00133190" w:rsidTr="006A7EFC">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Rhinoplasty</w:t>
            </w:r>
          </w:p>
        </w:tc>
        <w:tc>
          <w:tcPr>
            <w:tcW w:w="613"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191</w:t>
            </w:r>
          </w:p>
        </w:tc>
        <w:tc>
          <w:tcPr>
            <w:tcW w:w="1360"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Rhinoplasty</w:t>
            </w:r>
          </w:p>
        </w:tc>
        <w:tc>
          <w:tcPr>
            <w:tcW w:w="1615" w:type="pct"/>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45632-00 [1679] 4</w:t>
            </w:r>
            <w:r>
              <w:rPr>
                <w:rFonts w:ascii="Arial" w:hAnsi="Arial" w:cs="Arial"/>
                <w:color w:val="000000"/>
                <w:sz w:val="18"/>
                <w:szCs w:val="18"/>
                <w:lang w:eastAsia="en-AU"/>
              </w:rPr>
              <w:t xml:space="preserve">5635-00 [1679] 45638-00 [1679] </w:t>
            </w:r>
            <w:r w:rsidRPr="00133190">
              <w:rPr>
                <w:rFonts w:ascii="Arial" w:hAnsi="Arial" w:cs="Arial"/>
                <w:color w:val="000000"/>
                <w:sz w:val="18"/>
                <w:szCs w:val="18"/>
                <w:lang w:eastAsia="en-AU"/>
              </w:rPr>
              <w:t xml:space="preserve">45641-00 [1679] 45641-01 [1679] 45641-02 [1679] </w:t>
            </w:r>
            <w:r w:rsidRPr="00133190">
              <w:rPr>
                <w:rFonts w:ascii="Arial" w:hAnsi="Arial" w:cs="Arial"/>
                <w:color w:val="000000"/>
                <w:sz w:val="18"/>
                <w:szCs w:val="18"/>
                <w:lang w:eastAsia="en-AU"/>
              </w:rPr>
              <w:br/>
              <w:t>45644-00 [1679] 45644-01 [1679] 45644-02 [1679]</w:t>
            </w:r>
          </w:p>
        </w:tc>
      </w:tr>
      <w:tr w:rsidR="007E2BF4" w:rsidRPr="00133190" w:rsidTr="006A7EFC">
        <w:trPr>
          <w:trHeight w:val="9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Varicose vein procedures</w:t>
            </w:r>
          </w:p>
        </w:tc>
        <w:tc>
          <w:tcPr>
            <w:tcW w:w="613"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035</w:t>
            </w:r>
          </w:p>
        </w:tc>
        <w:tc>
          <w:tcPr>
            <w:tcW w:w="1360" w:type="pct"/>
            <w:noWrap/>
            <w:hideMark/>
          </w:tcPr>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Varicose vein procedures</w:t>
            </w:r>
          </w:p>
        </w:tc>
        <w:tc>
          <w:tcPr>
            <w:tcW w:w="1615" w:type="pct"/>
            <w:hideMark/>
          </w:tcPr>
          <w:p w:rsidR="007E2BF4"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 xml:space="preserve">32500-01 [722] 32504-00 [727] </w:t>
            </w:r>
          </w:p>
          <w:p w:rsidR="007E2BF4"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 xml:space="preserve">32508-00 [727] </w:t>
            </w:r>
            <w:r w:rsidRPr="00133190">
              <w:rPr>
                <w:rFonts w:ascii="Arial" w:hAnsi="Arial" w:cs="Arial"/>
                <w:color w:val="000000"/>
                <w:sz w:val="18"/>
                <w:szCs w:val="18"/>
                <w:lang w:eastAsia="en-AU"/>
              </w:rPr>
              <w:t xml:space="preserve">32508-01 [727] </w:t>
            </w:r>
          </w:p>
          <w:p w:rsidR="007E2BF4"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 xml:space="preserve">32511-00 [727] 32504-01 [728] </w:t>
            </w:r>
            <w:r w:rsidRPr="00133190">
              <w:rPr>
                <w:rFonts w:ascii="Arial" w:hAnsi="Arial" w:cs="Arial"/>
                <w:color w:val="000000"/>
                <w:sz w:val="18"/>
                <w:szCs w:val="18"/>
                <w:lang w:eastAsia="en-AU"/>
              </w:rPr>
              <w:br/>
              <w:t xml:space="preserve">32520-00 [728] 32507-00 [728] </w:t>
            </w:r>
          </w:p>
          <w:p w:rsidR="007E2BF4" w:rsidRPr="00133190" w:rsidRDefault="007E2BF4" w:rsidP="002132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32514-00 [737]</w:t>
            </w:r>
          </w:p>
        </w:tc>
      </w:tr>
      <w:tr w:rsidR="007E2BF4" w:rsidRPr="00133190" w:rsidTr="006A7EF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2" w:type="pct"/>
            <w:hideMark/>
          </w:tcPr>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Abdominoplasty / Apronectomy/ Abdominal lipectomy</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Other skin excisions for body contour, for example, buttock, thigh or arm lift</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Liposuction</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Genital surgery aimed at improving appearance</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Insertion of artificial erection devices</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Testicular prosthesis</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Lengthening of penis procedure</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Tattoo removal procedures</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Meloplasty/facelift</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Repair of external ear lobes</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Correction of bat ear(s)</w:t>
            </w:r>
          </w:p>
          <w:p w:rsidR="007E2BF4" w:rsidRPr="006A7EFC" w:rsidRDefault="007E2BF4" w:rsidP="002132D6">
            <w:pPr>
              <w:rPr>
                <w:rFonts w:ascii="Arial" w:hAnsi="Arial" w:cs="Arial"/>
                <w:sz w:val="18"/>
                <w:szCs w:val="18"/>
                <w:lang w:eastAsia="en-AU"/>
              </w:rPr>
            </w:pPr>
            <w:r w:rsidRPr="006A7EFC">
              <w:rPr>
                <w:rFonts w:ascii="Arial" w:hAnsi="Arial" w:cs="Arial"/>
                <w:sz w:val="18"/>
                <w:szCs w:val="18"/>
                <w:lang w:eastAsia="en-AU"/>
              </w:rPr>
              <w:t>Hair transplant</w:t>
            </w:r>
          </w:p>
        </w:tc>
        <w:tc>
          <w:tcPr>
            <w:tcW w:w="613"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160</w:t>
            </w:r>
          </w:p>
        </w:tc>
        <w:tc>
          <w:tcPr>
            <w:tcW w:w="1360"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Other plastic surgery</w:t>
            </w:r>
          </w:p>
        </w:tc>
        <w:tc>
          <w:tcPr>
            <w:tcW w:w="1615" w:type="pct"/>
            <w:noWrap/>
            <w:hideMark/>
          </w:tcPr>
          <w:p w:rsidR="007E2BF4" w:rsidRPr="00133190" w:rsidRDefault="007E2BF4" w:rsidP="002132D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AU"/>
              </w:rPr>
            </w:pPr>
            <w:r w:rsidRPr="00133190">
              <w:rPr>
                <w:rFonts w:ascii="Arial" w:hAnsi="Arial" w:cs="Arial"/>
                <w:color w:val="000000"/>
                <w:sz w:val="18"/>
                <w:szCs w:val="18"/>
                <w:lang w:eastAsia="en-AU"/>
              </w:rPr>
              <w:t> </w:t>
            </w:r>
          </w:p>
        </w:tc>
      </w:tr>
    </w:tbl>
    <w:p w:rsidR="00B15C69" w:rsidRDefault="00B15C69" w:rsidP="00FA722C">
      <w:pPr>
        <w:spacing w:after="0" w:line="240" w:lineRule="auto"/>
        <w:jc w:val="both"/>
        <w:rPr>
          <w:sz w:val="24"/>
          <w:szCs w:val="24"/>
        </w:rPr>
      </w:pPr>
    </w:p>
    <w:p w:rsidR="006F17FD" w:rsidRDefault="006F17FD">
      <w:pPr>
        <w:rPr>
          <w:sz w:val="24"/>
          <w:szCs w:val="24"/>
        </w:rPr>
      </w:pPr>
      <w:r>
        <w:rPr>
          <w:sz w:val="24"/>
          <w:szCs w:val="24"/>
        </w:rPr>
        <w:br w:type="page"/>
      </w:r>
    </w:p>
    <w:p w:rsidR="00B15C69" w:rsidRDefault="00B15C69" w:rsidP="00FA722C">
      <w:pPr>
        <w:spacing w:after="0" w:line="240" w:lineRule="auto"/>
        <w:jc w:val="both"/>
        <w:rPr>
          <w:sz w:val="24"/>
          <w:szCs w:val="24"/>
        </w:rPr>
      </w:pPr>
      <w:r>
        <w:rPr>
          <w:b/>
          <w:sz w:val="24"/>
          <w:szCs w:val="24"/>
        </w:rPr>
        <w:lastRenderedPageBreak/>
        <w:t>Table 4</w:t>
      </w:r>
      <w:r w:rsidR="00141A4F">
        <w:rPr>
          <w:b/>
          <w:sz w:val="24"/>
          <w:szCs w:val="24"/>
        </w:rPr>
        <w:t xml:space="preserve"> – ESIS non-reportable procedures (PPP code 500+)</w:t>
      </w:r>
    </w:p>
    <w:p w:rsidR="00B15C69" w:rsidRDefault="00B15C69" w:rsidP="006F17FD">
      <w:pPr>
        <w:spacing w:after="0" w:line="240" w:lineRule="auto"/>
        <w:jc w:val="both"/>
      </w:pPr>
    </w:p>
    <w:p w:rsidR="00107EC6" w:rsidRDefault="007E2BF4" w:rsidP="00B15C69">
      <w:r w:rsidRPr="007E2BF4">
        <w:rPr>
          <w:noProof/>
          <w:lang w:eastAsia="en-AU"/>
        </w:rPr>
        <w:drawing>
          <wp:inline distT="0" distB="0" distL="0" distR="0" wp14:anchorId="73A0F059" wp14:editId="00317B86">
            <wp:extent cx="6105525" cy="81906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8190671"/>
                    </a:xfrm>
                    <a:prstGeom prst="rect">
                      <a:avLst/>
                    </a:prstGeom>
                    <a:noFill/>
                    <a:ln>
                      <a:noFill/>
                    </a:ln>
                  </pic:spPr>
                </pic:pic>
              </a:graphicData>
            </a:graphic>
          </wp:inline>
        </w:drawing>
      </w:r>
    </w:p>
    <w:p w:rsidR="00B15C69" w:rsidRDefault="004D7563" w:rsidP="00FA722C">
      <w:pPr>
        <w:spacing w:after="0" w:line="240" w:lineRule="auto"/>
        <w:jc w:val="both"/>
        <w:rPr>
          <w:sz w:val="24"/>
          <w:szCs w:val="24"/>
        </w:rPr>
      </w:pPr>
      <w:r w:rsidRPr="004D7563">
        <w:rPr>
          <w:noProof/>
          <w:lang w:eastAsia="en-AU"/>
        </w:rPr>
        <w:lastRenderedPageBreak/>
        <w:drawing>
          <wp:inline distT="0" distB="0" distL="0" distR="0" wp14:anchorId="69B7D58A" wp14:editId="4C87EDFE">
            <wp:extent cx="6105525" cy="990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9907850"/>
                    </a:xfrm>
                    <a:prstGeom prst="rect">
                      <a:avLst/>
                    </a:prstGeom>
                    <a:noFill/>
                    <a:ln>
                      <a:noFill/>
                    </a:ln>
                  </pic:spPr>
                </pic:pic>
              </a:graphicData>
            </a:graphic>
          </wp:inline>
        </w:drawing>
      </w:r>
    </w:p>
    <w:p w:rsidR="007E2BF4" w:rsidRDefault="004D7563" w:rsidP="00FA722C">
      <w:pPr>
        <w:spacing w:after="0" w:line="240" w:lineRule="auto"/>
        <w:jc w:val="both"/>
        <w:rPr>
          <w:sz w:val="24"/>
          <w:szCs w:val="24"/>
        </w:rPr>
      </w:pPr>
      <w:r w:rsidRPr="004D7563">
        <w:rPr>
          <w:noProof/>
          <w:lang w:eastAsia="en-AU"/>
        </w:rPr>
        <w:lastRenderedPageBreak/>
        <w:drawing>
          <wp:inline distT="0" distB="0" distL="0" distR="0" wp14:anchorId="5A211888" wp14:editId="42B702C1">
            <wp:extent cx="6105525" cy="138328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383283"/>
                    </a:xfrm>
                    <a:prstGeom prst="rect">
                      <a:avLst/>
                    </a:prstGeom>
                    <a:noFill/>
                    <a:ln>
                      <a:noFill/>
                    </a:ln>
                  </pic:spPr>
                </pic:pic>
              </a:graphicData>
            </a:graphic>
          </wp:inline>
        </w:drawing>
      </w:r>
    </w:p>
    <w:p w:rsidR="007E2BF4" w:rsidRDefault="007E2BF4" w:rsidP="00FA722C">
      <w:pPr>
        <w:spacing w:after="0" w:line="240" w:lineRule="auto"/>
        <w:jc w:val="both"/>
        <w:rPr>
          <w:sz w:val="24"/>
          <w:szCs w:val="24"/>
        </w:rPr>
      </w:pPr>
    </w:p>
    <w:sectPr w:rsidR="007E2BF4" w:rsidSect="00FC4F97">
      <w:pgSz w:w="11906" w:h="16838"/>
      <w:pgMar w:top="1276" w:right="1440" w:bottom="156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1C" w:rsidRDefault="00C1491C" w:rsidP="00DB1F7F">
      <w:pPr>
        <w:spacing w:after="0" w:line="240" w:lineRule="auto"/>
      </w:pPr>
      <w:r>
        <w:separator/>
      </w:r>
    </w:p>
  </w:endnote>
  <w:endnote w:type="continuationSeparator" w:id="0">
    <w:p w:rsidR="00C1491C" w:rsidRDefault="00C1491C" w:rsidP="00DB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1C" w:rsidRDefault="00C1491C" w:rsidP="00DB1F7F">
      <w:pPr>
        <w:spacing w:after="0" w:line="240" w:lineRule="auto"/>
      </w:pPr>
      <w:r>
        <w:separator/>
      </w:r>
    </w:p>
  </w:footnote>
  <w:footnote w:type="continuationSeparator" w:id="0">
    <w:p w:rsidR="00C1491C" w:rsidRDefault="00C1491C" w:rsidP="00DB1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535"/>
    <w:multiLevelType w:val="hybridMultilevel"/>
    <w:tmpl w:val="B8C2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F6656C"/>
    <w:multiLevelType w:val="hybridMultilevel"/>
    <w:tmpl w:val="558650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8964E8E"/>
    <w:multiLevelType w:val="hybridMultilevel"/>
    <w:tmpl w:val="263403CE"/>
    <w:lvl w:ilvl="0" w:tplc="27C64BA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F559F5"/>
    <w:multiLevelType w:val="hybridMultilevel"/>
    <w:tmpl w:val="CCC6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BC5A9A"/>
    <w:multiLevelType w:val="hybridMultilevel"/>
    <w:tmpl w:val="D34A3CC2"/>
    <w:lvl w:ilvl="0" w:tplc="6B82D57C">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DED44FF"/>
    <w:multiLevelType w:val="hybridMultilevel"/>
    <w:tmpl w:val="49662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6ED028B"/>
    <w:multiLevelType w:val="hybridMultilevel"/>
    <w:tmpl w:val="5B96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A"/>
    <w:rsid w:val="000778B1"/>
    <w:rsid w:val="00084F36"/>
    <w:rsid w:val="00093E19"/>
    <w:rsid w:val="000A39BC"/>
    <w:rsid w:val="00107EC6"/>
    <w:rsid w:val="00125132"/>
    <w:rsid w:val="00141A4F"/>
    <w:rsid w:val="00175E50"/>
    <w:rsid w:val="001A61B5"/>
    <w:rsid w:val="001B1CC0"/>
    <w:rsid w:val="001D5B90"/>
    <w:rsid w:val="00240CDA"/>
    <w:rsid w:val="002530B5"/>
    <w:rsid w:val="002552EF"/>
    <w:rsid w:val="002E7D9B"/>
    <w:rsid w:val="00331B94"/>
    <w:rsid w:val="00352A33"/>
    <w:rsid w:val="00365AB4"/>
    <w:rsid w:val="00373A30"/>
    <w:rsid w:val="00385CEA"/>
    <w:rsid w:val="003F1CC3"/>
    <w:rsid w:val="00405BCC"/>
    <w:rsid w:val="0042720D"/>
    <w:rsid w:val="00433524"/>
    <w:rsid w:val="00440F08"/>
    <w:rsid w:val="00444690"/>
    <w:rsid w:val="00455564"/>
    <w:rsid w:val="004568A2"/>
    <w:rsid w:val="00471C5E"/>
    <w:rsid w:val="00485F6B"/>
    <w:rsid w:val="004D7563"/>
    <w:rsid w:val="00507F95"/>
    <w:rsid w:val="00546508"/>
    <w:rsid w:val="00556073"/>
    <w:rsid w:val="00560D4D"/>
    <w:rsid w:val="00565B53"/>
    <w:rsid w:val="005C7F7B"/>
    <w:rsid w:val="006265E3"/>
    <w:rsid w:val="00626B96"/>
    <w:rsid w:val="00631CD2"/>
    <w:rsid w:val="00643156"/>
    <w:rsid w:val="006A047A"/>
    <w:rsid w:val="006A7EFC"/>
    <w:rsid w:val="006F17FD"/>
    <w:rsid w:val="00767101"/>
    <w:rsid w:val="007C2C9B"/>
    <w:rsid w:val="007D2965"/>
    <w:rsid w:val="007E2BF4"/>
    <w:rsid w:val="0083307C"/>
    <w:rsid w:val="008F5A92"/>
    <w:rsid w:val="0090607A"/>
    <w:rsid w:val="00965244"/>
    <w:rsid w:val="00976876"/>
    <w:rsid w:val="009C0B0E"/>
    <w:rsid w:val="009E074B"/>
    <w:rsid w:val="00A1043A"/>
    <w:rsid w:val="00A474E1"/>
    <w:rsid w:val="00B06840"/>
    <w:rsid w:val="00B15C68"/>
    <w:rsid w:val="00B15C69"/>
    <w:rsid w:val="00B23142"/>
    <w:rsid w:val="00B23D86"/>
    <w:rsid w:val="00B304D0"/>
    <w:rsid w:val="00BB44C8"/>
    <w:rsid w:val="00C1491C"/>
    <w:rsid w:val="00C327C8"/>
    <w:rsid w:val="00C32AD6"/>
    <w:rsid w:val="00D412E7"/>
    <w:rsid w:val="00D618DC"/>
    <w:rsid w:val="00D77091"/>
    <w:rsid w:val="00D85247"/>
    <w:rsid w:val="00D8621A"/>
    <w:rsid w:val="00DB1F7F"/>
    <w:rsid w:val="00DC4B83"/>
    <w:rsid w:val="00E109ED"/>
    <w:rsid w:val="00E12DFD"/>
    <w:rsid w:val="00E622AA"/>
    <w:rsid w:val="00E83686"/>
    <w:rsid w:val="00EE1A31"/>
    <w:rsid w:val="00F107FB"/>
    <w:rsid w:val="00F13074"/>
    <w:rsid w:val="00F27F13"/>
    <w:rsid w:val="00F41AB2"/>
    <w:rsid w:val="00F7750F"/>
    <w:rsid w:val="00FA6394"/>
    <w:rsid w:val="00FA722C"/>
    <w:rsid w:val="00FB7E4B"/>
    <w:rsid w:val="00FC4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132"/>
    <w:pPr>
      <w:ind w:left="720"/>
      <w:contextualSpacing/>
    </w:pPr>
  </w:style>
  <w:style w:type="table" w:styleId="TableGrid">
    <w:name w:val="Table Grid"/>
    <w:basedOn w:val="TableNormal"/>
    <w:rsid w:val="0037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B96"/>
    <w:rPr>
      <w:sz w:val="16"/>
      <w:szCs w:val="16"/>
    </w:rPr>
  </w:style>
  <w:style w:type="paragraph" w:styleId="CommentText">
    <w:name w:val="annotation text"/>
    <w:basedOn w:val="Normal"/>
    <w:link w:val="CommentTextChar"/>
    <w:uiPriority w:val="99"/>
    <w:semiHidden/>
    <w:unhideWhenUsed/>
    <w:rsid w:val="00626B96"/>
    <w:pPr>
      <w:spacing w:line="240" w:lineRule="auto"/>
    </w:pPr>
    <w:rPr>
      <w:sz w:val="20"/>
      <w:szCs w:val="20"/>
    </w:rPr>
  </w:style>
  <w:style w:type="character" w:customStyle="1" w:styleId="CommentTextChar">
    <w:name w:val="Comment Text Char"/>
    <w:basedOn w:val="DefaultParagraphFont"/>
    <w:link w:val="CommentText"/>
    <w:uiPriority w:val="99"/>
    <w:semiHidden/>
    <w:rsid w:val="00626B96"/>
    <w:rPr>
      <w:sz w:val="20"/>
      <w:szCs w:val="20"/>
    </w:rPr>
  </w:style>
  <w:style w:type="paragraph" w:styleId="CommentSubject">
    <w:name w:val="annotation subject"/>
    <w:basedOn w:val="CommentText"/>
    <w:next w:val="CommentText"/>
    <w:link w:val="CommentSubjectChar"/>
    <w:uiPriority w:val="99"/>
    <w:semiHidden/>
    <w:unhideWhenUsed/>
    <w:rsid w:val="00626B96"/>
    <w:rPr>
      <w:b/>
      <w:bCs/>
    </w:rPr>
  </w:style>
  <w:style w:type="character" w:customStyle="1" w:styleId="CommentSubjectChar">
    <w:name w:val="Comment Subject Char"/>
    <w:basedOn w:val="CommentTextChar"/>
    <w:link w:val="CommentSubject"/>
    <w:uiPriority w:val="99"/>
    <w:semiHidden/>
    <w:rsid w:val="00626B96"/>
    <w:rPr>
      <w:b/>
      <w:bCs/>
      <w:sz w:val="20"/>
      <w:szCs w:val="20"/>
    </w:rPr>
  </w:style>
  <w:style w:type="paragraph" w:styleId="BalloonText">
    <w:name w:val="Balloon Text"/>
    <w:basedOn w:val="Normal"/>
    <w:link w:val="BalloonTextChar"/>
    <w:uiPriority w:val="99"/>
    <w:semiHidden/>
    <w:unhideWhenUsed/>
    <w:rsid w:val="0062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96"/>
    <w:rPr>
      <w:rFonts w:ascii="Tahoma" w:hAnsi="Tahoma" w:cs="Tahoma"/>
      <w:sz w:val="16"/>
      <w:szCs w:val="16"/>
    </w:rPr>
  </w:style>
  <w:style w:type="paragraph" w:styleId="EndnoteText">
    <w:name w:val="endnote text"/>
    <w:basedOn w:val="Normal"/>
    <w:link w:val="EndnoteTextChar"/>
    <w:uiPriority w:val="99"/>
    <w:unhideWhenUsed/>
    <w:rsid w:val="00DB1F7F"/>
    <w:pPr>
      <w:spacing w:after="0" w:line="240" w:lineRule="auto"/>
    </w:pPr>
    <w:rPr>
      <w:sz w:val="20"/>
      <w:szCs w:val="20"/>
    </w:rPr>
  </w:style>
  <w:style w:type="character" w:customStyle="1" w:styleId="EndnoteTextChar">
    <w:name w:val="Endnote Text Char"/>
    <w:basedOn w:val="DefaultParagraphFont"/>
    <w:link w:val="EndnoteText"/>
    <w:uiPriority w:val="99"/>
    <w:rsid w:val="00DB1F7F"/>
    <w:rPr>
      <w:sz w:val="20"/>
      <w:szCs w:val="20"/>
    </w:rPr>
  </w:style>
  <w:style w:type="character" w:styleId="EndnoteReference">
    <w:name w:val="endnote reference"/>
    <w:basedOn w:val="DefaultParagraphFont"/>
    <w:uiPriority w:val="99"/>
    <w:semiHidden/>
    <w:unhideWhenUsed/>
    <w:rsid w:val="00DB1F7F"/>
    <w:rPr>
      <w:vertAlign w:val="superscript"/>
    </w:rPr>
  </w:style>
  <w:style w:type="paragraph" w:styleId="FootnoteText">
    <w:name w:val="footnote text"/>
    <w:basedOn w:val="Normal"/>
    <w:link w:val="FootnoteTextChar"/>
    <w:uiPriority w:val="99"/>
    <w:semiHidden/>
    <w:unhideWhenUsed/>
    <w:rsid w:val="00077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8B1"/>
    <w:rPr>
      <w:sz w:val="20"/>
      <w:szCs w:val="20"/>
    </w:rPr>
  </w:style>
  <w:style w:type="character" w:styleId="FootnoteReference">
    <w:name w:val="footnote reference"/>
    <w:basedOn w:val="DefaultParagraphFont"/>
    <w:uiPriority w:val="99"/>
    <w:semiHidden/>
    <w:unhideWhenUsed/>
    <w:rsid w:val="000778B1"/>
    <w:rPr>
      <w:vertAlign w:val="superscript"/>
    </w:rPr>
  </w:style>
  <w:style w:type="paragraph" w:customStyle="1" w:styleId="DHHSbody">
    <w:name w:val="DHHS body"/>
    <w:qFormat/>
    <w:rsid w:val="00BB44C8"/>
    <w:pPr>
      <w:spacing w:after="120" w:line="270" w:lineRule="atLeast"/>
    </w:pPr>
    <w:rPr>
      <w:rFonts w:ascii="Arial" w:eastAsia="Times" w:hAnsi="Arial" w:cs="Times New Roman"/>
      <w:sz w:val="20"/>
      <w:szCs w:val="20"/>
    </w:rPr>
  </w:style>
  <w:style w:type="paragraph" w:customStyle="1" w:styleId="DHHStabletext">
    <w:name w:val="DHHS table text"/>
    <w:uiPriority w:val="99"/>
    <w:qFormat/>
    <w:rsid w:val="00BB44C8"/>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BB44C8"/>
    <w:pPr>
      <w:spacing w:before="80" w:after="60" w:line="240" w:lineRule="auto"/>
    </w:pPr>
    <w:rPr>
      <w:rFonts w:ascii="Arial" w:eastAsia="Times New Roman" w:hAnsi="Arial" w:cs="Times New Roman"/>
      <w:b/>
      <w:color w:val="004EA8"/>
      <w:sz w:val="20"/>
      <w:szCs w:val="20"/>
    </w:rPr>
  </w:style>
  <w:style w:type="table" w:customStyle="1" w:styleId="TableGrid1">
    <w:name w:val="Table Grid1"/>
    <w:basedOn w:val="TableNormal"/>
    <w:next w:val="TableGrid"/>
    <w:uiPriority w:val="59"/>
    <w:rsid w:val="00BB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A7E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A7E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A7EF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A7E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132"/>
    <w:pPr>
      <w:ind w:left="720"/>
      <w:contextualSpacing/>
    </w:pPr>
  </w:style>
  <w:style w:type="table" w:styleId="TableGrid">
    <w:name w:val="Table Grid"/>
    <w:basedOn w:val="TableNormal"/>
    <w:rsid w:val="0037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B96"/>
    <w:rPr>
      <w:sz w:val="16"/>
      <w:szCs w:val="16"/>
    </w:rPr>
  </w:style>
  <w:style w:type="paragraph" w:styleId="CommentText">
    <w:name w:val="annotation text"/>
    <w:basedOn w:val="Normal"/>
    <w:link w:val="CommentTextChar"/>
    <w:uiPriority w:val="99"/>
    <w:semiHidden/>
    <w:unhideWhenUsed/>
    <w:rsid w:val="00626B96"/>
    <w:pPr>
      <w:spacing w:line="240" w:lineRule="auto"/>
    </w:pPr>
    <w:rPr>
      <w:sz w:val="20"/>
      <w:szCs w:val="20"/>
    </w:rPr>
  </w:style>
  <w:style w:type="character" w:customStyle="1" w:styleId="CommentTextChar">
    <w:name w:val="Comment Text Char"/>
    <w:basedOn w:val="DefaultParagraphFont"/>
    <w:link w:val="CommentText"/>
    <w:uiPriority w:val="99"/>
    <w:semiHidden/>
    <w:rsid w:val="00626B96"/>
    <w:rPr>
      <w:sz w:val="20"/>
      <w:szCs w:val="20"/>
    </w:rPr>
  </w:style>
  <w:style w:type="paragraph" w:styleId="CommentSubject">
    <w:name w:val="annotation subject"/>
    <w:basedOn w:val="CommentText"/>
    <w:next w:val="CommentText"/>
    <w:link w:val="CommentSubjectChar"/>
    <w:uiPriority w:val="99"/>
    <w:semiHidden/>
    <w:unhideWhenUsed/>
    <w:rsid w:val="00626B96"/>
    <w:rPr>
      <w:b/>
      <w:bCs/>
    </w:rPr>
  </w:style>
  <w:style w:type="character" w:customStyle="1" w:styleId="CommentSubjectChar">
    <w:name w:val="Comment Subject Char"/>
    <w:basedOn w:val="CommentTextChar"/>
    <w:link w:val="CommentSubject"/>
    <w:uiPriority w:val="99"/>
    <w:semiHidden/>
    <w:rsid w:val="00626B96"/>
    <w:rPr>
      <w:b/>
      <w:bCs/>
      <w:sz w:val="20"/>
      <w:szCs w:val="20"/>
    </w:rPr>
  </w:style>
  <w:style w:type="paragraph" w:styleId="BalloonText">
    <w:name w:val="Balloon Text"/>
    <w:basedOn w:val="Normal"/>
    <w:link w:val="BalloonTextChar"/>
    <w:uiPriority w:val="99"/>
    <w:semiHidden/>
    <w:unhideWhenUsed/>
    <w:rsid w:val="0062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96"/>
    <w:rPr>
      <w:rFonts w:ascii="Tahoma" w:hAnsi="Tahoma" w:cs="Tahoma"/>
      <w:sz w:val="16"/>
      <w:szCs w:val="16"/>
    </w:rPr>
  </w:style>
  <w:style w:type="paragraph" w:styleId="EndnoteText">
    <w:name w:val="endnote text"/>
    <w:basedOn w:val="Normal"/>
    <w:link w:val="EndnoteTextChar"/>
    <w:uiPriority w:val="99"/>
    <w:unhideWhenUsed/>
    <w:rsid w:val="00DB1F7F"/>
    <w:pPr>
      <w:spacing w:after="0" w:line="240" w:lineRule="auto"/>
    </w:pPr>
    <w:rPr>
      <w:sz w:val="20"/>
      <w:szCs w:val="20"/>
    </w:rPr>
  </w:style>
  <w:style w:type="character" w:customStyle="1" w:styleId="EndnoteTextChar">
    <w:name w:val="Endnote Text Char"/>
    <w:basedOn w:val="DefaultParagraphFont"/>
    <w:link w:val="EndnoteText"/>
    <w:uiPriority w:val="99"/>
    <w:rsid w:val="00DB1F7F"/>
    <w:rPr>
      <w:sz w:val="20"/>
      <w:szCs w:val="20"/>
    </w:rPr>
  </w:style>
  <w:style w:type="character" w:styleId="EndnoteReference">
    <w:name w:val="endnote reference"/>
    <w:basedOn w:val="DefaultParagraphFont"/>
    <w:uiPriority w:val="99"/>
    <w:semiHidden/>
    <w:unhideWhenUsed/>
    <w:rsid w:val="00DB1F7F"/>
    <w:rPr>
      <w:vertAlign w:val="superscript"/>
    </w:rPr>
  </w:style>
  <w:style w:type="paragraph" w:styleId="FootnoteText">
    <w:name w:val="footnote text"/>
    <w:basedOn w:val="Normal"/>
    <w:link w:val="FootnoteTextChar"/>
    <w:uiPriority w:val="99"/>
    <w:semiHidden/>
    <w:unhideWhenUsed/>
    <w:rsid w:val="000778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8B1"/>
    <w:rPr>
      <w:sz w:val="20"/>
      <w:szCs w:val="20"/>
    </w:rPr>
  </w:style>
  <w:style w:type="character" w:styleId="FootnoteReference">
    <w:name w:val="footnote reference"/>
    <w:basedOn w:val="DefaultParagraphFont"/>
    <w:uiPriority w:val="99"/>
    <w:semiHidden/>
    <w:unhideWhenUsed/>
    <w:rsid w:val="000778B1"/>
    <w:rPr>
      <w:vertAlign w:val="superscript"/>
    </w:rPr>
  </w:style>
  <w:style w:type="paragraph" w:customStyle="1" w:styleId="DHHSbody">
    <w:name w:val="DHHS body"/>
    <w:qFormat/>
    <w:rsid w:val="00BB44C8"/>
    <w:pPr>
      <w:spacing w:after="120" w:line="270" w:lineRule="atLeast"/>
    </w:pPr>
    <w:rPr>
      <w:rFonts w:ascii="Arial" w:eastAsia="Times" w:hAnsi="Arial" w:cs="Times New Roman"/>
      <w:sz w:val="20"/>
      <w:szCs w:val="20"/>
    </w:rPr>
  </w:style>
  <w:style w:type="paragraph" w:customStyle="1" w:styleId="DHHStabletext">
    <w:name w:val="DHHS table text"/>
    <w:uiPriority w:val="99"/>
    <w:qFormat/>
    <w:rsid w:val="00BB44C8"/>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BB44C8"/>
    <w:pPr>
      <w:spacing w:before="80" w:after="60" w:line="240" w:lineRule="auto"/>
    </w:pPr>
    <w:rPr>
      <w:rFonts w:ascii="Arial" w:eastAsia="Times New Roman" w:hAnsi="Arial" w:cs="Times New Roman"/>
      <w:b/>
      <w:color w:val="004EA8"/>
      <w:sz w:val="20"/>
      <w:szCs w:val="20"/>
    </w:rPr>
  </w:style>
  <w:style w:type="table" w:customStyle="1" w:styleId="TableGrid1">
    <w:name w:val="Table Grid1"/>
    <w:basedOn w:val="TableNormal"/>
    <w:next w:val="TableGrid"/>
    <w:uiPriority w:val="59"/>
    <w:rsid w:val="00BB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A7E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A7E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A7EF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A7E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4221">
      <w:bodyDiv w:val="1"/>
      <w:marLeft w:val="0"/>
      <w:marRight w:val="0"/>
      <w:marTop w:val="0"/>
      <w:marBottom w:val="0"/>
      <w:divBdr>
        <w:top w:val="none" w:sz="0" w:space="0" w:color="auto"/>
        <w:left w:val="none" w:sz="0" w:space="0" w:color="auto"/>
        <w:bottom w:val="none" w:sz="0" w:space="0" w:color="auto"/>
        <w:right w:val="none" w:sz="0" w:space="0" w:color="auto"/>
      </w:divBdr>
    </w:div>
    <w:div w:id="815293882">
      <w:bodyDiv w:val="1"/>
      <w:marLeft w:val="0"/>
      <w:marRight w:val="0"/>
      <w:marTop w:val="0"/>
      <w:marBottom w:val="0"/>
      <w:divBdr>
        <w:top w:val="none" w:sz="0" w:space="0" w:color="auto"/>
        <w:left w:val="none" w:sz="0" w:space="0" w:color="auto"/>
        <w:bottom w:val="none" w:sz="0" w:space="0" w:color="auto"/>
        <w:right w:val="none" w:sz="0" w:space="0" w:color="auto"/>
      </w:divBdr>
    </w:div>
    <w:div w:id="828249119">
      <w:bodyDiv w:val="1"/>
      <w:marLeft w:val="0"/>
      <w:marRight w:val="0"/>
      <w:marTop w:val="0"/>
      <w:marBottom w:val="0"/>
      <w:divBdr>
        <w:top w:val="none" w:sz="0" w:space="0" w:color="auto"/>
        <w:left w:val="none" w:sz="0" w:space="0" w:color="auto"/>
        <w:bottom w:val="none" w:sz="0" w:space="0" w:color="auto"/>
        <w:right w:val="none" w:sz="0" w:space="0" w:color="auto"/>
      </w:divBdr>
    </w:div>
    <w:div w:id="884760663">
      <w:bodyDiv w:val="1"/>
      <w:marLeft w:val="0"/>
      <w:marRight w:val="0"/>
      <w:marTop w:val="0"/>
      <w:marBottom w:val="0"/>
      <w:divBdr>
        <w:top w:val="none" w:sz="0" w:space="0" w:color="auto"/>
        <w:left w:val="none" w:sz="0" w:space="0" w:color="auto"/>
        <w:bottom w:val="none" w:sz="0" w:space="0" w:color="auto"/>
        <w:right w:val="none" w:sz="0" w:space="0" w:color="auto"/>
      </w:divBdr>
    </w:div>
    <w:div w:id="14456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7A8C-46CF-4E04-AEF4-83A4D77B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Potter</dc:creator>
  <cp:lastModifiedBy>Clodagh Walsh</cp:lastModifiedBy>
  <cp:revision>3</cp:revision>
  <cp:lastPrinted>2016-12-28T05:07:00Z</cp:lastPrinted>
  <dcterms:created xsi:type="dcterms:W3CDTF">2016-12-29T23:35:00Z</dcterms:created>
  <dcterms:modified xsi:type="dcterms:W3CDTF">2016-12-29T23:36:00Z</dcterms:modified>
</cp:coreProperties>
</file>