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D2" w:rsidRDefault="0017078B" w:rsidP="0017078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Public Health and Wellbeing (Prescribed Accommodation) Regulations 2020</w:t>
      </w:r>
    </w:p>
    <w:p w:rsidR="00E02077" w:rsidRDefault="00576321" w:rsidP="0017078B">
      <w:pPr>
        <w:jc w:val="center"/>
        <w:rPr>
          <w:b/>
          <w:sz w:val="32"/>
        </w:rPr>
      </w:pPr>
      <w:r>
        <w:rPr>
          <w:b/>
          <w:sz w:val="32"/>
        </w:rPr>
        <w:t xml:space="preserve">Exposure </w:t>
      </w:r>
      <w:r w:rsidR="00E02077">
        <w:rPr>
          <w:b/>
          <w:sz w:val="32"/>
        </w:rPr>
        <w:t xml:space="preserve">Draft </w:t>
      </w:r>
    </w:p>
    <w:p w:rsidR="00576321" w:rsidRDefault="00576321" w:rsidP="0017078B">
      <w:pPr>
        <w:jc w:val="center"/>
        <w:rPr>
          <w:b/>
          <w:sz w:val="32"/>
        </w:rPr>
      </w:pPr>
    </w:p>
    <w:p w:rsidR="0017078B" w:rsidRPr="00B456E7" w:rsidRDefault="0017078B" w:rsidP="0017078B">
      <w:pPr>
        <w:pStyle w:val="Heading-PART"/>
        <w:rPr>
          <w:caps w:val="0"/>
          <w:sz w:val="32"/>
        </w:rPr>
      </w:pPr>
      <w:bookmarkStart w:id="1" w:name="_Toc28675714"/>
      <w:r w:rsidRPr="00B456E7">
        <w:rPr>
          <w:caps w:val="0"/>
          <w:sz w:val="32"/>
        </w:rPr>
        <w:t>Part 1—Preliminary</w:t>
      </w:r>
      <w:bookmarkEnd w:id="1"/>
    </w:p>
    <w:p w:rsidR="0017078B" w:rsidRPr="00A03D6A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2" w:name="_Toc28675715"/>
      <w:r w:rsidRPr="000E3F3F">
        <w:t>1</w:t>
      </w:r>
      <w:r w:rsidRPr="00A03D6A">
        <w:tab/>
        <w:t>Objective</w:t>
      </w:r>
      <w:bookmarkEnd w:id="2"/>
    </w:p>
    <w:p w:rsidR="0017078B" w:rsidRDefault="0017078B" w:rsidP="0017078B">
      <w:pPr>
        <w:pStyle w:val="BodySectionSub"/>
      </w:pPr>
      <w:r w:rsidRPr="00A03D6A">
        <w:t xml:space="preserve">The objective of these Regulations is to prescribe matters required or permitted to be prescribed or necessary to be prescribed to give effect to the prescribed accommodation provisions of the </w:t>
      </w:r>
      <w:r w:rsidRPr="00A03D6A">
        <w:rPr>
          <w:b/>
        </w:rPr>
        <w:t>Public Health and Wellbeing Act 2008</w:t>
      </w:r>
      <w:r w:rsidRPr="00A03D6A">
        <w:t>.</w:t>
      </w:r>
    </w:p>
    <w:p w:rsidR="0017078B" w:rsidRPr="005762E9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3" w:name="_Toc28675716"/>
      <w:r w:rsidRPr="00956E68">
        <w:t>2</w:t>
      </w:r>
      <w:r w:rsidRPr="005762E9">
        <w:tab/>
        <w:t>Authorising provision</w:t>
      </w:r>
      <w:r>
        <w:t>s</w:t>
      </w:r>
      <w:bookmarkEnd w:id="3"/>
    </w:p>
    <w:p w:rsidR="0017078B" w:rsidRDefault="0017078B" w:rsidP="0017078B">
      <w:pPr>
        <w:pStyle w:val="BodySectionSub"/>
      </w:pPr>
      <w:r>
        <w:t xml:space="preserve">These Regulations are made under sections 232 and 235 of the </w:t>
      </w:r>
      <w:r w:rsidRPr="007C0EB9">
        <w:rPr>
          <w:b/>
        </w:rPr>
        <w:t>Public Health and Wellbeing Act 2008</w:t>
      </w:r>
      <w:r>
        <w:t>.</w:t>
      </w:r>
    </w:p>
    <w:p w:rsidR="0017078B" w:rsidRPr="00D259CD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4" w:name="_Toc28675717"/>
      <w:r w:rsidRPr="00956E68">
        <w:t>3</w:t>
      </w:r>
      <w:r>
        <w:tab/>
        <w:t>Commencement</w:t>
      </w:r>
      <w:bookmarkEnd w:id="4"/>
    </w:p>
    <w:p w:rsidR="0017078B" w:rsidRDefault="0017078B" w:rsidP="0017078B">
      <w:pPr>
        <w:pStyle w:val="BodySectionSub"/>
      </w:pPr>
      <w:r>
        <w:t xml:space="preserve">These Regulations come into operation on </w:t>
      </w:r>
      <w:r w:rsidR="00364238">
        <w:t>13</w:t>
      </w:r>
      <w:r>
        <w:t> December 2020.</w:t>
      </w:r>
    </w:p>
    <w:p w:rsidR="002E0EDB" w:rsidRPr="00D259CD" w:rsidRDefault="002E0EDB" w:rsidP="002E0EDB">
      <w:pPr>
        <w:pStyle w:val="DraftHeading1"/>
        <w:tabs>
          <w:tab w:val="right" w:pos="680"/>
        </w:tabs>
        <w:ind w:left="850" w:hanging="850"/>
      </w:pPr>
      <w:r>
        <w:tab/>
        <w:t>4</w:t>
      </w:r>
      <w:r>
        <w:tab/>
        <w:t>Revocation</w:t>
      </w:r>
      <w:r w:rsidR="00800793">
        <w:t>s</w:t>
      </w:r>
    </w:p>
    <w:p w:rsidR="00800793" w:rsidRDefault="00800793" w:rsidP="00800793">
      <w:pPr>
        <w:pStyle w:val="BodySectionSub"/>
      </w:pPr>
      <w:r w:rsidRPr="007450C6">
        <w:t xml:space="preserve">The regulations set out in Schedule 1 are </w:t>
      </w:r>
      <w:r w:rsidRPr="000F1A51">
        <w:rPr>
          <w:b/>
        </w:rPr>
        <w:t>revoked</w:t>
      </w:r>
      <w:r w:rsidRPr="007450C6">
        <w:t>.</w:t>
      </w:r>
    </w:p>
    <w:p w:rsidR="002E0EDB" w:rsidRDefault="002E0EDB" w:rsidP="002E0EDB">
      <w:pPr>
        <w:pStyle w:val="BodySectionSub"/>
      </w:pPr>
    </w:p>
    <w:p w:rsidR="0017078B" w:rsidRDefault="0017078B" w:rsidP="0017078B">
      <w:pPr>
        <w:pStyle w:val="SideNote"/>
        <w:framePr w:wrap="around"/>
        <w:rPr>
          <w:lang w:eastAsia="en-AU"/>
        </w:rPr>
      </w:pPr>
    </w:p>
    <w:p w:rsidR="0017078B" w:rsidRPr="00A03D6A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5" w:name="_Toc28675718"/>
      <w:r w:rsidR="006607EA">
        <w:t>5</w:t>
      </w:r>
      <w:r w:rsidRPr="00A03D6A">
        <w:tab/>
        <w:t>Definitions</w:t>
      </w:r>
      <w:bookmarkEnd w:id="5"/>
    </w:p>
    <w:p w:rsidR="0017078B" w:rsidRPr="00A03D6A" w:rsidRDefault="0017078B" w:rsidP="0017078B">
      <w:pPr>
        <w:pStyle w:val="BodySectionSub"/>
        <w:rPr>
          <w:b/>
        </w:rPr>
      </w:pPr>
      <w:r w:rsidRPr="00A03D6A">
        <w:t>In these Regulations—</w:t>
      </w:r>
    </w:p>
    <w:p w:rsidR="0017078B" w:rsidRPr="00A03D6A" w:rsidRDefault="0017078B" w:rsidP="0017078B">
      <w:pPr>
        <w:pStyle w:val="DraftDefinition2"/>
      </w:pPr>
      <w:r w:rsidRPr="00A03D6A">
        <w:rPr>
          <w:b/>
          <w:i/>
        </w:rPr>
        <w:t>drinking water</w:t>
      </w:r>
      <w:r w:rsidRPr="00A03D6A">
        <w:t xml:space="preserve"> has the same meaning as it has in section 3 of the </w:t>
      </w:r>
      <w:r w:rsidRPr="00A03D6A">
        <w:rPr>
          <w:b/>
        </w:rPr>
        <w:t>Safe Drinking Water Act</w:t>
      </w:r>
      <w:r>
        <w:rPr>
          <w:b/>
        </w:rPr>
        <w:t> </w:t>
      </w:r>
      <w:r w:rsidRPr="00A03D6A">
        <w:rPr>
          <w:b/>
        </w:rPr>
        <w:t>2003</w:t>
      </w:r>
      <w:r w:rsidRPr="00A03D6A">
        <w:t>;</w:t>
      </w:r>
    </w:p>
    <w:p w:rsidR="0017078B" w:rsidRDefault="0017078B" w:rsidP="0017078B">
      <w:pPr>
        <w:pStyle w:val="DraftDefinition2"/>
      </w:pPr>
      <w:r w:rsidRPr="00A03D6A">
        <w:rPr>
          <w:b/>
          <w:i/>
        </w:rPr>
        <w:t>holiday camp</w:t>
      </w:r>
      <w:r w:rsidRPr="00A03D6A">
        <w:t xml:space="preserve"> means any house, building or structure, whether temporary or permanent, which is used for the accommodation of student groups, youth groups or family groups for holiday or recreational purposes;</w:t>
      </w:r>
    </w:p>
    <w:p w:rsidR="0017078B" w:rsidRPr="00A03D6A" w:rsidRDefault="0017078B" w:rsidP="0017078B">
      <w:pPr>
        <w:pStyle w:val="DraftDefinition2"/>
      </w:pPr>
      <w:r w:rsidRPr="00A03D6A">
        <w:rPr>
          <w:b/>
          <w:i/>
        </w:rPr>
        <w:t xml:space="preserve">hostel </w:t>
      </w:r>
      <w:r w:rsidRPr="00A03D6A">
        <w:t>means any house, building or structure, whether temporary or permanent, which is used primarily for the accommodation of travellers;</w:t>
      </w:r>
    </w:p>
    <w:p w:rsidR="0017078B" w:rsidRPr="00A03D6A" w:rsidRDefault="0017078B" w:rsidP="0017078B">
      <w:pPr>
        <w:pStyle w:val="DraftDefinition2"/>
      </w:pPr>
      <w:r w:rsidRPr="00A03D6A">
        <w:rPr>
          <w:b/>
          <w:i/>
        </w:rPr>
        <w:t xml:space="preserve">hotel </w:t>
      </w:r>
      <w:r w:rsidRPr="00A03D6A">
        <w:t xml:space="preserve">includes a residential hotel and any residential premises in respect of which a general licence or on-premises licence is granted under the </w:t>
      </w:r>
      <w:r w:rsidRPr="00A03D6A">
        <w:rPr>
          <w:b/>
        </w:rPr>
        <w:t>Liquor Control Reform Act 1998</w:t>
      </w:r>
      <w:r w:rsidRPr="00A03D6A">
        <w:t>;</w:t>
      </w:r>
    </w:p>
    <w:p w:rsidR="0017078B" w:rsidRPr="00A03D6A" w:rsidRDefault="0017078B" w:rsidP="0017078B">
      <w:pPr>
        <w:pStyle w:val="DraftDefinition2"/>
      </w:pPr>
      <w:r w:rsidRPr="00A03D6A">
        <w:rPr>
          <w:b/>
          <w:i/>
        </w:rPr>
        <w:t>residential accommodation</w:t>
      </w:r>
      <w:r w:rsidRPr="00A03D6A">
        <w:t xml:space="preserve"> means </w:t>
      </w:r>
      <w:r w:rsidR="008A556B" w:rsidRPr="00044734">
        <w:t>all or part of</w:t>
      </w:r>
      <w:r w:rsidR="008A556B">
        <w:t xml:space="preserve"> </w:t>
      </w:r>
      <w:r w:rsidRPr="00A03D6A">
        <w:t xml:space="preserve">any house, building, or other structure used as a place of abode where </w:t>
      </w:r>
      <w:r w:rsidR="00EC1E38">
        <w:t>people</w:t>
      </w:r>
      <w:r w:rsidRPr="00A03D6A">
        <w:t xml:space="preserve"> can live on payment of consideration to the proprietor but does not include—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(a)</w:t>
      </w:r>
      <w:r w:rsidRPr="00A03D6A">
        <w:tab/>
        <w:t>a hotel or motel; or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(b)</w:t>
      </w:r>
      <w:r w:rsidRPr="00A03D6A">
        <w:tab/>
        <w:t>a hostel; or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(c)</w:t>
      </w:r>
      <w:r w:rsidRPr="00A03D6A">
        <w:tab/>
        <w:t>a student dormitory; or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(d)</w:t>
      </w:r>
      <w:r w:rsidRPr="00A03D6A">
        <w:tab/>
        <w:t>a holiday camp; or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lastRenderedPageBreak/>
        <w:tab/>
      </w:r>
      <w:r w:rsidRPr="006504BE">
        <w:t>(e)</w:t>
      </w:r>
      <w:r w:rsidRPr="00A03D6A">
        <w:tab/>
        <w:t>a rooming house;</w:t>
      </w:r>
    </w:p>
    <w:p w:rsidR="0017078B" w:rsidRDefault="0017078B" w:rsidP="0017078B">
      <w:pPr>
        <w:pStyle w:val="DraftDefinition2"/>
      </w:pPr>
      <w:r w:rsidRPr="00A03D6A">
        <w:rPr>
          <w:b/>
          <w:i/>
        </w:rPr>
        <w:t xml:space="preserve">rooming house </w:t>
      </w:r>
      <w:r w:rsidR="00B623E9">
        <w:t xml:space="preserve">has the same meaning as it has in </w:t>
      </w:r>
      <w:r w:rsidR="00D04E6D">
        <w:t xml:space="preserve">section 3(1) of </w:t>
      </w:r>
      <w:r w:rsidR="00B623E9">
        <w:t xml:space="preserve">the </w:t>
      </w:r>
      <w:r w:rsidR="00B623E9" w:rsidRPr="00B623E9">
        <w:rPr>
          <w:b/>
          <w:bCs/>
        </w:rPr>
        <w:t>Residential Tenancies Act 1997</w:t>
      </w:r>
      <w:r w:rsidRPr="00A03D6A">
        <w:t>;</w:t>
      </w:r>
    </w:p>
    <w:p w:rsidR="0017078B" w:rsidRPr="00A03D6A" w:rsidRDefault="0017078B" w:rsidP="0017078B">
      <w:pPr>
        <w:pStyle w:val="DraftDefinition2"/>
      </w:pPr>
      <w:r w:rsidRPr="00A03D6A">
        <w:rPr>
          <w:b/>
          <w:i/>
        </w:rPr>
        <w:t>student dormitory</w:t>
      </w:r>
      <w:r w:rsidRPr="00A03D6A">
        <w:t xml:space="preserve"> means any dormitory, student hostel, hall of residence or residential college for the accommodation of students which is controlled by or operated under an arrangement with or affiliated with—</w:t>
      </w:r>
    </w:p>
    <w:p w:rsidR="0017078B" w:rsidRPr="00A03D6A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(a)</w:t>
      </w:r>
      <w:r w:rsidRPr="00A03D6A">
        <w:tab/>
        <w:t xml:space="preserve">an institution providing educational services for children of </w:t>
      </w:r>
      <w:r w:rsidRPr="00A03D6A">
        <w:rPr>
          <w:b/>
          <w:i/>
        </w:rPr>
        <w:t>compulsory school age</w:t>
      </w:r>
      <w:r w:rsidRPr="00A03D6A">
        <w:t xml:space="preserve"> within the meaning of section 1.1.3(1) of the </w:t>
      </w:r>
      <w:r w:rsidRPr="00A03D6A">
        <w:rPr>
          <w:b/>
        </w:rPr>
        <w:t>Education and Training Reform Act 2006</w:t>
      </w:r>
      <w:r w:rsidRPr="00A03D6A">
        <w:t>; or</w:t>
      </w:r>
    </w:p>
    <w:p w:rsidR="0017078B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(b)</w:t>
      </w:r>
      <w:r w:rsidRPr="00A03D6A">
        <w:tab/>
        <w:t>adult, community and further education services; or</w:t>
      </w:r>
    </w:p>
    <w:p w:rsidR="0017078B" w:rsidRDefault="0017078B" w:rsidP="0017078B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(c)</w:t>
      </w:r>
      <w:r w:rsidRPr="00A03D6A">
        <w:tab/>
        <w:t xml:space="preserve">an </w:t>
      </w:r>
      <w:r w:rsidRPr="000E3F3F">
        <w:rPr>
          <w:b/>
          <w:i/>
        </w:rPr>
        <w:t>autonomous college</w:t>
      </w:r>
      <w:r w:rsidRPr="00A03D6A">
        <w:t xml:space="preserve"> within the meaning of section 1.1.3(1) of the </w:t>
      </w:r>
      <w:r w:rsidRPr="000E3F3F">
        <w:rPr>
          <w:b/>
        </w:rPr>
        <w:t>Education and Training Reform Act 2006</w:t>
      </w:r>
      <w:r w:rsidRPr="00A03D6A">
        <w:t>;</w:t>
      </w:r>
      <w:r w:rsidR="00EC1E38">
        <w:t xml:space="preserve"> or</w:t>
      </w:r>
    </w:p>
    <w:p w:rsidR="00B623E9" w:rsidRPr="00A03D6A" w:rsidRDefault="00B623E9" w:rsidP="00B623E9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</w:t>
      </w:r>
      <w:r>
        <w:t>d</w:t>
      </w:r>
      <w:r w:rsidRPr="006504BE">
        <w:t>)</w:t>
      </w:r>
      <w:r w:rsidRPr="00A03D6A">
        <w:tab/>
        <w:t xml:space="preserve">an </w:t>
      </w:r>
      <w:r w:rsidRPr="000E3F3F">
        <w:rPr>
          <w:b/>
          <w:i/>
        </w:rPr>
        <w:t>adult education institution</w:t>
      </w:r>
      <w:r w:rsidRPr="00A03D6A">
        <w:t xml:space="preserve"> within the meaning of section 1.1.3(1) of the </w:t>
      </w:r>
      <w:r w:rsidRPr="000E3F3F">
        <w:rPr>
          <w:b/>
        </w:rPr>
        <w:t>Education and Training Reform Act 2006</w:t>
      </w:r>
      <w:r w:rsidRPr="00A03D6A">
        <w:t>;</w:t>
      </w:r>
    </w:p>
    <w:p w:rsidR="0017078B" w:rsidRDefault="0017078B" w:rsidP="0017078B">
      <w:pPr>
        <w:pStyle w:val="DraftDefinition2"/>
      </w:pPr>
      <w:r w:rsidRPr="00A03D6A">
        <w:rPr>
          <w:b/>
          <w:i/>
        </w:rPr>
        <w:t xml:space="preserve">temporary crisis accommodation </w:t>
      </w:r>
      <w:r w:rsidRPr="00A03D6A">
        <w:t>means temporary crisis accommodation provided on a non</w:t>
      </w:r>
      <w:r w:rsidR="00EC1E38">
        <w:t>-</w:t>
      </w:r>
      <w:r w:rsidRPr="00A03D6A">
        <w:t xml:space="preserve">profit basis by an agency which receives homelessness support funding from the </w:t>
      </w:r>
      <w:r w:rsidR="0072090C">
        <w:t>State</w:t>
      </w:r>
      <w:r w:rsidRPr="00A03D6A">
        <w:t>;</w:t>
      </w:r>
    </w:p>
    <w:p w:rsidR="0017078B" w:rsidRDefault="0017078B" w:rsidP="0017078B">
      <w:pPr>
        <w:pStyle w:val="DraftDefinition2"/>
      </w:pPr>
      <w:r w:rsidRPr="000E3F3F">
        <w:rPr>
          <w:b/>
          <w:i/>
        </w:rPr>
        <w:t>the Act</w:t>
      </w:r>
      <w:r w:rsidRPr="00A03D6A">
        <w:t xml:space="preserve"> means the </w:t>
      </w:r>
      <w:r w:rsidRPr="000E3F3F">
        <w:rPr>
          <w:b/>
        </w:rPr>
        <w:t>Public Health and Wellbeing Act 2008</w:t>
      </w:r>
      <w:r w:rsidR="00EC1E38">
        <w:t>.</w:t>
      </w:r>
    </w:p>
    <w:p w:rsidR="0017078B" w:rsidRDefault="0017078B" w:rsidP="0017078B">
      <w:pPr>
        <w:pStyle w:val="DraftDefinition2"/>
      </w:pPr>
    </w:p>
    <w:p w:rsidR="0017078B" w:rsidRPr="006F5DC6" w:rsidRDefault="0017078B" w:rsidP="0017078B">
      <w:pPr>
        <w:pStyle w:val="Heading-PART"/>
        <w:rPr>
          <w:caps w:val="0"/>
          <w:sz w:val="32"/>
        </w:rPr>
      </w:pPr>
      <w:r>
        <w:br w:type="page"/>
      </w:r>
      <w:bookmarkStart w:id="6" w:name="_Toc28675719"/>
      <w:r w:rsidRPr="006F5DC6">
        <w:rPr>
          <w:caps w:val="0"/>
          <w:sz w:val="32"/>
        </w:rPr>
        <w:lastRenderedPageBreak/>
        <w:t xml:space="preserve">Part </w:t>
      </w:r>
      <w:r>
        <w:rPr>
          <w:caps w:val="0"/>
          <w:sz w:val="32"/>
        </w:rPr>
        <w:t>2</w:t>
      </w:r>
      <w:r w:rsidRPr="006F5DC6">
        <w:rPr>
          <w:caps w:val="0"/>
          <w:sz w:val="32"/>
        </w:rPr>
        <w:t xml:space="preserve">—Prescribed </w:t>
      </w:r>
      <w:r>
        <w:rPr>
          <w:caps w:val="0"/>
          <w:sz w:val="32"/>
        </w:rPr>
        <w:t>a</w:t>
      </w:r>
      <w:r w:rsidRPr="006F5DC6">
        <w:rPr>
          <w:caps w:val="0"/>
          <w:sz w:val="32"/>
        </w:rPr>
        <w:t>ccommodation</w:t>
      </w:r>
      <w:bookmarkEnd w:id="6"/>
    </w:p>
    <w:p w:rsidR="0017078B" w:rsidRPr="006F5DC6" w:rsidRDefault="0017078B" w:rsidP="0017078B">
      <w:pPr>
        <w:pStyle w:val="Heading-DIVISION"/>
        <w:rPr>
          <w:sz w:val="28"/>
        </w:rPr>
      </w:pPr>
      <w:bookmarkStart w:id="7" w:name="_Toc28675720"/>
      <w:r w:rsidRPr="006F5DC6">
        <w:rPr>
          <w:sz w:val="28"/>
        </w:rPr>
        <w:t>Division 1—Scope and registration</w:t>
      </w:r>
      <w:bookmarkEnd w:id="7"/>
    </w:p>
    <w:p w:rsidR="0017078B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8" w:name="_Toc28675721"/>
      <w:r w:rsidR="006607EA">
        <w:t>6</w:t>
      </w:r>
      <w:r w:rsidRPr="00055355">
        <w:tab/>
        <w:t xml:space="preserve">Prescribed </w:t>
      </w:r>
      <w:r>
        <w:t>a</w:t>
      </w:r>
      <w:r w:rsidRPr="00055355">
        <w:t>ccommodation</w:t>
      </w:r>
      <w:bookmarkEnd w:id="8"/>
    </w:p>
    <w:p w:rsidR="0017078B" w:rsidRDefault="00852ACD" w:rsidP="0017078B">
      <w:pPr>
        <w:pStyle w:val="BodySectionSub"/>
      </w:pPr>
      <w:r>
        <w:t>Except as provided in regulation 7, t</w:t>
      </w:r>
      <w:r w:rsidR="0017078B">
        <w:t>he following classes of accommodation are prescribed accommodation for the purposes of section 3</w:t>
      </w:r>
      <w:r w:rsidR="00364238">
        <w:t>(1)</w:t>
      </w:r>
      <w:r w:rsidR="0017078B">
        <w:t xml:space="preserve"> of the Act—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(a)</w:t>
      </w:r>
      <w:r>
        <w:tab/>
        <w:t>residential accommodation;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(b)</w:t>
      </w:r>
      <w:r>
        <w:tab/>
        <w:t>hotels and motels;</w:t>
      </w:r>
    </w:p>
    <w:p w:rsidR="0017078B" w:rsidRPr="004029CB" w:rsidRDefault="0017078B" w:rsidP="0017078B">
      <w:pPr>
        <w:pStyle w:val="DraftHeading3"/>
        <w:tabs>
          <w:tab w:val="right" w:pos="1757"/>
        </w:tabs>
        <w:ind w:left="1871" w:hanging="1871"/>
        <w:rPr>
          <w:lang w:val="de-DE"/>
        </w:rPr>
      </w:pPr>
      <w:r>
        <w:tab/>
      </w:r>
      <w:r w:rsidRPr="004029CB">
        <w:rPr>
          <w:lang w:val="de-DE"/>
        </w:rPr>
        <w:t>(c)</w:t>
      </w:r>
      <w:r w:rsidRPr="004029CB">
        <w:rPr>
          <w:lang w:val="de-DE"/>
        </w:rPr>
        <w:tab/>
        <w:t>hostels;</w:t>
      </w:r>
    </w:p>
    <w:p w:rsidR="0017078B" w:rsidRPr="004029CB" w:rsidRDefault="0017078B" w:rsidP="0017078B">
      <w:pPr>
        <w:pStyle w:val="DraftHeading3"/>
        <w:tabs>
          <w:tab w:val="right" w:pos="1757"/>
        </w:tabs>
        <w:ind w:left="1871" w:hanging="1871"/>
        <w:rPr>
          <w:lang w:val="de-DE"/>
        </w:rPr>
      </w:pPr>
      <w:r w:rsidRPr="004029CB">
        <w:rPr>
          <w:lang w:val="de-DE"/>
        </w:rPr>
        <w:tab/>
        <w:t>(d)</w:t>
      </w:r>
      <w:r w:rsidRPr="004029CB">
        <w:rPr>
          <w:lang w:val="de-DE"/>
        </w:rPr>
        <w:tab/>
        <w:t>student dormitories;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 w:rsidRPr="004029CB">
        <w:rPr>
          <w:lang w:val="de-DE"/>
        </w:rPr>
        <w:tab/>
      </w:r>
      <w:r w:rsidRPr="00EE48C2">
        <w:t>(e)</w:t>
      </w:r>
      <w:r>
        <w:tab/>
        <w:t>holiday camps;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(f)</w:t>
      </w:r>
      <w:r>
        <w:tab/>
        <w:t>rooming houses.</w:t>
      </w:r>
    </w:p>
    <w:p w:rsidR="00B10F60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9" w:name="_Toc28675722"/>
      <w:r w:rsidR="006607EA">
        <w:t>7</w:t>
      </w:r>
      <w:r w:rsidRPr="00055355">
        <w:tab/>
      </w:r>
      <w:r w:rsidR="00852ACD">
        <w:t>A</w:t>
      </w:r>
      <w:r w:rsidR="0072090C">
        <w:t>ccommodation that is</w:t>
      </w:r>
      <w:bookmarkEnd w:id="9"/>
      <w:r w:rsidR="0072090C">
        <w:t xml:space="preserve"> not prescribed accommodation</w:t>
      </w:r>
    </w:p>
    <w:p w:rsidR="00B10F60" w:rsidRPr="00056A1F" w:rsidRDefault="00B10F60" w:rsidP="00B10F60">
      <w:pPr>
        <w:pStyle w:val="DraftHeading2"/>
        <w:tabs>
          <w:tab w:val="right" w:pos="1247"/>
        </w:tabs>
        <w:ind w:left="1361" w:hanging="1361"/>
      </w:pPr>
      <w:r>
        <w:tab/>
      </w:r>
      <w:r>
        <w:tab/>
        <w:t xml:space="preserve">The following </w:t>
      </w:r>
      <w:r w:rsidR="00852ACD">
        <w:t xml:space="preserve">classes of </w:t>
      </w:r>
      <w:r w:rsidR="0072090C">
        <w:t xml:space="preserve">accommodation </w:t>
      </w:r>
      <w:r>
        <w:t>are not prescribed accommodation—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(a)</w:t>
      </w:r>
      <w:r>
        <w:tab/>
        <w:t xml:space="preserve">a house under the exclusive occupation of the occupier; </w:t>
      </w:r>
    </w:p>
    <w:p w:rsidR="00852ACD" w:rsidRDefault="0017078B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(b)</w:t>
      </w:r>
      <w:r>
        <w:tab/>
        <w:t xml:space="preserve">a self-contained </w:t>
      </w:r>
      <w:r w:rsidR="00D04E6D">
        <w:t>apartment</w:t>
      </w:r>
      <w:r w:rsidR="00852ACD">
        <w:t xml:space="preserve"> under the exclusive occupation of the occupier consisting of a suite of rooms that—</w:t>
      </w:r>
    </w:p>
    <w:p w:rsidR="005E2D71" w:rsidRDefault="00852ACD" w:rsidP="00D04E6D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 w:rsidR="005E2D71">
        <w:t>forms a portion or portions of a building; and</w:t>
      </w:r>
    </w:p>
    <w:p w:rsidR="005E2D71" w:rsidRDefault="005E2D71" w:rsidP="00D04E6D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(ii) includes kitchen bathroom and toilet facilities; and</w:t>
      </w:r>
    </w:p>
    <w:p w:rsidR="0017078B" w:rsidRDefault="005E2D71" w:rsidP="00D04E6D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(iii) forms a self-contained residence</w:t>
      </w:r>
      <w:r w:rsidR="0017078B">
        <w:t xml:space="preserve">; 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(c)</w:t>
      </w:r>
      <w:r>
        <w:tab/>
        <w:t xml:space="preserve">temporary crisis accommodation; 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6770FD">
        <w:t>(d)</w:t>
      </w:r>
      <w:r>
        <w:tab/>
        <w:t xml:space="preserve">a health or residential service within the meaning of section 3(1) of the </w:t>
      </w:r>
      <w:r w:rsidRPr="00596A5D">
        <w:rPr>
          <w:b/>
        </w:rPr>
        <w:t>Residential Tenancies Act 1997</w:t>
      </w:r>
      <w:r>
        <w:t xml:space="preserve">; </w:t>
      </w:r>
    </w:p>
    <w:p w:rsidR="0017078B" w:rsidRPr="00BE26E0" w:rsidRDefault="0017078B" w:rsidP="0017078B">
      <w:pPr>
        <w:pStyle w:val="AmendHeading1s"/>
        <w:rPr>
          <w:b w:val="0"/>
        </w:rPr>
      </w:pPr>
      <w:r>
        <w:rPr>
          <w:b w:val="0"/>
        </w:rPr>
        <w:tab/>
      </w:r>
      <w:r w:rsidRPr="00BE26E0">
        <w:rPr>
          <w:b w:val="0"/>
        </w:rPr>
        <w:t>(e)</w:t>
      </w:r>
      <w:r w:rsidRPr="00BE26E0">
        <w:rPr>
          <w:b w:val="0"/>
        </w:rPr>
        <w:tab/>
        <w:t>a residential care service within the meaning</w:t>
      </w:r>
      <w:r>
        <w:rPr>
          <w:b w:val="0"/>
        </w:rPr>
        <w:t> </w:t>
      </w:r>
      <w:r w:rsidRPr="00BE26E0">
        <w:rPr>
          <w:b w:val="0"/>
        </w:rPr>
        <w:t>of the Aged Care Ac</w:t>
      </w:r>
      <w:r>
        <w:rPr>
          <w:b w:val="0"/>
        </w:rPr>
        <w:t xml:space="preserve">t 1997 of the Commonwealth; 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</w:t>
      </w:r>
      <w:r>
        <w:t>f</w:t>
      </w:r>
      <w:r w:rsidRPr="00EE48C2">
        <w:t>)</w:t>
      </w:r>
      <w:r>
        <w:tab/>
        <w:t xml:space="preserve">a retirement village within the meaning of section 3(1) of the </w:t>
      </w:r>
      <w:r>
        <w:rPr>
          <w:b/>
        </w:rPr>
        <w:t>Retirement Villages Act </w:t>
      </w:r>
      <w:r w:rsidRPr="00727056">
        <w:rPr>
          <w:b/>
        </w:rPr>
        <w:t>1986</w:t>
      </w:r>
      <w:r>
        <w:t xml:space="preserve">; 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</w:t>
      </w:r>
      <w:r>
        <w:t>g</w:t>
      </w:r>
      <w:r w:rsidRPr="00EE48C2">
        <w:t>)</w:t>
      </w:r>
      <w:r>
        <w:tab/>
        <w:t xml:space="preserve">a house, building or structure to which Part 4 of the </w:t>
      </w:r>
      <w:r w:rsidRPr="00727056">
        <w:rPr>
          <w:b/>
        </w:rPr>
        <w:t>R</w:t>
      </w:r>
      <w:r>
        <w:rPr>
          <w:b/>
        </w:rPr>
        <w:t>esidential Tenancies Act </w:t>
      </w:r>
      <w:r w:rsidRPr="00727056">
        <w:rPr>
          <w:b/>
        </w:rPr>
        <w:t>1997</w:t>
      </w:r>
      <w:r>
        <w:t xml:space="preserve"> applies; 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</w:t>
      </w:r>
      <w:r>
        <w:t>h</w:t>
      </w:r>
      <w:r w:rsidRPr="00EE48C2">
        <w:t>)</w:t>
      </w:r>
      <w:r>
        <w:tab/>
        <w:t xml:space="preserve">a vessel, vehicle, tent or caravan; </w:t>
      </w:r>
    </w:p>
    <w:p w:rsidR="008A556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EE48C2">
        <w:t>(</w:t>
      </w:r>
      <w:proofErr w:type="spellStart"/>
      <w:r>
        <w:t>i</w:t>
      </w:r>
      <w:proofErr w:type="spellEnd"/>
      <w:r w:rsidRPr="00EE48C2">
        <w:t>)</w:t>
      </w:r>
      <w:r>
        <w:tab/>
        <w:t>premises in which, other than the family of the proprietor, not more than 5 </w:t>
      </w:r>
      <w:r w:rsidR="00EC1E38">
        <w:t>people</w:t>
      </w:r>
      <w:r>
        <w:t xml:space="preserve"> are accommodated, and which is not a rooming house</w:t>
      </w:r>
      <w:r w:rsidR="008A556B">
        <w:t>; or</w:t>
      </w:r>
    </w:p>
    <w:p w:rsidR="008A556B" w:rsidRPr="00F81ED1" w:rsidRDefault="008A556B" w:rsidP="008A556B">
      <w:pPr>
        <w:ind w:left="1560"/>
        <w:rPr>
          <w:rFonts w:eastAsia="Times New Roman"/>
          <w:szCs w:val="20"/>
        </w:rPr>
      </w:pPr>
      <w:r w:rsidRPr="00044734">
        <w:rPr>
          <w:rFonts w:eastAsia="Times New Roman"/>
          <w:szCs w:val="20"/>
        </w:rPr>
        <w:t xml:space="preserve">(j) an SDA enrolled dwelling within the meaning of section 3(1) of the </w:t>
      </w:r>
      <w:r w:rsidRPr="00044734">
        <w:rPr>
          <w:rFonts w:eastAsia="Times New Roman"/>
          <w:b/>
          <w:bCs/>
          <w:szCs w:val="20"/>
        </w:rPr>
        <w:t>Residential Tenancies Act 1997</w:t>
      </w:r>
      <w:r>
        <w:rPr>
          <w:rFonts w:eastAsia="Times New Roman"/>
          <w:szCs w:val="20"/>
        </w:rPr>
        <w:t>.</w:t>
      </w:r>
    </w:p>
    <w:p w:rsidR="0017078B" w:rsidRDefault="0017078B" w:rsidP="0017078B">
      <w:pPr>
        <w:pStyle w:val="DraftHeading1"/>
        <w:tabs>
          <w:tab w:val="right" w:pos="680"/>
        </w:tabs>
        <w:ind w:left="850" w:hanging="850"/>
      </w:pPr>
      <w:bookmarkStart w:id="10" w:name="_Toc28675723"/>
      <w:r>
        <w:tab/>
      </w:r>
      <w:r w:rsidR="006607EA">
        <w:t>8</w:t>
      </w:r>
      <w:r>
        <w:tab/>
        <w:t>Applications for registration</w:t>
      </w:r>
      <w:bookmarkEnd w:id="10"/>
    </w:p>
    <w:p w:rsidR="0017078B" w:rsidRDefault="0017078B" w:rsidP="0017078B">
      <w:pPr>
        <w:pStyle w:val="BodySectionSub"/>
      </w:pPr>
      <w:r>
        <w:t xml:space="preserve">For the purpose of section 71(c) of the Act, the prescribed particulars </w:t>
      </w:r>
      <w:r w:rsidR="00D04E6D">
        <w:t xml:space="preserve">for an application to register prescribed accommodation </w:t>
      </w:r>
      <w:r>
        <w:t>are—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lastRenderedPageBreak/>
        <w:tab/>
      </w:r>
      <w:r w:rsidRPr="007C0EB9">
        <w:t>(a)</w:t>
      </w:r>
      <w:r>
        <w:tab/>
      </w:r>
      <w:r w:rsidR="00D04E6D">
        <w:t xml:space="preserve">a plan of the premises drawn to a scale of not less </w:t>
      </w:r>
      <w:r w:rsidR="00364238">
        <w:t>than</w:t>
      </w:r>
      <w:r w:rsidR="00D04E6D">
        <w:t xml:space="preserve"> 1:100 and showing the proposed use of each room;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b</w:t>
      </w:r>
      <w:r w:rsidRPr="007C0EB9">
        <w:t>)</w:t>
      </w:r>
      <w:r>
        <w:tab/>
        <w:t>the date of the application for registration;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c</w:t>
      </w:r>
      <w:r w:rsidRPr="007C0EB9">
        <w:t>)</w:t>
      </w:r>
      <w:r>
        <w:tab/>
        <w:t>the name and address of the proprietor;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d</w:t>
      </w:r>
      <w:r w:rsidRPr="007C0EB9">
        <w:t>)</w:t>
      </w:r>
      <w:r>
        <w:tab/>
        <w:t>the address of the premises;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e</w:t>
      </w:r>
      <w:r w:rsidRPr="007C0EB9">
        <w:t>)</w:t>
      </w:r>
      <w:r>
        <w:tab/>
        <w:t>the date of the registration.</w:t>
      </w:r>
    </w:p>
    <w:p w:rsidR="00D04E6D" w:rsidRDefault="00D04E6D" w:rsidP="00D04E6D">
      <w:pPr>
        <w:pStyle w:val="DraftHeading1"/>
        <w:tabs>
          <w:tab w:val="right" w:pos="680"/>
        </w:tabs>
        <w:ind w:left="850" w:hanging="850"/>
      </w:pPr>
      <w:r>
        <w:tab/>
        <w:t>9</w:t>
      </w:r>
      <w:r>
        <w:tab/>
        <w:t>Applications for renewal of registration</w:t>
      </w:r>
    </w:p>
    <w:p w:rsidR="00D04E6D" w:rsidRDefault="00D04E6D" w:rsidP="00D04E6D">
      <w:pPr>
        <w:pStyle w:val="BodySectionSub"/>
      </w:pPr>
      <w:r>
        <w:t>For the purpose of section 71(c) of the Act, the prescribed particulars for an application to renew the registration of prescribed accommodation are—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 w:rsidR="006444C2">
        <w:t>a</w:t>
      </w:r>
      <w:r w:rsidRPr="007C0EB9">
        <w:t>)</w:t>
      </w:r>
      <w:r>
        <w:tab/>
        <w:t>the date of the application for registration;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 w:rsidR="006444C2">
        <w:t>b</w:t>
      </w:r>
      <w:r w:rsidRPr="007C0EB9">
        <w:t>)</w:t>
      </w:r>
      <w:r>
        <w:tab/>
        <w:t>the name and address of the proprietor;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 w:rsidR="006444C2">
        <w:t>c</w:t>
      </w:r>
      <w:r w:rsidRPr="007C0EB9">
        <w:t>)</w:t>
      </w:r>
      <w:r>
        <w:tab/>
        <w:t>the address of the premises;</w:t>
      </w:r>
      <w:r w:rsidR="00B10F60">
        <w:t xml:space="preserve"> and</w:t>
      </w:r>
    </w:p>
    <w:p w:rsidR="00D04E6D" w:rsidRDefault="00D04E6D" w:rsidP="00D04E6D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 w:rsidR="006444C2">
        <w:t>d</w:t>
      </w:r>
      <w:r w:rsidRPr="007C0EB9">
        <w:t>)</w:t>
      </w:r>
      <w:r>
        <w:tab/>
        <w:t>the date of</w:t>
      </w:r>
      <w:r w:rsidR="006444C2">
        <w:t xml:space="preserve"> renewal;</w:t>
      </w:r>
      <w:r w:rsidR="00B10F60">
        <w:t xml:space="preserve"> and</w:t>
      </w:r>
    </w:p>
    <w:p w:rsidR="006444C2" w:rsidRDefault="0017078B" w:rsidP="006444C2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 w:rsidR="006444C2">
        <w:t>e</w:t>
      </w:r>
      <w:r w:rsidRPr="007C0EB9">
        <w:t>)</w:t>
      </w:r>
      <w:r>
        <w:tab/>
      </w:r>
      <w:r w:rsidR="006444C2">
        <w:t>any conditions on the grant of registration or renewal.</w:t>
      </w:r>
    </w:p>
    <w:p w:rsidR="007863D9" w:rsidRDefault="007863D9" w:rsidP="007863D9">
      <w:pPr>
        <w:pStyle w:val="DraftHeading1"/>
        <w:tabs>
          <w:tab w:val="right" w:pos="680"/>
        </w:tabs>
        <w:ind w:left="850" w:hanging="850"/>
      </w:pPr>
      <w:r>
        <w:tab/>
        <w:t>10</w:t>
      </w:r>
      <w:r>
        <w:tab/>
        <w:t xml:space="preserve">Applications for </w:t>
      </w:r>
      <w:r w:rsidR="00E02077">
        <w:t>transfer</w:t>
      </w:r>
      <w:r>
        <w:t xml:space="preserve"> of registration</w:t>
      </w:r>
    </w:p>
    <w:p w:rsidR="007863D9" w:rsidRDefault="007863D9" w:rsidP="007863D9">
      <w:pPr>
        <w:pStyle w:val="BodySectionSub"/>
      </w:pPr>
      <w:r>
        <w:t>For the purpose of section 71(c) of the Act, the prescribed particulars for an application to transfer the registration of prescribed accommodation are—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a</w:t>
      </w:r>
      <w:r w:rsidRPr="007C0EB9">
        <w:t>)</w:t>
      </w:r>
      <w:r>
        <w:tab/>
        <w:t>the date of the application for transfer of registration;</w:t>
      </w:r>
      <w:r w:rsidR="00B10F60">
        <w:t xml:space="preserve"> and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b</w:t>
      </w:r>
      <w:r w:rsidRPr="007C0EB9">
        <w:t>)</w:t>
      </w:r>
      <w:r>
        <w:tab/>
        <w:t>the name and address of the proprietor;</w:t>
      </w:r>
      <w:r w:rsidR="00B10F60">
        <w:t xml:space="preserve"> and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c</w:t>
      </w:r>
      <w:r w:rsidRPr="007C0EB9">
        <w:t>)</w:t>
      </w:r>
      <w:r>
        <w:tab/>
        <w:t>the address of the premises;</w:t>
      </w:r>
      <w:r w:rsidR="00B10F60">
        <w:t xml:space="preserve"> and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d</w:t>
      </w:r>
      <w:r w:rsidRPr="007C0EB9">
        <w:t>)</w:t>
      </w:r>
      <w:r>
        <w:tab/>
        <w:t>the date of</w:t>
      </w:r>
      <w:r w:rsidRPr="00560BBA">
        <w:rPr>
          <w:i/>
          <w:iCs/>
        </w:rPr>
        <w:t xml:space="preserve"> </w:t>
      </w:r>
      <w:r w:rsidR="00560BBA" w:rsidRPr="00091E4B">
        <w:t>proposed</w:t>
      </w:r>
      <w:r w:rsidR="00560BBA">
        <w:t xml:space="preserve"> </w:t>
      </w:r>
      <w:r>
        <w:t>transfer of registration;</w:t>
      </w:r>
      <w:r w:rsidR="00B10F60">
        <w:t xml:space="preserve"> and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e</w:t>
      </w:r>
      <w:r w:rsidRPr="007C0EB9">
        <w:t>)</w:t>
      </w:r>
      <w:r>
        <w:tab/>
        <w:t>the name and address of the person to whom the registration is transferred</w:t>
      </w:r>
      <w:r w:rsidR="00786371">
        <w:t>;</w:t>
      </w:r>
      <w:r w:rsidR="00B10F60">
        <w:t xml:space="preserve"> and</w:t>
      </w:r>
    </w:p>
    <w:p w:rsidR="007863D9" w:rsidRDefault="007863D9" w:rsidP="007863D9">
      <w:pPr>
        <w:pStyle w:val="DraftHeading3"/>
        <w:tabs>
          <w:tab w:val="right" w:pos="1757"/>
        </w:tabs>
        <w:ind w:left="1871" w:hanging="1871"/>
      </w:pPr>
      <w:r>
        <w:tab/>
      </w:r>
      <w:r w:rsidRPr="007C0EB9">
        <w:t>(</w:t>
      </w:r>
      <w:r>
        <w:t>f</w:t>
      </w:r>
      <w:r w:rsidRPr="007C0EB9">
        <w:t>)</w:t>
      </w:r>
      <w:r>
        <w:tab/>
        <w:t xml:space="preserve">the address of the premises to which the registration is </w:t>
      </w:r>
      <w:r w:rsidRPr="00A03D6A">
        <w:t>transferred</w:t>
      </w:r>
      <w:r>
        <w:t>.</w:t>
      </w:r>
    </w:p>
    <w:p w:rsidR="0017078B" w:rsidRPr="006F5DC6" w:rsidRDefault="0017078B" w:rsidP="0017078B">
      <w:pPr>
        <w:pStyle w:val="Heading-DIVISION"/>
        <w:rPr>
          <w:sz w:val="28"/>
        </w:rPr>
      </w:pPr>
      <w:bookmarkStart w:id="11" w:name="_Toc28675724"/>
      <w:r w:rsidRPr="006F5DC6">
        <w:rPr>
          <w:sz w:val="28"/>
        </w:rPr>
        <w:t>Division 2—Standards and requirements for prescribed accommodation</w:t>
      </w:r>
      <w:bookmarkEnd w:id="11"/>
    </w:p>
    <w:p w:rsidR="0017078B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12" w:name="_Toc28675725"/>
      <w:r w:rsidR="00560BBA">
        <w:t>11</w:t>
      </w:r>
      <w:r w:rsidRPr="00DD0732">
        <w:tab/>
        <w:t>Overcrowd</w:t>
      </w:r>
      <w:r>
        <w:t>ing in prescribed accommodation</w:t>
      </w:r>
      <w:bookmarkEnd w:id="12"/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(1)</w:t>
      </w:r>
      <w:r>
        <w:tab/>
      </w:r>
      <w:r w:rsidRPr="00056A1F">
        <w:t>A proprietor of prescribed accommodation must comply with this regulation in relation to the maximum number of p</w:t>
      </w:r>
      <w:r w:rsidR="00783DF2">
        <w:t>eople</w:t>
      </w:r>
      <w:r w:rsidRPr="00056A1F">
        <w:t xml:space="preserve"> permitted to be accommodated in each bedroom in the prescribed accommodation.</w:t>
      </w:r>
    </w:p>
    <w:p w:rsidR="0017078B" w:rsidRDefault="0017078B" w:rsidP="0017078B">
      <w:pPr>
        <w:pStyle w:val="DraftPenalty2"/>
        <w:numPr>
          <w:ilvl w:val="0"/>
          <w:numId w:val="1"/>
        </w:numPr>
      </w:pPr>
      <w:r w:rsidRPr="00056A1F">
        <w:t>20 penalty units.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(2)</w:t>
      </w:r>
      <w:r>
        <w:tab/>
      </w:r>
      <w:r w:rsidRPr="00056A1F">
        <w:t>A proprietor of prescribed accommodation must not permit a room in the prescribed accommodation to be used as a bedroom if it has a floor area of less than 7</w:t>
      </w:r>
      <w:r>
        <w:t>·</w:t>
      </w:r>
      <w:r w:rsidRPr="00056A1F">
        <w:t>5 square metres.</w:t>
      </w:r>
    </w:p>
    <w:p w:rsidR="0017078B" w:rsidRDefault="0017078B" w:rsidP="0017078B">
      <w:pPr>
        <w:pStyle w:val="DraftPenalty2"/>
        <w:numPr>
          <w:ilvl w:val="0"/>
          <w:numId w:val="2"/>
        </w:numPr>
      </w:pPr>
      <w:r w:rsidRPr="00056A1F">
        <w:t>20 penalty units.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(3)</w:t>
      </w:r>
      <w:r w:rsidRPr="00056A1F">
        <w:tab/>
        <w:t xml:space="preserve">If </w:t>
      </w:r>
      <w:r w:rsidR="00783DF2">
        <w:t>people</w:t>
      </w:r>
      <w:r w:rsidRPr="00056A1F">
        <w:t xml:space="preserve"> are accommodated in prescribed accommodation for a period of more than 31 days, the maximum number of p</w:t>
      </w:r>
      <w:r w:rsidR="00783DF2">
        <w:t>eople</w:t>
      </w:r>
      <w:r w:rsidRPr="00056A1F">
        <w:t xml:space="preserve"> permitted to occupy a bedroom in respect of the period after the thirty-first day is—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lastRenderedPageBreak/>
        <w:tab/>
      </w:r>
      <w:r w:rsidRPr="007B7C50">
        <w:t>(a)</w:t>
      </w:r>
      <w:r w:rsidRPr="00056A1F">
        <w:tab/>
        <w:t>in the case of a bedroom with a floor are</w:t>
      </w:r>
      <w:r>
        <w:t xml:space="preserve">a of less than 12 square metres, </w:t>
      </w:r>
      <w:r w:rsidRPr="00056A1F">
        <w:t>one person;</w:t>
      </w:r>
      <w:r w:rsidR="00B10F60">
        <w:t xml:space="preserve">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in the case of a bedroom with a floor a</w:t>
      </w:r>
      <w:r>
        <w:t xml:space="preserve">rea of 12 square metres or more, </w:t>
      </w:r>
      <w:r w:rsidRPr="00056A1F">
        <w:t>2 p</w:t>
      </w:r>
      <w:r w:rsidR="00783DF2">
        <w:t>eople</w:t>
      </w:r>
      <w:r w:rsidRPr="00056A1F">
        <w:t xml:space="preserve"> and an additional person for every 4 square metres of floor area that exceeds 12 square metres.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(4)</w:t>
      </w:r>
      <w:r w:rsidRPr="00056A1F">
        <w:tab/>
        <w:t>If pe</w:t>
      </w:r>
      <w:r w:rsidR="00783DF2">
        <w:t>ople</w:t>
      </w:r>
      <w:r w:rsidRPr="00056A1F">
        <w:t xml:space="preserve"> are accommodated in prescribed accommodation</w:t>
      </w:r>
      <w:r>
        <w:t>,</w:t>
      </w:r>
      <w:r w:rsidRPr="00056A1F">
        <w:t xml:space="preserve"> other than a holiday camp</w:t>
      </w:r>
      <w:r>
        <w:t>,</w:t>
      </w:r>
      <w:r w:rsidRPr="00056A1F">
        <w:t xml:space="preserve"> for a period of 31 days or less, the maximum number of p</w:t>
      </w:r>
      <w:r w:rsidR="00783DF2">
        <w:t>eople</w:t>
      </w:r>
      <w:r w:rsidRPr="00056A1F">
        <w:t xml:space="preserve"> permitted to occupy a bedroom is—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in the case of a bedroom with a floor are</w:t>
      </w:r>
      <w:r>
        <w:t xml:space="preserve">a of less than 10 square metres, </w:t>
      </w:r>
      <w:r w:rsidRPr="00056A1F">
        <w:t>2 pe</w:t>
      </w:r>
      <w:r w:rsidR="00783DF2">
        <w:t>ople</w:t>
      </w:r>
      <w:r w:rsidRPr="00056A1F">
        <w:t>;</w:t>
      </w:r>
      <w:r w:rsidR="00B10F60">
        <w:t xml:space="preserve">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in the case of a bedroom with a floor a</w:t>
      </w:r>
      <w:r>
        <w:t xml:space="preserve">rea of 10 square metres or more, </w:t>
      </w:r>
      <w:r w:rsidRPr="00056A1F">
        <w:t>3 p</w:t>
      </w:r>
      <w:r w:rsidR="00783DF2">
        <w:t>eople</w:t>
      </w:r>
      <w:r w:rsidRPr="00056A1F">
        <w:t xml:space="preserve"> and an additional person for every 2 square metres of floor area that exceeds 10 square metres.</w:t>
      </w:r>
    </w:p>
    <w:p w:rsidR="0017078B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(5)</w:t>
      </w:r>
      <w:r w:rsidRPr="00056A1F">
        <w:tab/>
        <w:t xml:space="preserve">Subject to </w:t>
      </w:r>
      <w:proofErr w:type="spellStart"/>
      <w:r w:rsidRPr="00056A1F">
        <w:t>subregulation</w:t>
      </w:r>
      <w:proofErr w:type="spellEnd"/>
      <w:r w:rsidRPr="00056A1F">
        <w:t xml:space="preserve"> (</w:t>
      </w:r>
      <w:r>
        <w:t>2</w:t>
      </w:r>
      <w:r w:rsidRPr="00056A1F">
        <w:t>), a proprietor of a holiday camp must provide at least 2 square metres of floor area in a bedroom for each person who is accommodated for a period of 31 days or less.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(6)</w:t>
      </w:r>
      <w:r w:rsidRPr="00056A1F">
        <w:tab/>
      </w:r>
      <w:r>
        <w:t>For the purposes of</w:t>
      </w:r>
      <w:r w:rsidRPr="00056A1F">
        <w:t xml:space="preserve"> this regulation—</w:t>
      </w:r>
    </w:p>
    <w:p w:rsidR="0017078B" w:rsidRPr="00056A1F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one child under the age of 3 ye</w:t>
      </w:r>
      <w:r>
        <w:t>ars is not counted as a person;</w:t>
      </w:r>
      <w:r w:rsidR="00B10F60">
        <w:t xml:space="preserve">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two children under the age of 3 y</w:t>
      </w:r>
      <w:r>
        <w:t>ears are counted as one person;</w:t>
      </w:r>
      <w:r w:rsidR="00B10F60">
        <w:t xml:space="preserve">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(c)</w:t>
      </w:r>
      <w:r w:rsidRPr="00056A1F">
        <w:tab/>
        <w:t>floor area includes the area occupied by any cupboard or other built-in furniture, fixture or fitting but does not include any area occupied by any bathroom or toilet in</w:t>
      </w:r>
      <w:r>
        <w:t>,</w:t>
      </w:r>
      <w:r w:rsidRPr="00056A1F">
        <w:t xml:space="preserve"> or attached to</w:t>
      </w:r>
      <w:r>
        <w:t>,</w:t>
      </w:r>
      <w:r w:rsidRPr="00056A1F">
        <w:t xml:space="preserve"> the bedroom.</w:t>
      </w:r>
    </w:p>
    <w:p w:rsidR="0017078B" w:rsidRDefault="00560BBA" w:rsidP="0017078B">
      <w:pPr>
        <w:pStyle w:val="DraftHeading1"/>
        <w:tabs>
          <w:tab w:val="right" w:pos="680"/>
        </w:tabs>
        <w:ind w:left="850" w:hanging="850"/>
      </w:pPr>
      <w:bookmarkStart w:id="13" w:name="_Toc28675726"/>
      <w:r>
        <w:t>12</w:t>
      </w:r>
      <w:r w:rsidR="0017078B">
        <w:tab/>
      </w:r>
      <w:r w:rsidR="0017078B">
        <w:tab/>
      </w:r>
      <w:r w:rsidR="0017078B" w:rsidRPr="00AE6D47">
        <w:t>Cultural heritage significance</w:t>
      </w:r>
      <w:r w:rsidR="0017078B">
        <w:t xml:space="preserve"> exemption</w:t>
      </w:r>
      <w:bookmarkEnd w:id="13"/>
    </w:p>
    <w:p w:rsidR="0017078B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  <w:t>(1)</w:t>
      </w:r>
      <w:r>
        <w:tab/>
      </w:r>
      <w:r w:rsidRPr="00E37355">
        <w:t>A proprietor of</w:t>
      </w:r>
      <w:r>
        <w:t xml:space="preserve"> prescribed accommodation that is a holiday camp is exempted from compliance with r</w:t>
      </w:r>
      <w:r w:rsidRPr="00E37355">
        <w:t xml:space="preserve">egulation </w:t>
      </w:r>
      <w:r w:rsidR="00560BBA">
        <w:t>11</w:t>
      </w:r>
      <w:r w:rsidRPr="00E37355">
        <w:t xml:space="preserve">(2) </w:t>
      </w:r>
      <w:r w:rsidRPr="00E37355">
        <w:rPr>
          <w:color w:val="000000"/>
        </w:rPr>
        <w:t xml:space="preserve">in relation to a building </w:t>
      </w:r>
      <w:r>
        <w:rPr>
          <w:color w:val="000000"/>
        </w:rPr>
        <w:t xml:space="preserve">situated on the premises of the </w:t>
      </w:r>
      <w:r w:rsidRPr="00E37355">
        <w:rPr>
          <w:color w:val="000000"/>
        </w:rPr>
        <w:t>holiday camp</w:t>
      </w:r>
      <w:r>
        <w:t xml:space="preserve"> if—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  <w:t>(a)</w:t>
      </w:r>
      <w:r>
        <w:tab/>
        <w:t>modification of the building to comply with</w:t>
      </w:r>
      <w:r>
        <w:rPr>
          <w:b/>
        </w:rPr>
        <w:t> </w:t>
      </w:r>
      <w:r>
        <w:t xml:space="preserve">the minimum bedroom size in regulation </w:t>
      </w:r>
      <w:r w:rsidR="00560BBA">
        <w:t>11</w:t>
      </w:r>
      <w:r>
        <w:t>(2) is determined by the</w:t>
      </w:r>
      <w:r w:rsidR="00560BBA">
        <w:t xml:space="preserve"> </w:t>
      </w:r>
      <w:r>
        <w:t>Council to be inappropriate because the modification would compromise the building's cultural heritage significance;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  <w:t>(b)</w:t>
      </w:r>
      <w:r w:rsidRPr="00D93F8E">
        <w:tab/>
        <w:t xml:space="preserve">the maximum period for which </w:t>
      </w:r>
      <w:r w:rsidR="00EC1E38">
        <w:t>people</w:t>
      </w:r>
      <w:r w:rsidRPr="00D93F8E">
        <w:t xml:space="preserve"> are accommodated in the building is 7 nights.</w:t>
      </w:r>
    </w:p>
    <w:p w:rsidR="0017078B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  <w:t>(2)</w:t>
      </w:r>
      <w:r>
        <w:tab/>
        <w:t xml:space="preserve">For the purposes of </w:t>
      </w:r>
      <w:proofErr w:type="spellStart"/>
      <w:r>
        <w:t>subregulation</w:t>
      </w:r>
      <w:proofErr w:type="spellEnd"/>
      <w:r>
        <w:t xml:space="preserve"> (1)(a), a Council may determine a building to be of cultural heritage significance if—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  <w:t>(a)</w:t>
      </w:r>
      <w:r>
        <w:tab/>
        <w:t xml:space="preserve">the building is subject to a heritage overlay in the planning scheme for which the Council is the responsible authority within the meaning of the </w:t>
      </w:r>
      <w:r w:rsidRPr="00254F95">
        <w:rPr>
          <w:b/>
        </w:rPr>
        <w:t>Planning and Environment Act 1987</w:t>
      </w:r>
      <w:r>
        <w:t>; or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  <w:t>(b)</w:t>
      </w:r>
      <w:r>
        <w:tab/>
        <w:t xml:space="preserve">the building is included on the </w:t>
      </w:r>
      <w:r w:rsidR="00560BBA">
        <w:t xml:space="preserve">Victorian </w:t>
      </w:r>
      <w:r>
        <w:t xml:space="preserve">Heritage Register established under the </w:t>
      </w:r>
      <w:r>
        <w:rPr>
          <w:b/>
        </w:rPr>
        <w:t>Heritage Act </w:t>
      </w:r>
      <w:r w:rsidR="00560BBA">
        <w:rPr>
          <w:b/>
        </w:rPr>
        <w:t>20</w:t>
      </w:r>
      <w:r w:rsidR="00786371">
        <w:rPr>
          <w:b/>
        </w:rPr>
        <w:t>1</w:t>
      </w:r>
      <w:r w:rsidR="00560BBA">
        <w:rPr>
          <w:b/>
        </w:rPr>
        <w:t>7</w:t>
      </w:r>
      <w:r>
        <w:t>; or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lastRenderedPageBreak/>
        <w:tab/>
        <w:t>(c)</w:t>
      </w:r>
      <w:r>
        <w:tab/>
        <w:t xml:space="preserve">the building is included on the Commonwealth Heritage List or the National Heritage List </w:t>
      </w:r>
      <w:r w:rsidR="00560BBA">
        <w:t>kept</w:t>
      </w:r>
      <w:r>
        <w:t xml:space="preserve"> under the Environment Protection and Biodiversity Conservation Act 1999 of the Commonwealth; or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  <w:t>(d)</w:t>
      </w:r>
      <w:r w:rsidRPr="00D93F8E">
        <w:tab/>
        <w:t>the Council has had regard to a heritage study that considers the building.</w:t>
      </w:r>
    </w:p>
    <w:p w:rsidR="0017078B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  <w:t>(3)</w:t>
      </w:r>
      <w:r>
        <w:tab/>
        <w:t>In this regulation—</w:t>
      </w:r>
    </w:p>
    <w:p w:rsidR="0017078B" w:rsidRDefault="0017078B" w:rsidP="0017078B">
      <w:pPr>
        <w:pStyle w:val="DraftDefinition2"/>
      </w:pPr>
      <w:r w:rsidRPr="00254F95">
        <w:rPr>
          <w:b/>
          <w:i/>
        </w:rPr>
        <w:t>cultural heritage significance</w:t>
      </w:r>
      <w:r w:rsidRPr="00254F95">
        <w:rPr>
          <w:b/>
        </w:rPr>
        <w:t xml:space="preserve"> </w:t>
      </w:r>
      <w:r>
        <w:t>has the same meaning as in section 3</w:t>
      </w:r>
      <w:r w:rsidR="00B10F60">
        <w:t>(1)</w:t>
      </w:r>
      <w:r>
        <w:t xml:space="preserve"> of </w:t>
      </w:r>
      <w:r w:rsidR="00364238">
        <w:t xml:space="preserve">the </w:t>
      </w:r>
      <w:r>
        <w:rPr>
          <w:b/>
        </w:rPr>
        <w:t>Heritage Act </w:t>
      </w:r>
      <w:r w:rsidR="00F91644">
        <w:rPr>
          <w:b/>
        </w:rPr>
        <w:t>20</w:t>
      </w:r>
      <w:r w:rsidR="00786371">
        <w:rPr>
          <w:b/>
        </w:rPr>
        <w:t>1</w:t>
      </w:r>
      <w:r w:rsidR="00F91644">
        <w:rPr>
          <w:b/>
        </w:rPr>
        <w:t>7</w:t>
      </w:r>
      <w:r w:rsidRPr="00880C86">
        <w:t>;</w:t>
      </w:r>
    </w:p>
    <w:p w:rsidR="00F91644" w:rsidRDefault="0017078B" w:rsidP="0017078B">
      <w:pPr>
        <w:pStyle w:val="DraftDefinition2"/>
      </w:pPr>
      <w:r w:rsidRPr="00880C86">
        <w:rPr>
          <w:b/>
          <w:i/>
        </w:rPr>
        <w:t>heritage study</w:t>
      </w:r>
      <w:r>
        <w:t xml:space="preserve"> means a study or assessment undertaken in accordance with guidelines made by</w:t>
      </w:r>
      <w:r w:rsidR="00B10F60">
        <w:t>—</w:t>
      </w:r>
    </w:p>
    <w:p w:rsidR="00F91644" w:rsidRPr="00A03D6A" w:rsidRDefault="00F91644" w:rsidP="00F91644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(a)</w:t>
      </w:r>
      <w:r w:rsidRPr="00A03D6A">
        <w:tab/>
      </w:r>
      <w:r w:rsidR="00B10F60">
        <w:t>t</w:t>
      </w:r>
      <w:r>
        <w:t>he Department of Environment, Land, Water and Planning and published on its website</w:t>
      </w:r>
      <w:r w:rsidRPr="00A03D6A">
        <w:t>; or</w:t>
      </w:r>
    </w:p>
    <w:p w:rsidR="00F91644" w:rsidRPr="00A03D6A" w:rsidRDefault="00F91644" w:rsidP="00F91644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(b)</w:t>
      </w:r>
      <w:r w:rsidRPr="00A03D6A">
        <w:tab/>
      </w:r>
      <w:r>
        <w:t xml:space="preserve">the Heritage Council established under the </w:t>
      </w:r>
      <w:r w:rsidRPr="005B6FA0">
        <w:rPr>
          <w:b/>
        </w:rPr>
        <w:t xml:space="preserve">Heritage Act </w:t>
      </w:r>
      <w:r>
        <w:rPr>
          <w:b/>
        </w:rPr>
        <w:t>20</w:t>
      </w:r>
      <w:r w:rsidR="00786371">
        <w:rPr>
          <w:b/>
        </w:rPr>
        <w:t>1</w:t>
      </w:r>
      <w:r>
        <w:rPr>
          <w:b/>
        </w:rPr>
        <w:t>7</w:t>
      </w:r>
      <w:r w:rsidRPr="00F81ED1">
        <w:rPr>
          <w:bCs/>
        </w:rPr>
        <w:t>.</w:t>
      </w:r>
    </w:p>
    <w:p w:rsidR="0017078B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14" w:name="_Toc28675727"/>
      <w:r>
        <w:t>1</w:t>
      </w:r>
      <w:r w:rsidR="00F91644">
        <w:t>3</w:t>
      </w:r>
      <w:r>
        <w:tab/>
      </w:r>
      <w:r w:rsidRPr="00056A1F">
        <w:t xml:space="preserve">Maintenance </w:t>
      </w:r>
      <w:r>
        <w:t>of prescribed accommodation</w:t>
      </w:r>
      <w:bookmarkEnd w:id="14"/>
    </w:p>
    <w:p w:rsidR="0017078B" w:rsidRPr="00056A1F" w:rsidRDefault="0017078B" w:rsidP="0017078B">
      <w:pPr>
        <w:pStyle w:val="BodySectionSub"/>
      </w:pPr>
      <w:r w:rsidRPr="00056A1F">
        <w:t xml:space="preserve">A proprietor of prescribed accommodation must maintain </w:t>
      </w:r>
      <w:r>
        <w:t>the prescribed</w:t>
      </w:r>
      <w:r w:rsidRPr="00056A1F">
        <w:t xml:space="preserve"> accommodation and all bedrooms, toilets, bathrooms, laundries, kitchens, living rooms and any common areas provided with the accommodation—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>
        <w:tab/>
      </w:r>
      <w:r w:rsidRPr="00056A1F">
        <w:t>in good working order; and</w:t>
      </w:r>
    </w:p>
    <w:p w:rsidR="0017078B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in a clean, sanitary and hygienic condition; and</w:t>
      </w:r>
    </w:p>
    <w:p w:rsidR="0017078B" w:rsidRPr="00056A1F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(c)</w:t>
      </w:r>
      <w:r w:rsidRPr="00056A1F">
        <w:tab/>
        <w:t>in a good state of repair.</w:t>
      </w:r>
    </w:p>
    <w:p w:rsidR="0017078B" w:rsidRDefault="0017078B" w:rsidP="0017078B">
      <w:pPr>
        <w:pStyle w:val="DraftPenalty2"/>
        <w:numPr>
          <w:ilvl w:val="0"/>
          <w:numId w:val="3"/>
        </w:numPr>
      </w:pPr>
      <w:r w:rsidRPr="00056A1F">
        <w:t>20 penalty units.</w:t>
      </w:r>
    </w:p>
    <w:p w:rsidR="0017078B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15" w:name="_Toc28675728"/>
      <w:r w:rsidRPr="007B7C50">
        <w:t>1</w:t>
      </w:r>
      <w:r w:rsidR="00F91644">
        <w:t>4</w:t>
      </w:r>
      <w:r>
        <w:tab/>
      </w:r>
      <w:r w:rsidRPr="00056A1F">
        <w:t>Cleanliness</w:t>
      </w:r>
      <w:r>
        <w:t xml:space="preserve"> of prescribed accommodation</w:t>
      </w:r>
      <w:bookmarkEnd w:id="15"/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(1)</w:t>
      </w:r>
      <w:r w:rsidRPr="00056A1F">
        <w:tab/>
        <w:t xml:space="preserve">In addition to the requirement under regulation </w:t>
      </w:r>
      <w:r>
        <w:t>1</w:t>
      </w:r>
      <w:r w:rsidR="00F91644">
        <w:t>3</w:t>
      </w:r>
      <w:r>
        <w:t>(b</w:t>
      </w:r>
      <w:r w:rsidRPr="00056A1F">
        <w:t>), a proprietor of prescribed accommodation must ensure that each bedroom and any toilet or bathroom attached to the bedroom is cleaned after the bedroom is vacated and before its re-use by another occupier.</w:t>
      </w:r>
    </w:p>
    <w:p w:rsidR="0017078B" w:rsidRPr="00056A1F" w:rsidRDefault="0017078B" w:rsidP="0017078B">
      <w:pPr>
        <w:pStyle w:val="DraftPenalty2"/>
        <w:numPr>
          <w:ilvl w:val="0"/>
          <w:numId w:val="4"/>
        </w:numPr>
      </w:pPr>
      <w:r w:rsidRPr="00056A1F">
        <w:t>20 penalty units.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(2)</w:t>
      </w:r>
      <w:r w:rsidRPr="00056A1F">
        <w:tab/>
        <w:t>A proprietor of prescribed accommodation must ensure that all bed linen provided with the accommodation is changed with clean linen—</w:t>
      </w:r>
    </w:p>
    <w:p w:rsidR="0017078B" w:rsidRPr="00056A1F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at least weekly; and</w:t>
      </w:r>
    </w:p>
    <w:p w:rsidR="0017078B" w:rsidRPr="00056A1F" w:rsidRDefault="0017078B" w:rsidP="0017078B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after the accommodation is vacated and before its re-use by another occupier.</w:t>
      </w:r>
    </w:p>
    <w:p w:rsidR="0017078B" w:rsidRDefault="0017078B" w:rsidP="0017078B">
      <w:pPr>
        <w:pStyle w:val="DraftPenalty2"/>
        <w:numPr>
          <w:ilvl w:val="0"/>
          <w:numId w:val="5"/>
        </w:numPr>
      </w:pPr>
      <w:r w:rsidRPr="00056A1F">
        <w:t>20 penalty units.</w:t>
      </w:r>
    </w:p>
    <w:p w:rsidR="0017078B" w:rsidRPr="00056A1F" w:rsidRDefault="0017078B" w:rsidP="0017078B">
      <w:pPr>
        <w:pStyle w:val="DraftHeading1"/>
        <w:tabs>
          <w:tab w:val="right" w:pos="680"/>
        </w:tabs>
        <w:ind w:left="850" w:hanging="850"/>
      </w:pPr>
      <w:r>
        <w:tab/>
      </w:r>
      <w:bookmarkStart w:id="16" w:name="_Toc28675729"/>
      <w:r w:rsidR="00A33391">
        <w:t>1</w:t>
      </w:r>
      <w:r w:rsidR="00F91644">
        <w:t>5</w:t>
      </w:r>
      <w:r>
        <w:tab/>
      </w:r>
      <w:r w:rsidRPr="00056A1F">
        <w:t xml:space="preserve">Water </w:t>
      </w:r>
      <w:r>
        <w:t>supplied to prescribed accommodation</w:t>
      </w:r>
      <w:bookmarkEnd w:id="16"/>
      <w:r>
        <w:t xml:space="preserve"> 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(1)</w:t>
      </w:r>
      <w:r w:rsidRPr="00056A1F">
        <w:tab/>
        <w:t>A proprietor of prescribed accommodation must provide a continuous and adequate supply of water to all toilet, bathing, kitchen, laundry and drinking water facilities.</w:t>
      </w:r>
    </w:p>
    <w:p w:rsidR="0017078B" w:rsidRPr="00056A1F" w:rsidRDefault="0017078B" w:rsidP="0017078B">
      <w:pPr>
        <w:pStyle w:val="DraftPenalty2"/>
        <w:numPr>
          <w:ilvl w:val="0"/>
          <w:numId w:val="6"/>
        </w:numPr>
      </w:pPr>
      <w:r w:rsidRPr="00056A1F">
        <w:t>20 penalty units.</w:t>
      </w:r>
    </w:p>
    <w:p w:rsidR="0017078B" w:rsidRPr="00056A1F" w:rsidRDefault="0017078B" w:rsidP="0017078B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(2)</w:t>
      </w:r>
      <w:r w:rsidRPr="00056A1F">
        <w:tab/>
        <w:t>A proprietor of prescribed accommodation must provide a continuous and adequate supply of hot water to all bathing, laundry and kitchen facilities.</w:t>
      </w:r>
    </w:p>
    <w:p w:rsidR="00A33391" w:rsidRDefault="00A33391" w:rsidP="00A33391">
      <w:pPr>
        <w:pStyle w:val="DraftPenalty2"/>
        <w:numPr>
          <w:ilvl w:val="0"/>
          <w:numId w:val="7"/>
        </w:numPr>
      </w:pPr>
      <w:r w:rsidRPr="00056A1F">
        <w:lastRenderedPageBreak/>
        <w:t>20 penalty units.</w:t>
      </w:r>
    </w:p>
    <w:p w:rsidR="00A33391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17" w:name="_Toc28675730"/>
      <w:r>
        <w:t>1</w:t>
      </w:r>
      <w:r w:rsidR="00F91644">
        <w:t>6</w:t>
      </w:r>
      <w:r w:rsidRPr="00056A1F">
        <w:tab/>
        <w:t>Drinking water</w:t>
      </w:r>
      <w:r>
        <w:t xml:space="preserve"> and prescribed accommodation</w:t>
      </w:r>
      <w:bookmarkEnd w:id="17"/>
    </w:p>
    <w:p w:rsidR="009F04E7" w:rsidRPr="00056A1F" w:rsidRDefault="009F04E7" w:rsidP="009F04E7">
      <w:pPr>
        <w:pStyle w:val="DraftHeading2"/>
        <w:tabs>
          <w:tab w:val="right" w:pos="1247"/>
        </w:tabs>
        <w:ind w:left="1361" w:hanging="1361"/>
      </w:pPr>
      <w:r>
        <w:tab/>
      </w:r>
      <w:r w:rsidRPr="00056A1F">
        <w:tab/>
        <w:t>A proprietor of prescribed accommodation must ensure that drinking water supplied by the proprietor to another person is fi</w:t>
      </w:r>
      <w:r>
        <w:t>t for human consumption if the drinking</w:t>
      </w:r>
      <w:r w:rsidRPr="00056A1F">
        <w:t xml:space="preserve"> water </w:t>
      </w:r>
      <w:r>
        <w:t xml:space="preserve">was </w:t>
      </w:r>
      <w:r w:rsidRPr="00056A1F">
        <w:t xml:space="preserve">not supplied </w:t>
      </w:r>
      <w:r>
        <w:t>to the proprietor by a water supplier</w:t>
      </w:r>
      <w:r w:rsidR="00CF0B0B">
        <w:t xml:space="preserve"> </w:t>
      </w:r>
      <w:r w:rsidR="00EC1E38">
        <w:t>(</w:t>
      </w:r>
      <w:r w:rsidR="00CF0B0B">
        <w:t xml:space="preserve">within the meaning of section 3 of the </w:t>
      </w:r>
      <w:r w:rsidR="00CF0B0B" w:rsidRPr="00576321">
        <w:rPr>
          <w:b/>
          <w:bCs/>
        </w:rPr>
        <w:t>Safe Drinking Water Act 2003</w:t>
      </w:r>
      <w:r w:rsidR="00EC1E38" w:rsidRPr="009C6554">
        <w:t>)</w:t>
      </w:r>
      <w:r w:rsidRPr="009C6554">
        <w:t>.</w:t>
      </w:r>
    </w:p>
    <w:p w:rsidR="00A33391" w:rsidRPr="00056A1F" w:rsidRDefault="00A33391" w:rsidP="00A33391">
      <w:pPr>
        <w:pStyle w:val="DraftPenalty2"/>
        <w:numPr>
          <w:ilvl w:val="0"/>
          <w:numId w:val="8"/>
        </w:numPr>
      </w:pPr>
      <w:r w:rsidRPr="00056A1F">
        <w:t>20 penalty units.</w:t>
      </w:r>
    </w:p>
    <w:p w:rsidR="009F04E7" w:rsidRPr="009F04E7" w:rsidRDefault="009F04E7" w:rsidP="00E80A20">
      <w:pPr>
        <w:pStyle w:val="DraftHeading2"/>
        <w:tabs>
          <w:tab w:val="right" w:pos="1247"/>
        </w:tabs>
        <w:ind w:left="1361" w:hanging="1361"/>
      </w:pPr>
      <w:r>
        <w:tab/>
      </w:r>
    </w:p>
    <w:p w:rsidR="00A33391" w:rsidRPr="00056A1F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18" w:name="_Toc28675731"/>
      <w:r>
        <w:t>1</w:t>
      </w:r>
      <w:r w:rsidR="00F91644">
        <w:t>7</w:t>
      </w:r>
      <w:r w:rsidRPr="00056A1F">
        <w:tab/>
        <w:t>Discharge of sewage and waste water</w:t>
      </w:r>
      <w:r>
        <w:t xml:space="preserve"> in prescribed accommodation</w:t>
      </w:r>
      <w:bookmarkEnd w:id="18"/>
    </w:p>
    <w:p w:rsidR="00A33391" w:rsidRPr="00056A1F" w:rsidRDefault="00A33391" w:rsidP="00A33391">
      <w:pPr>
        <w:pStyle w:val="BodySectionSub"/>
      </w:pPr>
      <w:r w:rsidRPr="00056A1F">
        <w:t>A proprietor of prescribed accommodation must ensure that all sewage and waste water is discharged—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to a reticulated sew</w:t>
      </w:r>
      <w:r>
        <w:t>erage</w:t>
      </w:r>
      <w:r w:rsidRPr="00056A1F">
        <w:t xml:space="preserve"> system; or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>
        <w:tab/>
        <w:t>to a wastewater treatment</w:t>
      </w:r>
      <w:r w:rsidRPr="00056A1F">
        <w:t xml:space="preserve"> system permitted under the </w:t>
      </w:r>
      <w:r w:rsidRPr="00056A1F">
        <w:rPr>
          <w:b/>
        </w:rPr>
        <w:t>Environment Protection Act</w:t>
      </w:r>
      <w:r>
        <w:rPr>
          <w:b/>
        </w:rPr>
        <w:t> </w:t>
      </w:r>
      <w:r w:rsidRPr="00056A1F">
        <w:rPr>
          <w:b/>
        </w:rPr>
        <w:t>1970</w:t>
      </w:r>
      <w:r w:rsidRPr="00056A1F">
        <w:t>.</w:t>
      </w:r>
    </w:p>
    <w:p w:rsidR="00A33391" w:rsidRDefault="00A33391" w:rsidP="00A33391">
      <w:pPr>
        <w:pStyle w:val="DraftPenalty2"/>
        <w:numPr>
          <w:ilvl w:val="0"/>
          <w:numId w:val="9"/>
        </w:numPr>
      </w:pPr>
      <w:r w:rsidRPr="00056A1F">
        <w:t>20 penalty units.</w:t>
      </w:r>
    </w:p>
    <w:p w:rsidR="00A33391" w:rsidRPr="00056A1F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19" w:name="_Toc28675732"/>
      <w:r>
        <w:t>1</w:t>
      </w:r>
      <w:r w:rsidR="00F91644">
        <w:t>8</w:t>
      </w:r>
      <w:r w:rsidRPr="00056A1F">
        <w:tab/>
        <w:t>Refuse receptacles</w:t>
      </w:r>
      <w:r>
        <w:t xml:space="preserve"> and prescribed accommodation</w:t>
      </w:r>
      <w:bookmarkEnd w:id="19"/>
    </w:p>
    <w:p w:rsidR="00A33391" w:rsidRPr="00056A1F" w:rsidRDefault="00A33391" w:rsidP="00A33391">
      <w:pPr>
        <w:pStyle w:val="BodySectionSub"/>
      </w:pPr>
      <w:r w:rsidRPr="00056A1F">
        <w:t>A proprietor of prescribed accommodation must—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provide sufficient vermin-proof receptacles at the prescribed accommodation for the collection and storage of all rubbish; and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ensure that the receptacles are regularly cleaned.</w:t>
      </w:r>
    </w:p>
    <w:p w:rsidR="00A33391" w:rsidRDefault="00A33391" w:rsidP="00A33391">
      <w:pPr>
        <w:pStyle w:val="DraftPenalty2"/>
        <w:numPr>
          <w:ilvl w:val="0"/>
          <w:numId w:val="10"/>
        </w:numPr>
      </w:pPr>
      <w:r w:rsidRPr="00056A1F">
        <w:t>20 penalty units.</w:t>
      </w:r>
    </w:p>
    <w:p w:rsidR="00A33391" w:rsidRPr="00056A1F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0" w:name="_Toc28675733"/>
      <w:r>
        <w:t>1</w:t>
      </w:r>
      <w:r w:rsidR="00F91644">
        <w:t>9</w:t>
      </w:r>
      <w:r w:rsidRPr="00056A1F">
        <w:tab/>
        <w:t>Refuse disposal</w:t>
      </w:r>
      <w:r>
        <w:t xml:space="preserve"> and prescribed accommodation</w:t>
      </w:r>
      <w:bookmarkEnd w:id="20"/>
    </w:p>
    <w:p w:rsidR="00A33391" w:rsidRPr="00056A1F" w:rsidRDefault="00A33391" w:rsidP="00A33391">
      <w:pPr>
        <w:pStyle w:val="BodySectionSub"/>
      </w:pPr>
      <w:r w:rsidRPr="00056A1F">
        <w:t xml:space="preserve">A proprietor of prescribed accommodation must ensure that all refuse at the accommodation is regularly removed by means of a refuse collection service provided by the </w:t>
      </w:r>
      <w:r>
        <w:t>C</w:t>
      </w:r>
      <w:r w:rsidRPr="00056A1F">
        <w:t>ouncil or a private contractor engaged by the proprietor.</w:t>
      </w:r>
    </w:p>
    <w:p w:rsidR="00A33391" w:rsidRDefault="00A33391" w:rsidP="00A33391">
      <w:pPr>
        <w:pStyle w:val="DraftPenalty2"/>
        <w:numPr>
          <w:ilvl w:val="0"/>
          <w:numId w:val="11"/>
        </w:numPr>
      </w:pPr>
      <w:r w:rsidRPr="00056A1F">
        <w:t>20 penalty units.</w:t>
      </w:r>
    </w:p>
    <w:p w:rsidR="00A33391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1" w:name="_Toc28675734"/>
      <w:r w:rsidR="00F91644">
        <w:t>20</w:t>
      </w:r>
      <w:r w:rsidRPr="00056A1F">
        <w:tab/>
        <w:t>Toilet and bathing facilities</w:t>
      </w:r>
      <w:r>
        <w:t xml:space="preserve"> in prescribed accommodation</w:t>
      </w:r>
      <w:bookmarkEnd w:id="21"/>
    </w:p>
    <w:p w:rsidR="00A33391" w:rsidRPr="00056A1F" w:rsidRDefault="00A33391" w:rsidP="00A33391">
      <w:pPr>
        <w:pStyle w:val="BodySectionSub"/>
      </w:pPr>
      <w:r w:rsidRPr="00056A1F">
        <w:t xml:space="preserve">A proprietor of prescribed accommodation must provide at least one toilet, one bath or shower and one wash basin for every 10 </w:t>
      </w:r>
      <w:r w:rsidR="00EC1E38">
        <w:t>people</w:t>
      </w:r>
      <w:r w:rsidRPr="00056A1F">
        <w:t xml:space="preserve"> or fraction of that number of </w:t>
      </w:r>
      <w:r w:rsidR="00EC1E38">
        <w:t>people</w:t>
      </w:r>
      <w:r w:rsidRPr="00056A1F">
        <w:t xml:space="preserve"> occupying the accommodation.</w:t>
      </w:r>
    </w:p>
    <w:p w:rsidR="00A33391" w:rsidRPr="00056A1F" w:rsidRDefault="00A33391" w:rsidP="00A33391">
      <w:pPr>
        <w:pStyle w:val="DraftPenalty2"/>
        <w:numPr>
          <w:ilvl w:val="0"/>
          <w:numId w:val="12"/>
        </w:numPr>
      </w:pPr>
      <w:r w:rsidRPr="00056A1F">
        <w:t>20 penalty units.</w:t>
      </w:r>
    </w:p>
    <w:p w:rsidR="00A33391" w:rsidRPr="00056A1F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2" w:name="_Toc28675735"/>
      <w:r w:rsidR="00AA70B3">
        <w:t>21</w:t>
      </w:r>
      <w:r w:rsidRPr="00056A1F">
        <w:tab/>
        <w:t>Register of occupants</w:t>
      </w:r>
      <w:r>
        <w:t xml:space="preserve"> of prescribed accommodation</w:t>
      </w:r>
      <w:bookmarkEnd w:id="22"/>
    </w:p>
    <w:p w:rsidR="00A33391" w:rsidRPr="00056A1F" w:rsidRDefault="00A33391" w:rsidP="00A33391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(1)</w:t>
      </w:r>
      <w:r w:rsidRPr="00056A1F">
        <w:tab/>
        <w:t>A proprietor of prescribed accommodation must keep a register recording—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(a)</w:t>
      </w:r>
      <w:r w:rsidRPr="00056A1F">
        <w:tab/>
        <w:t>the names and addresses of pe</w:t>
      </w:r>
      <w:r w:rsidR="00AA70B3">
        <w:t>ople</w:t>
      </w:r>
      <w:r w:rsidRPr="00056A1F">
        <w:t xml:space="preserve"> occupying the accommodation; and</w:t>
      </w:r>
    </w:p>
    <w:p w:rsidR="00A33391" w:rsidRPr="00056A1F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7B7C50">
        <w:t>(b)</w:t>
      </w:r>
      <w:r w:rsidRPr="00056A1F">
        <w:tab/>
        <w:t>the dates of their arrival and departure.</w:t>
      </w:r>
    </w:p>
    <w:p w:rsidR="00A33391" w:rsidRDefault="00A33391" w:rsidP="00A33391">
      <w:pPr>
        <w:pStyle w:val="DraftPenalty2"/>
        <w:numPr>
          <w:ilvl w:val="0"/>
          <w:numId w:val="13"/>
        </w:numPr>
      </w:pPr>
      <w:r w:rsidRPr="00056A1F">
        <w:t>20 penalty units.</w:t>
      </w:r>
    </w:p>
    <w:p w:rsidR="00AA70B3" w:rsidRPr="00056A1F" w:rsidRDefault="00AA70B3" w:rsidP="00AA70B3">
      <w:pPr>
        <w:pStyle w:val="DraftHeading2"/>
        <w:tabs>
          <w:tab w:val="right" w:pos="1247"/>
        </w:tabs>
        <w:ind w:left="1361" w:hanging="1361"/>
      </w:pPr>
      <w:r>
        <w:lastRenderedPageBreak/>
        <w:tab/>
      </w:r>
      <w:r w:rsidRPr="007B7C50">
        <w:t>(</w:t>
      </w:r>
      <w:r>
        <w:t>2</w:t>
      </w:r>
      <w:r w:rsidRPr="007B7C50">
        <w:t>)</w:t>
      </w:r>
      <w:r w:rsidRPr="00056A1F">
        <w:tab/>
        <w:t xml:space="preserve">A proprietor is exempted from compliance with </w:t>
      </w:r>
      <w:proofErr w:type="spellStart"/>
      <w:r w:rsidRPr="00056A1F">
        <w:t>subregulation</w:t>
      </w:r>
      <w:proofErr w:type="spellEnd"/>
      <w:r w:rsidRPr="00056A1F">
        <w:t xml:space="preserve"> (1) if the proprietor is required under any other Act or regulation to keep a similar register.</w:t>
      </w:r>
    </w:p>
    <w:p w:rsidR="00A33391" w:rsidRPr="00056A1F" w:rsidRDefault="00A33391" w:rsidP="00A33391">
      <w:pPr>
        <w:pStyle w:val="DraftHeading2"/>
        <w:tabs>
          <w:tab w:val="right" w:pos="1247"/>
        </w:tabs>
        <w:ind w:left="1361" w:hanging="1361"/>
      </w:pPr>
      <w:r>
        <w:tab/>
      </w:r>
      <w:r w:rsidRPr="007B7C50">
        <w:t>(3)</w:t>
      </w:r>
      <w:r w:rsidRPr="00056A1F">
        <w:tab/>
        <w:t xml:space="preserve">The proprietor must retain the register referred to in </w:t>
      </w:r>
      <w:proofErr w:type="spellStart"/>
      <w:r w:rsidRPr="00056A1F">
        <w:t>subregulation</w:t>
      </w:r>
      <w:proofErr w:type="spellEnd"/>
      <w:r w:rsidRPr="00056A1F">
        <w:t xml:space="preserve"> (1) or (2) for at least 12 months after the date of the last entry in the register.</w:t>
      </w:r>
    </w:p>
    <w:p w:rsidR="00A33391" w:rsidRPr="00056A1F" w:rsidRDefault="00A33391" w:rsidP="00A33391">
      <w:pPr>
        <w:pStyle w:val="DraftPenalty2"/>
        <w:numPr>
          <w:ilvl w:val="0"/>
          <w:numId w:val="14"/>
        </w:numPr>
      </w:pPr>
      <w:r w:rsidRPr="00056A1F">
        <w:t>20 penalty units.</w:t>
      </w:r>
    </w:p>
    <w:p w:rsidR="00A33391" w:rsidRPr="00056A1F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3" w:name="_Toc28675736"/>
      <w:r w:rsidR="00AA70B3">
        <w:t>22</w:t>
      </w:r>
      <w:r w:rsidRPr="00056A1F">
        <w:tab/>
        <w:t>Advertising</w:t>
      </w:r>
      <w:r>
        <w:t xml:space="preserve"> and prescribed accommodation</w:t>
      </w:r>
      <w:bookmarkEnd w:id="23"/>
    </w:p>
    <w:p w:rsidR="00A33391" w:rsidRPr="00056A1F" w:rsidRDefault="00A33391" w:rsidP="00A33391">
      <w:pPr>
        <w:pStyle w:val="BodySectionSub"/>
      </w:pPr>
      <w:r w:rsidRPr="00056A1F">
        <w:t xml:space="preserve">A proprietor of prescribed accommodation must not state or </w:t>
      </w:r>
      <w:r w:rsidR="00AA70B3">
        <w:t>cause</w:t>
      </w:r>
      <w:r w:rsidRPr="00056A1F">
        <w:t xml:space="preserve"> to be stated in any advertisement, notice or sign </w:t>
      </w:r>
      <w:r w:rsidR="00D654B5">
        <w:t>published</w:t>
      </w:r>
      <w:r w:rsidR="00D654B5" w:rsidRPr="00056A1F">
        <w:t xml:space="preserve"> </w:t>
      </w:r>
      <w:r w:rsidRPr="00056A1F">
        <w:t>or put up in relation to the accommodation, that the premises were registered or approve</w:t>
      </w:r>
      <w:r w:rsidR="00AA70B3">
        <w:t>d</w:t>
      </w:r>
      <w:r w:rsidRPr="00056A1F">
        <w:t xml:space="preserve"> for any class of accommodation other than that set out on the certificate of registration.</w:t>
      </w:r>
    </w:p>
    <w:p w:rsidR="00A33391" w:rsidRDefault="00A33391" w:rsidP="00A33391">
      <w:pPr>
        <w:pStyle w:val="DraftPenalty2"/>
        <w:numPr>
          <w:ilvl w:val="0"/>
          <w:numId w:val="15"/>
        </w:numPr>
      </w:pPr>
      <w:r w:rsidRPr="00056A1F">
        <w:t>20 penalty units.</w:t>
      </w:r>
    </w:p>
    <w:p w:rsidR="00A33391" w:rsidRPr="006F5DC6" w:rsidRDefault="00A33391" w:rsidP="00A33391">
      <w:pPr>
        <w:pStyle w:val="Heading-DIVISION"/>
        <w:rPr>
          <w:sz w:val="28"/>
        </w:rPr>
      </w:pPr>
      <w:bookmarkStart w:id="24" w:name="_Toc28675737"/>
      <w:r w:rsidRPr="006F5DC6">
        <w:rPr>
          <w:sz w:val="28"/>
        </w:rPr>
        <w:t xml:space="preserve">Division </w:t>
      </w:r>
      <w:r>
        <w:rPr>
          <w:sz w:val="28"/>
        </w:rPr>
        <w:t>3</w:t>
      </w:r>
      <w:r w:rsidRPr="006F5DC6">
        <w:rPr>
          <w:sz w:val="28"/>
        </w:rPr>
        <w:t>—Prescribed conditions</w:t>
      </w:r>
      <w:bookmarkEnd w:id="24"/>
    </w:p>
    <w:p w:rsidR="00A33391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5" w:name="_Toc28675738"/>
      <w:r>
        <w:t>2</w:t>
      </w:r>
      <w:r w:rsidR="00AA70B3">
        <w:t>3</w:t>
      </w:r>
      <w:r>
        <w:tab/>
        <w:t>Prescribed conditions</w:t>
      </w:r>
      <w:bookmarkEnd w:id="25"/>
    </w:p>
    <w:p w:rsidR="00AA70B3" w:rsidRPr="00056A1F" w:rsidRDefault="00AA70B3" w:rsidP="00AA70B3">
      <w:pPr>
        <w:pStyle w:val="BodySectionSub"/>
      </w:pPr>
      <w:r w:rsidRPr="002B71F0">
        <w:t>For the purposes of section 75(1)(c)</w:t>
      </w:r>
      <w:r>
        <w:t xml:space="preserve"> of the Act, it</w:t>
      </w:r>
      <w:r w:rsidRPr="002B71F0">
        <w:t xml:space="preserve"> is </w:t>
      </w:r>
      <w:r>
        <w:t xml:space="preserve">a </w:t>
      </w:r>
      <w:r w:rsidRPr="002B71F0">
        <w:t xml:space="preserve">condition on the registration of </w:t>
      </w:r>
      <w:r>
        <w:t>all </w:t>
      </w:r>
      <w:r w:rsidRPr="002B71F0">
        <w:t xml:space="preserve">prescribed accommodation that </w:t>
      </w:r>
      <w:r>
        <w:t xml:space="preserve">proprietors required to </w:t>
      </w:r>
      <w:r w:rsidRPr="002B71F0">
        <w:t>keep a re</w:t>
      </w:r>
      <w:r>
        <w:t>gister under regulation 21(1) must</w:t>
      </w:r>
      <w:r w:rsidRPr="002B71F0">
        <w:t xml:space="preserve"> take all reasonable steps to protect the information in</w:t>
      </w:r>
      <w:r>
        <w:t> </w:t>
      </w:r>
      <w:r w:rsidRPr="002B71F0">
        <w:t xml:space="preserve">the </w:t>
      </w:r>
      <w:r w:rsidRPr="00A03D6A">
        <w:t>register.</w:t>
      </w:r>
    </w:p>
    <w:p w:rsidR="00A33391" w:rsidRPr="00A2085D" w:rsidRDefault="00A33391" w:rsidP="00A33391">
      <w:pPr>
        <w:pStyle w:val="Heading-PART"/>
        <w:rPr>
          <w:caps w:val="0"/>
          <w:sz w:val="32"/>
        </w:rPr>
      </w:pPr>
      <w:r>
        <w:br w:type="page"/>
      </w:r>
      <w:bookmarkStart w:id="26" w:name="_Toc28675739"/>
      <w:r w:rsidRPr="00A2085D">
        <w:rPr>
          <w:caps w:val="0"/>
          <w:sz w:val="32"/>
        </w:rPr>
        <w:lastRenderedPageBreak/>
        <w:t xml:space="preserve">Part </w:t>
      </w:r>
      <w:r>
        <w:rPr>
          <w:caps w:val="0"/>
          <w:sz w:val="32"/>
        </w:rPr>
        <w:t>3</w:t>
      </w:r>
      <w:r w:rsidRPr="00A2085D">
        <w:rPr>
          <w:caps w:val="0"/>
          <w:sz w:val="32"/>
        </w:rPr>
        <w:t>—Infringements</w:t>
      </w:r>
      <w:bookmarkEnd w:id="26"/>
    </w:p>
    <w:p w:rsidR="00A33391" w:rsidRPr="00A03D6A" w:rsidRDefault="00A33391" w:rsidP="00A33391">
      <w:pPr>
        <w:pStyle w:val="DraftHeading1"/>
        <w:tabs>
          <w:tab w:val="right" w:pos="680"/>
        </w:tabs>
        <w:ind w:left="850" w:hanging="850"/>
      </w:pPr>
      <w:r>
        <w:tab/>
      </w:r>
      <w:bookmarkStart w:id="27" w:name="_Toc28675740"/>
      <w:r>
        <w:t>2</w:t>
      </w:r>
      <w:r w:rsidR="00AA70B3">
        <w:t>4</w:t>
      </w:r>
      <w:r w:rsidRPr="00A03D6A">
        <w:tab/>
        <w:t>Infringements</w:t>
      </w:r>
      <w:bookmarkEnd w:id="27"/>
    </w:p>
    <w:p w:rsidR="00A33391" w:rsidRPr="00A03D6A" w:rsidRDefault="00A33391" w:rsidP="00A33391">
      <w:pPr>
        <w:pStyle w:val="DraftHeading2"/>
        <w:tabs>
          <w:tab w:val="right" w:pos="1247"/>
        </w:tabs>
        <w:ind w:left="1361" w:hanging="1361"/>
      </w:pPr>
      <w:r>
        <w:tab/>
        <w:t>(</w:t>
      </w:r>
      <w:r w:rsidRPr="00FC24FB">
        <w:t>1)</w:t>
      </w:r>
      <w:r w:rsidRPr="00A03D6A">
        <w:tab/>
        <w:t>For the purposes of section 209 of the Act, offences against the following provisions are prescribed offences</w:t>
      </w:r>
      <w:r w:rsidR="00AA70B3">
        <w:t xml:space="preserve"> for which an infringement notice may be served</w:t>
      </w:r>
      <w:r w:rsidRPr="00A03D6A">
        <w:t>—</w:t>
      </w:r>
    </w:p>
    <w:p w:rsidR="00A33391" w:rsidRPr="00A03D6A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(a)</w:t>
      </w:r>
      <w:r w:rsidRPr="00A03D6A">
        <w:tab/>
        <w:t xml:space="preserve">section 67 of the Act; </w:t>
      </w:r>
    </w:p>
    <w:p w:rsidR="00A33391" w:rsidRPr="00A03D6A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(b)</w:t>
      </w:r>
      <w:r w:rsidRPr="00A03D6A">
        <w:tab/>
        <w:t>regulation 1</w:t>
      </w:r>
      <w:r w:rsidR="00D654B5">
        <w:t>1</w:t>
      </w:r>
      <w:r w:rsidRPr="00A03D6A">
        <w:t>(2);</w:t>
      </w:r>
    </w:p>
    <w:p w:rsidR="00A33391" w:rsidRPr="00A03D6A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(c)</w:t>
      </w:r>
      <w:r w:rsidRPr="00A03D6A">
        <w:tab/>
        <w:t xml:space="preserve">regulation </w:t>
      </w:r>
      <w:r w:rsidR="00D654B5">
        <w:t>15</w:t>
      </w:r>
      <w:r w:rsidRPr="00A03D6A">
        <w:t>(1);</w:t>
      </w:r>
    </w:p>
    <w:p w:rsidR="00A33391" w:rsidRPr="00A03D6A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(d)</w:t>
      </w:r>
      <w:r w:rsidRPr="00A03D6A">
        <w:tab/>
        <w:t>regulation 2</w:t>
      </w:r>
      <w:r w:rsidR="00D654B5">
        <w:t>0</w:t>
      </w:r>
      <w:r w:rsidRPr="00A03D6A">
        <w:t>;</w:t>
      </w:r>
    </w:p>
    <w:p w:rsidR="00A33391" w:rsidRPr="00A03D6A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(e)</w:t>
      </w:r>
      <w:r w:rsidRPr="00A03D6A">
        <w:tab/>
        <w:t>regulation 2</w:t>
      </w:r>
      <w:r w:rsidR="00D654B5">
        <w:t>2</w:t>
      </w:r>
      <w:r w:rsidRPr="00A03D6A">
        <w:t>.</w:t>
      </w:r>
    </w:p>
    <w:p w:rsidR="00A33391" w:rsidRPr="00A03D6A" w:rsidRDefault="00A33391" w:rsidP="00A33391">
      <w:pPr>
        <w:pStyle w:val="DraftHeading2"/>
        <w:tabs>
          <w:tab w:val="right" w:pos="1247"/>
        </w:tabs>
        <w:ind w:left="1361" w:hanging="1361"/>
      </w:pPr>
      <w:r>
        <w:tab/>
      </w:r>
      <w:r w:rsidRPr="00FC24FB">
        <w:t>(2)</w:t>
      </w:r>
      <w:r w:rsidRPr="00A03D6A">
        <w:tab/>
        <w:t>For the purposes of section 209(4) of the Act—</w:t>
      </w:r>
    </w:p>
    <w:p w:rsidR="00115AF5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FC24FB">
        <w:t>(a)</w:t>
      </w:r>
      <w:r w:rsidRPr="00A03D6A">
        <w:tab/>
        <w:t xml:space="preserve">the </w:t>
      </w:r>
      <w:r w:rsidR="00AA70B3">
        <w:t>infringement</w:t>
      </w:r>
      <w:r w:rsidRPr="00A03D6A">
        <w:t xml:space="preserve"> penalty </w:t>
      </w:r>
      <w:r w:rsidR="00AA70B3">
        <w:t>prescribed in respect of</w:t>
      </w:r>
      <w:r w:rsidRPr="00A03D6A">
        <w:t xml:space="preserve"> the </w:t>
      </w:r>
      <w:r w:rsidR="00364238">
        <w:t>prescribed offence under</w:t>
      </w:r>
      <w:r w:rsidRPr="00A03D6A">
        <w:t xml:space="preserve"> </w:t>
      </w:r>
      <w:proofErr w:type="spellStart"/>
      <w:r w:rsidRPr="00A03D6A">
        <w:t>subregulation</w:t>
      </w:r>
      <w:proofErr w:type="spellEnd"/>
      <w:r w:rsidRPr="00A03D6A">
        <w:t xml:space="preserve"> (1)(a) is</w:t>
      </w:r>
      <w:r w:rsidR="00115AF5" w:rsidRPr="00A03D6A">
        <w:t>—</w:t>
      </w:r>
    </w:p>
    <w:p w:rsidR="00115AF5" w:rsidRPr="00A03D6A" w:rsidRDefault="00115AF5" w:rsidP="00115AF5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</w:t>
      </w:r>
      <w:proofErr w:type="spellStart"/>
      <w:r>
        <w:t>i</w:t>
      </w:r>
      <w:proofErr w:type="spellEnd"/>
      <w:r w:rsidRPr="006504BE">
        <w:t>)</w:t>
      </w:r>
      <w:r w:rsidRPr="00A03D6A">
        <w:tab/>
      </w:r>
      <w:r>
        <w:t xml:space="preserve">in the case of a natural person, </w:t>
      </w:r>
      <w:r w:rsidRPr="00A03D6A">
        <w:t xml:space="preserve">4 penalty units; </w:t>
      </w:r>
      <w:r>
        <w:t>and</w:t>
      </w:r>
    </w:p>
    <w:p w:rsidR="00115AF5" w:rsidRPr="00A03D6A" w:rsidRDefault="00115AF5" w:rsidP="00115AF5">
      <w:pPr>
        <w:pStyle w:val="DraftHeading4"/>
        <w:tabs>
          <w:tab w:val="right" w:pos="2268"/>
        </w:tabs>
        <w:ind w:left="2381" w:hanging="2381"/>
      </w:pPr>
      <w:r>
        <w:tab/>
      </w:r>
      <w:r w:rsidRPr="006504BE">
        <w:t>(</w:t>
      </w:r>
      <w:r>
        <w:t>ii</w:t>
      </w:r>
      <w:r w:rsidRPr="006504BE">
        <w:t>)</w:t>
      </w:r>
      <w:r w:rsidRPr="00A03D6A">
        <w:tab/>
      </w:r>
      <w:r>
        <w:t>in the case of a body corporate, 10</w:t>
      </w:r>
      <w:r w:rsidRPr="00A03D6A">
        <w:t xml:space="preserve"> penalty units</w:t>
      </w:r>
      <w:r w:rsidR="00CF0B0B">
        <w:t>;</w:t>
      </w:r>
      <w:r>
        <w:rPr>
          <w:bCs/>
        </w:rPr>
        <w:t xml:space="preserve"> and</w:t>
      </w:r>
    </w:p>
    <w:p w:rsidR="00A33391" w:rsidRDefault="00A33391" w:rsidP="00A33391">
      <w:pPr>
        <w:pStyle w:val="DraftHeading3"/>
        <w:tabs>
          <w:tab w:val="right" w:pos="1757"/>
        </w:tabs>
        <w:ind w:left="1871" w:hanging="1871"/>
      </w:pPr>
      <w:r>
        <w:tab/>
      </w:r>
      <w:r w:rsidRPr="000E3F3F">
        <w:t>(b)</w:t>
      </w:r>
      <w:r w:rsidRPr="00A03D6A">
        <w:tab/>
        <w:t xml:space="preserve">the </w:t>
      </w:r>
      <w:r w:rsidR="00AA70B3">
        <w:t>infringement</w:t>
      </w:r>
      <w:r w:rsidRPr="00A03D6A">
        <w:t xml:space="preserve"> penalty </w:t>
      </w:r>
      <w:r w:rsidR="007D7DFA">
        <w:t>prescribed in respect of</w:t>
      </w:r>
      <w:r w:rsidRPr="00A03D6A">
        <w:t xml:space="preserve"> </w:t>
      </w:r>
      <w:r w:rsidR="00364238">
        <w:t>a prescribed offence under</w:t>
      </w:r>
      <w:r w:rsidRPr="00A03D6A">
        <w:t xml:space="preserve"> </w:t>
      </w:r>
      <w:proofErr w:type="spellStart"/>
      <w:r w:rsidRPr="00A03D6A">
        <w:t>subregulation</w:t>
      </w:r>
      <w:proofErr w:type="spellEnd"/>
      <w:r w:rsidRPr="00A03D6A">
        <w:t xml:space="preserve"> (1)(b), (c), (d) or (e) is 4 penalty units.</w:t>
      </w:r>
    </w:p>
    <w:p w:rsidR="00800793" w:rsidRDefault="00800793" w:rsidP="00800793"/>
    <w:p w:rsidR="00800793" w:rsidRPr="006406A5" w:rsidRDefault="00800793" w:rsidP="00800793">
      <w:pPr>
        <w:pStyle w:val="Heading-PART"/>
        <w:rPr>
          <w:caps w:val="0"/>
          <w:sz w:val="32"/>
        </w:rPr>
      </w:pPr>
      <w:r>
        <w:br w:type="page"/>
      </w:r>
      <w:bookmarkStart w:id="28" w:name="_Toc39474780"/>
      <w:r w:rsidRPr="006406A5">
        <w:rPr>
          <w:caps w:val="0"/>
          <w:sz w:val="32"/>
        </w:rPr>
        <w:lastRenderedPageBreak/>
        <w:t xml:space="preserve">Schedule </w:t>
      </w:r>
      <w:r w:rsidRPr="006406A5">
        <w:rPr>
          <w:bCs/>
          <w:caps w:val="0"/>
          <w:sz w:val="32"/>
        </w:rPr>
        <w:t>1—</w:t>
      </w:r>
      <w:r w:rsidRPr="006406A5">
        <w:rPr>
          <w:caps w:val="0"/>
          <w:sz w:val="32"/>
        </w:rPr>
        <w:t>Revocation of Regulations</w:t>
      </w:r>
      <w:bookmarkEnd w:id="28"/>
      <w:r w:rsidRPr="006406A5">
        <w:rPr>
          <w:caps w:val="0"/>
          <w:sz w:val="32"/>
        </w:rPr>
        <w:t xml:space="preserve"> </w:t>
      </w:r>
    </w:p>
    <w:p w:rsidR="00800793" w:rsidRPr="006406A5" w:rsidRDefault="00800793" w:rsidP="00800793">
      <w:pPr>
        <w:jc w:val="right"/>
        <w:rPr>
          <w:sz w:val="20"/>
        </w:rPr>
      </w:pPr>
      <w:r w:rsidRPr="006406A5">
        <w:rPr>
          <w:sz w:val="20"/>
        </w:rPr>
        <w:t>Regulation 4</w:t>
      </w:r>
    </w:p>
    <w:p w:rsidR="00800793" w:rsidRPr="007450C6" w:rsidRDefault="00800793" w:rsidP="00800793">
      <w:pPr>
        <w:jc w:val="right"/>
      </w:pPr>
    </w:p>
    <w:p w:rsidR="00800793" w:rsidRPr="007450C6" w:rsidRDefault="00800793" w:rsidP="00800793">
      <w:pPr>
        <w:spacing w:after="120"/>
        <w:ind w:left="720" w:hanging="360"/>
      </w:pPr>
      <w:r w:rsidRPr="007450C6">
        <w:t>1.</w:t>
      </w:r>
      <w:r w:rsidRPr="007450C6">
        <w:tab/>
      </w:r>
      <w:r>
        <w:t>Public Health and Wellbeing (Prescribed Accommodation)</w:t>
      </w:r>
      <w:r w:rsidRPr="007450C6">
        <w:t xml:space="preserve"> Regulations 2009, S.R. No </w:t>
      </w:r>
      <w:r>
        <w:t>178</w:t>
      </w:r>
      <w:r w:rsidRPr="007450C6">
        <w:t>/2009</w:t>
      </w:r>
      <w:r>
        <w:t>.</w:t>
      </w:r>
    </w:p>
    <w:p w:rsidR="00800793" w:rsidRDefault="00364238" w:rsidP="00800793">
      <w:pPr>
        <w:spacing w:after="120"/>
        <w:ind w:left="720" w:hanging="360"/>
      </w:pPr>
      <w:r>
        <w:t>2</w:t>
      </w:r>
      <w:r w:rsidR="00800793" w:rsidRPr="007450C6">
        <w:t>.</w:t>
      </w:r>
      <w:r w:rsidR="00800793" w:rsidRPr="007450C6">
        <w:tab/>
      </w:r>
      <w:r w:rsidR="003B6944">
        <w:t xml:space="preserve">Public Health and Wellbeing </w:t>
      </w:r>
      <w:r w:rsidR="00800793" w:rsidRPr="007450C6">
        <w:t>Amendment Regulations 2011, S.R.</w:t>
      </w:r>
      <w:r w:rsidR="00800793">
        <w:t> </w:t>
      </w:r>
      <w:r w:rsidR="00800793" w:rsidRPr="007450C6">
        <w:t xml:space="preserve">No. </w:t>
      </w:r>
      <w:r w:rsidR="003B6944">
        <w:t>57</w:t>
      </w:r>
      <w:r w:rsidR="00800793" w:rsidRPr="007450C6">
        <w:t>/2011</w:t>
      </w:r>
      <w:r w:rsidR="00800793">
        <w:t>.</w:t>
      </w:r>
    </w:p>
    <w:p w:rsidR="003B6944" w:rsidRDefault="00364238" w:rsidP="00800793">
      <w:pPr>
        <w:spacing w:after="120"/>
        <w:ind w:left="720" w:hanging="360"/>
      </w:pPr>
      <w:r>
        <w:t>3</w:t>
      </w:r>
      <w:r w:rsidR="003B6944">
        <w:t>.</w:t>
      </w:r>
      <w:r w:rsidR="003B6944">
        <w:tab/>
        <w:t xml:space="preserve">Public Health and Wellbeing </w:t>
      </w:r>
      <w:r w:rsidR="00552E9F">
        <w:t xml:space="preserve">Further </w:t>
      </w:r>
      <w:r w:rsidR="003B6944">
        <w:t>Amendment Regulations 2011, S.R. No.72/2011.</w:t>
      </w:r>
    </w:p>
    <w:p w:rsidR="003B6944" w:rsidRDefault="00364238" w:rsidP="003B6944">
      <w:pPr>
        <w:spacing w:after="120"/>
        <w:ind w:left="720" w:hanging="360"/>
      </w:pPr>
      <w:r>
        <w:t>4</w:t>
      </w:r>
      <w:r w:rsidR="003B6944">
        <w:t>.</w:t>
      </w:r>
      <w:r w:rsidR="003B6944">
        <w:tab/>
        <w:t>Public Health and Wellbeing</w:t>
      </w:r>
      <w:r w:rsidR="008A556B">
        <w:t xml:space="preserve"> </w:t>
      </w:r>
      <w:r w:rsidR="003B6944">
        <w:t>Amendment Regulations 2013, S.R. No.109/2013.</w:t>
      </w:r>
    </w:p>
    <w:p w:rsidR="003B6944" w:rsidRDefault="00364238" w:rsidP="003B6944">
      <w:pPr>
        <w:spacing w:after="120"/>
        <w:ind w:left="720" w:hanging="360"/>
      </w:pPr>
      <w:r>
        <w:t>5</w:t>
      </w:r>
      <w:r w:rsidR="003B6944">
        <w:t>.</w:t>
      </w:r>
      <w:r w:rsidR="003B6944">
        <w:tab/>
        <w:t xml:space="preserve">Public Health and Wellbeing Amendment </w:t>
      </w:r>
      <w:r w:rsidR="00552E9F">
        <w:t xml:space="preserve">(Prescribed Accommodation) </w:t>
      </w:r>
      <w:r w:rsidR="003B6944">
        <w:t>Regulations 2013, S.R. No.137/2013.</w:t>
      </w:r>
    </w:p>
    <w:p w:rsidR="003B6944" w:rsidRDefault="00364238" w:rsidP="003B6944">
      <w:pPr>
        <w:spacing w:after="120"/>
        <w:ind w:left="720" w:hanging="360"/>
      </w:pPr>
      <w:r>
        <w:t>6</w:t>
      </w:r>
      <w:r w:rsidR="003B6944">
        <w:t>.</w:t>
      </w:r>
      <w:r w:rsidR="003B6944">
        <w:tab/>
        <w:t xml:space="preserve">Public Health and Wellbeing Amendment </w:t>
      </w:r>
      <w:r w:rsidR="00552E9F">
        <w:t xml:space="preserve">(Immunisation Services) </w:t>
      </w:r>
      <w:r w:rsidR="003B6944">
        <w:t>Regulations 2013, S.R. No.143/2013.</w:t>
      </w:r>
    </w:p>
    <w:p w:rsidR="003B6944" w:rsidRDefault="00364238" w:rsidP="003B6944">
      <w:pPr>
        <w:spacing w:after="120"/>
        <w:ind w:left="720" w:hanging="360"/>
      </w:pPr>
      <w:r>
        <w:t>7</w:t>
      </w:r>
      <w:r w:rsidR="003B6944">
        <w:t>.</w:t>
      </w:r>
      <w:r w:rsidR="003B6944">
        <w:tab/>
        <w:t xml:space="preserve">Public Health and Wellbeing Amendment </w:t>
      </w:r>
      <w:r w:rsidR="00552E9F">
        <w:t xml:space="preserve">(No Jab, No Play) </w:t>
      </w:r>
      <w:r w:rsidR="003B6944">
        <w:t>Regulations 2015, S.R. No.170/2015.</w:t>
      </w:r>
    </w:p>
    <w:p w:rsidR="00800793" w:rsidRDefault="00364238" w:rsidP="00800793">
      <w:pPr>
        <w:spacing w:after="120"/>
        <w:ind w:left="720" w:hanging="360"/>
      </w:pPr>
      <w:r>
        <w:t>8</w:t>
      </w:r>
      <w:r w:rsidR="00800793" w:rsidRPr="007450C6">
        <w:t>.</w:t>
      </w:r>
      <w:r w:rsidR="00800793" w:rsidRPr="007450C6">
        <w:tab/>
      </w:r>
      <w:r w:rsidR="003B6944">
        <w:t xml:space="preserve">Public Health and Wellbeing </w:t>
      </w:r>
      <w:r w:rsidR="00800793" w:rsidRPr="007450C6">
        <w:t>Amendment Regulations 2016, S.R.</w:t>
      </w:r>
      <w:r w:rsidR="00800793">
        <w:t> </w:t>
      </w:r>
      <w:r w:rsidR="00800793" w:rsidRPr="007450C6">
        <w:t xml:space="preserve">No. </w:t>
      </w:r>
      <w:r w:rsidR="003B6944">
        <w:t>3</w:t>
      </w:r>
      <w:r w:rsidR="00800793" w:rsidRPr="007450C6">
        <w:t>/2016</w:t>
      </w:r>
      <w:r w:rsidR="00800793">
        <w:t>.</w:t>
      </w:r>
    </w:p>
    <w:p w:rsidR="003B6944" w:rsidRPr="007450C6" w:rsidRDefault="00364238" w:rsidP="003B6944">
      <w:pPr>
        <w:spacing w:after="120"/>
        <w:ind w:left="720" w:hanging="360"/>
      </w:pPr>
      <w:r>
        <w:t>9</w:t>
      </w:r>
      <w:r w:rsidR="003B6944" w:rsidRPr="007450C6">
        <w:t>.</w:t>
      </w:r>
      <w:r w:rsidR="003B6944" w:rsidRPr="007450C6">
        <w:tab/>
      </w:r>
      <w:r w:rsidR="003B6944">
        <w:t xml:space="preserve">Public Health and Wellbeing </w:t>
      </w:r>
      <w:r w:rsidR="003B6944" w:rsidRPr="007450C6">
        <w:t xml:space="preserve">Amendment </w:t>
      </w:r>
      <w:r w:rsidR="00552E9F">
        <w:t xml:space="preserve">(Registered Premises) </w:t>
      </w:r>
      <w:r w:rsidR="003B6944" w:rsidRPr="007450C6">
        <w:t>Regulations 2016, S.R.</w:t>
      </w:r>
      <w:r w:rsidR="003B6944">
        <w:t> </w:t>
      </w:r>
      <w:r w:rsidR="003B6944" w:rsidRPr="007450C6">
        <w:t xml:space="preserve">No. </w:t>
      </w:r>
      <w:r w:rsidR="003B6944">
        <w:t>58</w:t>
      </w:r>
      <w:r w:rsidR="003B6944" w:rsidRPr="007450C6">
        <w:t>/2016</w:t>
      </w:r>
      <w:r w:rsidR="003B6944">
        <w:t>.</w:t>
      </w:r>
    </w:p>
    <w:p w:rsidR="00800793" w:rsidRDefault="00364238" w:rsidP="00800793">
      <w:pPr>
        <w:spacing w:after="120"/>
        <w:ind w:left="720" w:hanging="360"/>
      </w:pPr>
      <w:r>
        <w:t>10</w:t>
      </w:r>
      <w:r w:rsidR="00800793" w:rsidRPr="007450C6">
        <w:t>.</w:t>
      </w:r>
      <w:r w:rsidR="00800793" w:rsidRPr="007450C6">
        <w:tab/>
        <w:t xml:space="preserve"> </w:t>
      </w:r>
      <w:r w:rsidR="003B6944">
        <w:t xml:space="preserve">Public Health and Wellbeing </w:t>
      </w:r>
      <w:r w:rsidR="00800793" w:rsidRPr="007450C6">
        <w:t>Amendment Regulations 2017, S.R.</w:t>
      </w:r>
      <w:r w:rsidR="00800793">
        <w:t> </w:t>
      </w:r>
      <w:r w:rsidR="00800793" w:rsidRPr="007450C6">
        <w:t xml:space="preserve">No. </w:t>
      </w:r>
      <w:r w:rsidR="003B6944">
        <w:t>53</w:t>
      </w:r>
      <w:r w:rsidR="00800793" w:rsidRPr="007450C6">
        <w:t>/2017</w:t>
      </w:r>
      <w:r w:rsidR="00800793">
        <w:t>.</w:t>
      </w:r>
    </w:p>
    <w:p w:rsidR="003B6944" w:rsidRPr="007450C6" w:rsidRDefault="00364238" w:rsidP="003B6944">
      <w:pPr>
        <w:spacing w:after="120"/>
        <w:ind w:left="720" w:hanging="360"/>
      </w:pPr>
      <w:r>
        <w:t>11</w:t>
      </w:r>
      <w:r w:rsidR="003B6944" w:rsidRPr="007450C6">
        <w:t>.</w:t>
      </w:r>
      <w:r w:rsidR="003B6944" w:rsidRPr="007450C6">
        <w:tab/>
      </w:r>
      <w:r w:rsidR="003B6944">
        <w:t xml:space="preserve">Public Health and Wellbeing </w:t>
      </w:r>
      <w:r w:rsidR="003B6944" w:rsidRPr="007450C6">
        <w:t>Amendment Regulations 201</w:t>
      </w:r>
      <w:r w:rsidR="003B6944">
        <w:t>8</w:t>
      </w:r>
      <w:r w:rsidR="003B6944" w:rsidRPr="007450C6">
        <w:t>, S.R.</w:t>
      </w:r>
      <w:r w:rsidR="003B6944">
        <w:t> </w:t>
      </w:r>
      <w:r w:rsidR="003B6944" w:rsidRPr="007450C6">
        <w:t xml:space="preserve">No. </w:t>
      </w:r>
      <w:r w:rsidR="003B6944">
        <w:t>99</w:t>
      </w:r>
      <w:r w:rsidR="003B6944" w:rsidRPr="007450C6">
        <w:t>/201</w:t>
      </w:r>
      <w:r w:rsidR="003B6944">
        <w:t>8.</w:t>
      </w:r>
    </w:p>
    <w:p w:rsidR="003B6944" w:rsidRDefault="00364238" w:rsidP="003B6944">
      <w:pPr>
        <w:spacing w:after="120"/>
        <w:ind w:left="720" w:hanging="360"/>
      </w:pPr>
      <w:r>
        <w:t>12</w:t>
      </w:r>
      <w:r w:rsidR="003B6944" w:rsidRPr="007450C6">
        <w:t>.</w:t>
      </w:r>
      <w:r w:rsidR="003B6944" w:rsidRPr="007450C6">
        <w:tab/>
      </w:r>
      <w:r w:rsidR="003B6944">
        <w:t xml:space="preserve">Public Health and Wellbeing </w:t>
      </w:r>
      <w:r w:rsidR="00552E9F">
        <w:t xml:space="preserve">Further </w:t>
      </w:r>
      <w:r w:rsidR="003B6944" w:rsidRPr="007450C6">
        <w:t>Amendment Regulations 201</w:t>
      </w:r>
      <w:r w:rsidR="003B6944">
        <w:t>8</w:t>
      </w:r>
      <w:r w:rsidR="003B6944" w:rsidRPr="007450C6">
        <w:t>, S.R.</w:t>
      </w:r>
      <w:r w:rsidR="003B6944">
        <w:t> </w:t>
      </w:r>
      <w:r w:rsidR="003B6944" w:rsidRPr="007450C6">
        <w:t xml:space="preserve">No. </w:t>
      </w:r>
      <w:r w:rsidR="003B6944">
        <w:t>148</w:t>
      </w:r>
      <w:r w:rsidR="003B6944" w:rsidRPr="007450C6">
        <w:t>/201</w:t>
      </w:r>
      <w:r w:rsidR="003B6944">
        <w:t>8.</w:t>
      </w:r>
    </w:p>
    <w:p w:rsidR="003B6944" w:rsidRPr="007450C6" w:rsidRDefault="00364238" w:rsidP="003B6944">
      <w:pPr>
        <w:spacing w:after="120"/>
        <w:ind w:left="720" w:hanging="360"/>
      </w:pPr>
      <w:r>
        <w:t>13</w:t>
      </w:r>
      <w:r w:rsidR="003B6944" w:rsidRPr="007450C6">
        <w:t>.</w:t>
      </w:r>
      <w:r w:rsidR="003B6944" w:rsidRPr="007450C6">
        <w:tab/>
      </w:r>
      <w:r w:rsidR="003B6944">
        <w:t xml:space="preserve">Public Health and Wellbeing </w:t>
      </w:r>
      <w:r w:rsidR="003B6944" w:rsidRPr="007450C6">
        <w:t>Amendment Regulations 201</w:t>
      </w:r>
      <w:r w:rsidR="003B6944">
        <w:t>9</w:t>
      </w:r>
      <w:r w:rsidR="003B6944" w:rsidRPr="007450C6">
        <w:t>, S.R.</w:t>
      </w:r>
      <w:r w:rsidR="003B6944">
        <w:t> </w:t>
      </w:r>
      <w:r w:rsidR="003B6944" w:rsidRPr="007450C6">
        <w:t xml:space="preserve">No. </w:t>
      </w:r>
      <w:r w:rsidR="003B6944">
        <w:t>47</w:t>
      </w:r>
      <w:r w:rsidR="003B6944" w:rsidRPr="007450C6">
        <w:t>/201</w:t>
      </w:r>
      <w:r w:rsidR="003B6944">
        <w:t>9.</w:t>
      </w:r>
    </w:p>
    <w:p w:rsidR="003B6944" w:rsidRPr="007450C6" w:rsidRDefault="003B6944" w:rsidP="003B6944">
      <w:pPr>
        <w:spacing w:after="120"/>
        <w:ind w:left="720" w:hanging="360"/>
      </w:pPr>
    </w:p>
    <w:p w:rsidR="00800793" w:rsidRPr="00800793" w:rsidRDefault="00800793" w:rsidP="00F81ED1"/>
    <w:p w:rsidR="00A33391" w:rsidRDefault="00A33391" w:rsidP="00A33391">
      <w:pPr>
        <w:pStyle w:val="Lines"/>
      </w:pPr>
      <w:r>
        <w:t xml:space="preserve"> </w:t>
      </w:r>
      <w:bookmarkStart w:id="29" w:name="_Toc28675741"/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r>
        <w:sym w:font="Courier New" w:char="2550"/>
      </w:r>
      <w:bookmarkEnd w:id="29"/>
    </w:p>
    <w:p w:rsidR="00A33391" w:rsidRPr="00A33391" w:rsidRDefault="00A33391" w:rsidP="00A33391">
      <w:pPr>
        <w:pStyle w:val="Lines"/>
        <w:rPr>
          <w:b/>
          <w:bCs/>
          <w:caps/>
          <w:sz w:val="32"/>
        </w:rPr>
      </w:pPr>
      <w:r>
        <w:br w:type="page"/>
      </w:r>
      <w:bookmarkStart w:id="30" w:name="_Toc28675742"/>
      <w:r w:rsidRPr="00A33391">
        <w:rPr>
          <w:b/>
          <w:bCs/>
          <w:caps/>
          <w:sz w:val="32"/>
        </w:rPr>
        <w:lastRenderedPageBreak/>
        <w:t>Endnotes</w:t>
      </w:r>
      <w:bookmarkEnd w:id="30"/>
    </w:p>
    <w:p w:rsidR="0017078B" w:rsidRDefault="0017078B" w:rsidP="0017078B">
      <w:pPr>
        <w:jc w:val="center"/>
      </w:pPr>
    </w:p>
    <w:sectPr w:rsidR="00170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71" w:rsidRDefault="00A50871" w:rsidP="002E0EDB">
      <w:pPr>
        <w:spacing w:after="0" w:line="240" w:lineRule="auto"/>
      </w:pPr>
      <w:r>
        <w:separator/>
      </w:r>
    </w:p>
  </w:endnote>
  <w:endnote w:type="continuationSeparator" w:id="0">
    <w:p w:rsidR="00A50871" w:rsidRDefault="00A50871" w:rsidP="002E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9" w:rsidRDefault="003A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77" w:rsidRDefault="00E020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2077" w:rsidRDefault="00E02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9" w:rsidRDefault="003A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71" w:rsidRDefault="00A50871" w:rsidP="002E0EDB">
      <w:pPr>
        <w:spacing w:after="0" w:line="240" w:lineRule="auto"/>
      </w:pPr>
      <w:r>
        <w:separator/>
      </w:r>
    </w:p>
  </w:footnote>
  <w:footnote w:type="continuationSeparator" w:id="0">
    <w:p w:rsidR="00A50871" w:rsidRDefault="00A50871" w:rsidP="002E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9" w:rsidRDefault="003A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77" w:rsidRDefault="00E02077">
    <w:pPr>
      <w:pStyle w:val="Header"/>
    </w:pPr>
    <w:r>
      <w:t>Public Health and Wellbeing (Prescribed Accommodation) Regulations 2020</w:t>
    </w:r>
  </w:p>
  <w:p w:rsidR="00E02077" w:rsidRDefault="00E02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9" w:rsidRDefault="003A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C73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" w15:restartNumberingAfterBreak="0">
    <w:nsid w:val="0D1C23C3"/>
    <w:multiLevelType w:val="singleLevel"/>
    <w:tmpl w:val="CF3E38A2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2" w15:restartNumberingAfterBreak="0">
    <w:nsid w:val="17B41648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3" w15:restartNumberingAfterBreak="0">
    <w:nsid w:val="18D60885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4" w15:restartNumberingAfterBreak="0">
    <w:nsid w:val="25F44CDB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5" w15:restartNumberingAfterBreak="0">
    <w:nsid w:val="2960051C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6" w15:restartNumberingAfterBreak="0">
    <w:nsid w:val="2BA64A86"/>
    <w:multiLevelType w:val="singleLevel"/>
    <w:tmpl w:val="CF3E38A2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7" w15:restartNumberingAfterBreak="0">
    <w:nsid w:val="37877ACA"/>
    <w:multiLevelType w:val="singleLevel"/>
    <w:tmpl w:val="CF3E38A2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8" w15:restartNumberingAfterBreak="0">
    <w:nsid w:val="39DB5657"/>
    <w:multiLevelType w:val="singleLevel"/>
    <w:tmpl w:val="CF3E38A2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9" w15:restartNumberingAfterBreak="0">
    <w:nsid w:val="495D43E6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0" w15:restartNumberingAfterBreak="0">
    <w:nsid w:val="4BCF0FE9"/>
    <w:multiLevelType w:val="singleLevel"/>
    <w:tmpl w:val="CF3E38A2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1" w15:restartNumberingAfterBreak="0">
    <w:nsid w:val="566A5FC4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2" w15:restartNumberingAfterBreak="0">
    <w:nsid w:val="6085135A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3" w15:restartNumberingAfterBreak="0">
    <w:nsid w:val="6886302E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4" w15:restartNumberingAfterBreak="0">
    <w:nsid w:val="68D62F33"/>
    <w:multiLevelType w:val="singleLevel"/>
    <w:tmpl w:val="494A342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B"/>
    <w:rsid w:val="00022DD5"/>
    <w:rsid w:val="00044734"/>
    <w:rsid w:val="000535B4"/>
    <w:rsid w:val="00091E4B"/>
    <w:rsid w:val="000D5B47"/>
    <w:rsid w:val="00114A00"/>
    <w:rsid w:val="00115AF5"/>
    <w:rsid w:val="001439C2"/>
    <w:rsid w:val="0017078B"/>
    <w:rsid w:val="0019298F"/>
    <w:rsid w:val="00200030"/>
    <w:rsid w:val="00223AF0"/>
    <w:rsid w:val="00236003"/>
    <w:rsid w:val="00296F2D"/>
    <w:rsid w:val="002E0EDB"/>
    <w:rsid w:val="003029D2"/>
    <w:rsid w:val="00362FC7"/>
    <w:rsid w:val="00364238"/>
    <w:rsid w:val="003A4249"/>
    <w:rsid w:val="003B6944"/>
    <w:rsid w:val="003F27AF"/>
    <w:rsid w:val="004B2278"/>
    <w:rsid w:val="004E5ABF"/>
    <w:rsid w:val="00506C31"/>
    <w:rsid w:val="00536EE2"/>
    <w:rsid w:val="00552E9F"/>
    <w:rsid w:val="00552F7A"/>
    <w:rsid w:val="00560BBA"/>
    <w:rsid w:val="00576321"/>
    <w:rsid w:val="005851C9"/>
    <w:rsid w:val="005C10D2"/>
    <w:rsid w:val="005E2D71"/>
    <w:rsid w:val="006444C2"/>
    <w:rsid w:val="006607EA"/>
    <w:rsid w:val="0072090C"/>
    <w:rsid w:val="007721B3"/>
    <w:rsid w:val="007813D9"/>
    <w:rsid w:val="00783DF2"/>
    <w:rsid w:val="00786371"/>
    <w:rsid w:val="007863D9"/>
    <w:rsid w:val="007C5EE2"/>
    <w:rsid w:val="007D7DFA"/>
    <w:rsid w:val="00800793"/>
    <w:rsid w:val="00833C68"/>
    <w:rsid w:val="00852ACD"/>
    <w:rsid w:val="00861083"/>
    <w:rsid w:val="008A556B"/>
    <w:rsid w:val="008D2151"/>
    <w:rsid w:val="008E05DB"/>
    <w:rsid w:val="00925357"/>
    <w:rsid w:val="009465B1"/>
    <w:rsid w:val="00976177"/>
    <w:rsid w:val="009C6554"/>
    <w:rsid w:val="009F04E7"/>
    <w:rsid w:val="009F09DB"/>
    <w:rsid w:val="00A33391"/>
    <w:rsid w:val="00A50871"/>
    <w:rsid w:val="00AA70B3"/>
    <w:rsid w:val="00AB38BD"/>
    <w:rsid w:val="00AB4E6C"/>
    <w:rsid w:val="00B10F60"/>
    <w:rsid w:val="00B623E9"/>
    <w:rsid w:val="00B92F48"/>
    <w:rsid w:val="00BC2A20"/>
    <w:rsid w:val="00C04981"/>
    <w:rsid w:val="00C64641"/>
    <w:rsid w:val="00CF0B0B"/>
    <w:rsid w:val="00D04E6D"/>
    <w:rsid w:val="00D12FB7"/>
    <w:rsid w:val="00D25E0E"/>
    <w:rsid w:val="00D63D5E"/>
    <w:rsid w:val="00D654B5"/>
    <w:rsid w:val="00D84761"/>
    <w:rsid w:val="00E02077"/>
    <w:rsid w:val="00E041C6"/>
    <w:rsid w:val="00E0704E"/>
    <w:rsid w:val="00E33A1C"/>
    <w:rsid w:val="00E80A20"/>
    <w:rsid w:val="00E86D61"/>
    <w:rsid w:val="00EC1E38"/>
    <w:rsid w:val="00F24C44"/>
    <w:rsid w:val="00F35795"/>
    <w:rsid w:val="00F81CA6"/>
    <w:rsid w:val="00F81ED1"/>
    <w:rsid w:val="00F9164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9C18D54-4516-A14B-9F1B-90065C5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ctionSub">
    <w:name w:val="Body Section (Sub)"/>
    <w:next w:val="Normal"/>
    <w:link w:val="BodySectionSubChar"/>
    <w:rsid w:val="001707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eastAsia="Times New Roman"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17078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caps/>
      <w:sz w:val="22"/>
      <w:lang w:eastAsia="en-US"/>
    </w:rPr>
  </w:style>
  <w:style w:type="paragraph" w:customStyle="1" w:styleId="SideNote">
    <w:name w:val="Side Note"/>
    <w:basedOn w:val="Normal"/>
    <w:rsid w:val="0017078B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/>
      <w:b/>
      <w:spacing w:val="-10"/>
      <w:sz w:val="16"/>
      <w:szCs w:val="20"/>
    </w:rPr>
  </w:style>
  <w:style w:type="paragraph" w:customStyle="1" w:styleId="DraftDefinition2">
    <w:name w:val="Draft Definition 2"/>
    <w:next w:val="Normal"/>
    <w:link w:val="DraftDefinition2Char"/>
    <w:rsid w:val="0017078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rFonts w:eastAsia="Times New Roman"/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7078B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/>
      <w:b/>
      <w:szCs w:val="24"/>
    </w:rPr>
  </w:style>
  <w:style w:type="character" w:customStyle="1" w:styleId="BodySectionSubChar">
    <w:name w:val="Body Section (Sub) Char"/>
    <w:link w:val="BodySectionSub"/>
    <w:rsid w:val="0017078B"/>
    <w:rPr>
      <w:rFonts w:eastAsia="Times New Roman"/>
      <w:sz w:val="24"/>
      <w:lang w:eastAsia="en-US"/>
    </w:rPr>
  </w:style>
  <w:style w:type="character" w:customStyle="1" w:styleId="DraftDefinition2Char">
    <w:name w:val="Draft Definition 2 Char"/>
    <w:link w:val="DraftDefinition2"/>
    <w:rsid w:val="0017078B"/>
    <w:rPr>
      <w:rFonts w:eastAsia="Times New Roman"/>
      <w:sz w:val="24"/>
      <w:lang w:eastAsia="en-US"/>
    </w:rPr>
  </w:style>
  <w:style w:type="character" w:customStyle="1" w:styleId="Heading-PARTChar">
    <w:name w:val="Heading - PART Char"/>
    <w:link w:val="Heading-PART"/>
    <w:rsid w:val="0017078B"/>
    <w:rPr>
      <w:rFonts w:eastAsia="Times New Roman"/>
      <w:b/>
      <w:caps/>
      <w:sz w:val="22"/>
      <w:lang w:eastAsia="en-US"/>
    </w:rPr>
  </w:style>
  <w:style w:type="paragraph" w:customStyle="1" w:styleId="DraftHeading4">
    <w:name w:val="Draft Heading 4"/>
    <w:basedOn w:val="Normal"/>
    <w:next w:val="Normal"/>
    <w:rsid w:val="0017078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/>
      <w:szCs w:val="20"/>
    </w:rPr>
  </w:style>
  <w:style w:type="paragraph" w:customStyle="1" w:styleId="DraftHeading3">
    <w:name w:val="Draft Heading 3"/>
    <w:basedOn w:val="Normal"/>
    <w:next w:val="Normal"/>
    <w:rsid w:val="0017078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/>
      <w:szCs w:val="20"/>
    </w:rPr>
  </w:style>
  <w:style w:type="paragraph" w:customStyle="1" w:styleId="Heading-DIVISION">
    <w:name w:val="Heading - DIVISION"/>
    <w:next w:val="Normal"/>
    <w:rsid w:val="0017078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eastAsia="Times New Roman"/>
      <w:b/>
      <w:sz w:val="24"/>
      <w:lang w:eastAsia="en-US"/>
    </w:rPr>
  </w:style>
  <w:style w:type="paragraph" w:customStyle="1" w:styleId="Stars">
    <w:name w:val="Stars"/>
    <w:basedOn w:val="Normal"/>
    <w:next w:val="Normal"/>
    <w:rsid w:val="0017078B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</w:pPr>
    <w:rPr>
      <w:rFonts w:eastAsia="Times New Roman"/>
      <w:szCs w:val="20"/>
    </w:rPr>
  </w:style>
  <w:style w:type="paragraph" w:customStyle="1" w:styleId="AmendHeading1s">
    <w:name w:val="Amend. Heading 1s"/>
    <w:basedOn w:val="Normal"/>
    <w:next w:val="Normal"/>
    <w:rsid w:val="0017078B"/>
    <w:pPr>
      <w:tabs>
        <w:tab w:val="right" w:pos="1701"/>
      </w:tabs>
      <w:overflowPunct w:val="0"/>
      <w:autoSpaceDE w:val="0"/>
      <w:autoSpaceDN w:val="0"/>
      <w:adjustRightInd w:val="0"/>
      <w:spacing w:before="120" w:after="0" w:line="240" w:lineRule="auto"/>
      <w:ind w:left="1871" w:hanging="1871"/>
      <w:textAlignment w:val="baseline"/>
    </w:pPr>
    <w:rPr>
      <w:rFonts w:eastAsia="Times New Roman"/>
      <w:b/>
      <w:szCs w:val="20"/>
    </w:rPr>
  </w:style>
  <w:style w:type="paragraph" w:customStyle="1" w:styleId="DraftHeading2">
    <w:name w:val="Draft Heading 2"/>
    <w:basedOn w:val="Normal"/>
    <w:next w:val="Normal"/>
    <w:rsid w:val="0017078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/>
      <w:szCs w:val="20"/>
    </w:rPr>
  </w:style>
  <w:style w:type="paragraph" w:customStyle="1" w:styleId="DraftPenalty2">
    <w:name w:val="Draft Penalty 2"/>
    <w:basedOn w:val="Normal"/>
    <w:next w:val="Normal"/>
    <w:rsid w:val="0017078B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0" w:line="240" w:lineRule="auto"/>
      <w:ind w:left="2382" w:hanging="1021"/>
      <w:textAlignment w:val="baseline"/>
    </w:pPr>
    <w:rPr>
      <w:rFonts w:eastAsia="Times New Roman"/>
      <w:szCs w:val="20"/>
    </w:rPr>
  </w:style>
  <w:style w:type="paragraph" w:customStyle="1" w:styleId="Lines">
    <w:name w:val="Lines"/>
    <w:basedOn w:val="Normal"/>
    <w:next w:val="Normal"/>
    <w:rsid w:val="00A33391"/>
    <w:pPr>
      <w:suppressLineNumber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6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ED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0EDB"/>
    <w:rPr>
      <w:lang w:eastAsia="en-US"/>
    </w:rPr>
  </w:style>
  <w:style w:type="character" w:styleId="EndnoteReference">
    <w:name w:val="endnote reference"/>
    <w:uiPriority w:val="99"/>
    <w:semiHidden/>
    <w:unhideWhenUsed/>
    <w:rsid w:val="002E0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07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20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207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0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207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34CB-9642-4BA7-9C8B-E47D9A5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2321</Words>
  <Characters>13233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Varley</dc:creator>
  <cp:keywords/>
  <dc:description/>
  <cp:lastModifiedBy>Terry Truman (DHHS)</cp:lastModifiedBy>
  <cp:revision>2</cp:revision>
  <cp:lastPrinted>2020-07-23T02:49:00Z</cp:lastPrinted>
  <dcterms:created xsi:type="dcterms:W3CDTF">2020-09-15T22:24:00Z</dcterms:created>
  <dcterms:modified xsi:type="dcterms:W3CDTF">2020-09-15T22:24:00Z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iteId">
    <vt:lpwstr>c0e0601f-0fac-449c-9c88-a104c4eb9f28</vt:lpwstr>
  </property>
  <property fmtid="{D5CDD505-2E9C-101B-9397-08002B2CF9AE}" pid="4" name="MSIP_Label_efdf5488-3066-4b6c-8fea-9472b8a1f34c_Owner">
    <vt:lpwstr>Terry.Truman@dhhs.vic.gov.au</vt:lpwstr>
  </property>
  <property fmtid="{D5CDD505-2E9C-101B-9397-08002B2CF9AE}" pid="5" name="MSIP_Label_efdf5488-3066-4b6c-8fea-9472b8a1f34c_SetDate">
    <vt:lpwstr>2020-09-15T22:24:07.7215353Z</vt:lpwstr>
  </property>
  <property fmtid="{D5CDD505-2E9C-101B-9397-08002B2CF9AE}" pid="6" name="MSIP_Label_efdf5488-3066-4b6c-8fea-9472b8a1f34c_Name">
    <vt:lpwstr>DO NOT MARK</vt:lpwstr>
  </property>
  <property fmtid="{D5CDD505-2E9C-101B-9397-08002B2CF9AE}" pid="7" name="MSIP_Label_efdf5488-3066-4b6c-8fea-9472b8a1f34c_Application">
    <vt:lpwstr>Microsoft Azure Information Protection</vt:lpwstr>
  </property>
  <property fmtid="{D5CDD505-2E9C-101B-9397-08002B2CF9AE}" pid="8" name="MSIP_Label_efdf5488-3066-4b6c-8fea-9472b8a1f34c_ActionId">
    <vt:lpwstr>44f8be72-9955-4958-8561-dc2f21c9ad3a</vt:lpwstr>
  </property>
  <property fmtid="{D5CDD505-2E9C-101B-9397-08002B2CF9AE}" pid="9" name="MSIP_Label_efdf5488-3066-4b6c-8fea-9472b8a1f34c_Extended_MSFT_Method">
    <vt:lpwstr>Manual</vt:lpwstr>
  </property>
  <property fmtid="{D5CDD505-2E9C-101B-9397-08002B2CF9AE}" pid="10" name="Sensitivity">
    <vt:lpwstr>DO NOT MARK</vt:lpwstr>
  </property>
</Properties>
</file>